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240" w:lineRule="auto"/>
        <w:jc w:val="center"/>
      </w:pPr>
      <w:r>
        <w:rPr>
          <w:rFonts w:ascii="Times New Roman" w:hAnsi="Times New Roman" w:cs="Times New Roman" w:eastAsia="Times New Roman"/>
          <w:b/>
          <w:color w:val="3A3A3C"/>
          <w:spacing w:val="10"/>
          <w:sz w:val="60"/>
        </w:rPr>
        <w:t>POWER</w:t>
      </w:r>
      <w:r>
        <w:rPr>
          <w:rFonts w:ascii="Times New Roman" w:hAnsi="Times New Roman" w:cs="Times New Roman" w:eastAsia="Times New Roman"/>
          <w:b/>
          <w:color w:val="F8931D"/>
          <w:spacing w:val="10"/>
          <w:sz w:val="60"/>
        </w:rPr>
        <w:t>ACT</w:t>
      </w:r>
    </w:p>
    <w:p>
      <w:pPr>
        <w:pBdr>
          <w:bottom w:val="single" w:sz="12" w:space="4" w:color="F8931D"/>
        </w:pBdr>
        <w:spacing w:after="600" w:line="240" w:lineRule="auto"/>
        <w:jc w:val="center"/>
      </w:pPr>
      <w:r>
        <w:rPr>
          <w:rFonts w:ascii="Times New Roman" w:hAnsi="Times New Roman" w:cs="Times New Roman" w:eastAsia="Times New Roman"/>
          <w:color w:val="808184"/>
          <w:spacing w:val="20"/>
          <w:sz w:val="18"/>
        </w:rPr>
        <w:t>C O N S U L T I N G</w:t>
      </w:r>
    </w:p>
    <w:p>
      <w:pPr>
        <w:spacing w:before="120" w:after="160" w:line="240" w:lineRule="auto"/>
        <w:jc w:val="center"/>
      </w:pPr>
      <w:r>
        <w:rPr>
          <w:rFonts w:ascii="Times New Roman" w:hAnsi="Times New Roman" w:cs="Times New Roman" w:eastAsia="Times New Roman"/>
          <w:b/>
          <w:color w:val="E07B00"/>
          <w:spacing w:val="30"/>
          <w:sz w:val="20"/>
        </w:rPr>
        <w:t>CORTEXSKILLS · COMMERCIAL ARCHITECTURE &amp; PRICING STRATEGY</w:t>
      </w:r>
    </w:p>
    <w:p>
      <w:pPr>
        <w:spacing w:after="120" w:line="240" w:lineRule="auto"/>
        <w:jc w:val="center"/>
      </w:pPr>
      <w:r>
        <w:rPr>
          <w:rFonts w:ascii="Times New Roman" w:hAnsi="Times New Roman" w:cs="Times New Roman" w:eastAsia="Times New Roman"/>
          <w:b/>
          <w:color w:val="3A3A3C"/>
          <w:sz w:val="56"/>
        </w:rPr>
        <w:t>Packs, Integrations &amp; Add-Ons</w:t>
      </w:r>
    </w:p>
    <w:p>
      <w:pPr>
        <w:spacing w:after="200" w:line="264" w:lineRule="auto"/>
        <w:jc w:val="center"/>
      </w:pPr>
      <w:r>
        <w:rPr>
          <w:rFonts w:ascii="Times New Roman" w:hAnsi="Times New Roman" w:cs="Times New Roman" w:eastAsia="Times New Roman"/>
          <w:i/>
          <w:color w:val="58595B"/>
          <w:sz w:val="26"/>
        </w:rPr>
        <w:t>For CortexSkills, the #1 Market-Leading Training Engineering Application</w:t>
      </w:r>
    </w:p>
    <w:p>
      <w:pPr>
        <w:spacing w:after="160"/>
        <w:jc w:val="center"/>
      </w:pPr>
      <w:r>
        <w:drawing>
          <wp:inline xmlns:a="http://schemas.openxmlformats.org/drawingml/2006/main" xmlns:pic="http://schemas.openxmlformats.org/drawingml/2006/picture">
            <wp:extent cx="2103120" cy="2103120"/>
            <wp:docPr id="1" name="Picture 1"/>
            <wp:cNvGraphicFramePr>
              <a:graphicFrameLocks noChangeAspect="1"/>
            </wp:cNvGraphicFramePr>
            <a:graphic>
              <a:graphicData uri="http://schemas.openxmlformats.org/drawingml/2006/picture">
                <pic:pic>
                  <pic:nvPicPr>
                    <pic:cNvPr id="0" name="CortexSkills_Logo_Full.png"/>
                    <pic:cNvPicPr/>
                  </pic:nvPicPr>
                  <pic:blipFill>
                    <a:blip r:embed="rId11"/>
                    <a:stretch>
                      <a:fillRect/>
                    </a:stretch>
                  </pic:blipFill>
                  <pic:spPr>
                    <a:xfrm>
                      <a:off x="0" y="0"/>
                      <a:ext cx="2103120" cy="2103120"/>
                    </a:xfrm>
                    <a:prstGeom prst="rect"/>
                  </pic:spPr>
                </pic:pic>
              </a:graphicData>
            </a:graphic>
          </wp:inline>
        </w:drawing>
      </w:r>
    </w:p>
    <w:tbl>
      <w:tblPr>
        <w:tblW w:w="9744" w:type="dxa"/>
        <w:tblLayout w:type="fixed"/>
        <w:tblCellMar>
          <w:top w:w="120" w:type="dxa"/>
          <w:left w:w="80" w:type="dxa"/>
          <w:bottom w:w="120" w:type="dxa"/>
          <w:right w:w="80" w:type="dxa"/>
        </w:tblCellMar>
        <w:tblLook w:firstColumn="1" w:firstRow="1" w:lastColumn="0" w:lastRow="0" w:noHBand="0" w:noVBand="1" w:val="04A0"/>
      </w:tblPr>
      <w:tblGrid>
        <w:gridCol w:w="2436"/>
        <w:gridCol w:w="2436"/>
        <w:gridCol w:w="2436"/>
        <w:gridCol w:w="2436"/>
      </w:tblGrid>
      <w:tr>
        <w:tc>
          <w:tcPr>
            <w:tcW w:type="dxa" w:w="2436"/>
            <w:tcBorders>
              <w:top w:val="single" w:sz="24" w:color="FFFFFF" w:space="0"/>
              <w:left w:val="single" w:sz="24" w:color="FFFFFF" w:space="0"/>
              <w:bottom w:val="single" w:sz="24" w:color="FFFFFF" w:space="0"/>
              <w:right w:val="single" w:sz="24" w:color="FFFFFF" w:space="0"/>
            </w:tcBorders>
            <w:shd w:val="clear" w:color="auto" w:fill="FDEEDA"/>
            <w:vAlign w:val="center"/>
          </w:tcPr>
          <w:p>
            <w:pPr>
              <w:spacing w:after="0" w:line="240" w:lineRule="auto"/>
              <w:jc w:val="center"/>
            </w:pPr>
            <w:r>
              <w:rPr>
                <w:rFonts w:ascii="Times New Roman" w:hAnsi="Times New Roman" w:cs="Times New Roman" w:eastAsia="Times New Roman"/>
                <w:b/>
                <w:color w:val="E07B00"/>
                <w:sz w:val="48"/>
              </w:rPr>
              <w:t>8</w:t>
            </w:r>
          </w:p>
          <w:p>
            <w:pPr>
              <w:spacing w:after="0" w:line="240" w:lineRule="auto"/>
              <w:jc w:val="center"/>
            </w:pPr>
            <w:r>
              <w:rPr>
                <w:rFonts w:ascii="Times New Roman" w:hAnsi="Times New Roman" w:cs="Times New Roman" w:eastAsia="Times New Roman"/>
                <w:color w:val="58595B"/>
                <w:sz w:val="19"/>
              </w:rPr>
              <w:t>packs</w:t>
            </w:r>
          </w:p>
        </w:tc>
        <w:tc>
          <w:tcPr>
            <w:tcW w:type="dxa" w:w="2436"/>
            <w:tcBorders>
              <w:top w:val="single" w:sz="24" w:color="FFFFFF" w:space="0"/>
              <w:left w:val="single" w:sz="24" w:color="FFFFFF" w:space="0"/>
              <w:bottom w:val="single" w:sz="24" w:color="FFFFFF" w:space="0"/>
              <w:right w:val="single" w:sz="24" w:color="FFFFFF" w:space="0"/>
            </w:tcBorders>
            <w:shd w:val="clear" w:color="auto" w:fill="FDEEDA"/>
            <w:vAlign w:val="center"/>
          </w:tcPr>
          <w:p>
            <w:pPr>
              <w:spacing w:after="0" w:line="240" w:lineRule="auto"/>
              <w:jc w:val="center"/>
            </w:pPr>
            <w:r>
              <w:rPr>
                <w:rFonts w:ascii="Times New Roman" w:hAnsi="Times New Roman" w:cs="Times New Roman" w:eastAsia="Times New Roman"/>
                <w:b/>
                <w:color w:val="E07B00"/>
                <w:sz w:val="48"/>
              </w:rPr>
              <w:t>18</w:t>
            </w:r>
          </w:p>
          <w:p>
            <w:pPr>
              <w:spacing w:after="0" w:line="240" w:lineRule="auto"/>
              <w:jc w:val="center"/>
            </w:pPr>
            <w:r>
              <w:rPr>
                <w:rFonts w:ascii="Times New Roman" w:hAnsi="Times New Roman" w:cs="Times New Roman" w:eastAsia="Times New Roman"/>
                <w:color w:val="58595B"/>
                <w:sz w:val="19"/>
              </w:rPr>
              <w:t>integrations</w:t>
            </w:r>
          </w:p>
        </w:tc>
        <w:tc>
          <w:tcPr>
            <w:tcW w:type="dxa" w:w="2436"/>
            <w:tcBorders>
              <w:top w:val="single" w:sz="24" w:color="FFFFFF" w:space="0"/>
              <w:left w:val="single" w:sz="24" w:color="FFFFFF" w:space="0"/>
              <w:bottom w:val="single" w:sz="24" w:color="FFFFFF" w:space="0"/>
              <w:right w:val="single" w:sz="24" w:color="FFFFFF" w:space="0"/>
            </w:tcBorders>
            <w:shd w:val="clear" w:color="auto" w:fill="FDEEDA"/>
            <w:vAlign w:val="center"/>
          </w:tcPr>
          <w:p>
            <w:pPr>
              <w:spacing w:after="0" w:line="240" w:lineRule="auto"/>
              <w:jc w:val="center"/>
            </w:pPr>
            <w:r>
              <w:rPr>
                <w:rFonts w:ascii="Times New Roman" w:hAnsi="Times New Roman" w:cs="Times New Roman" w:eastAsia="Times New Roman"/>
                <w:b/>
                <w:color w:val="E07B00"/>
                <w:sz w:val="48"/>
              </w:rPr>
              <w:t>11</w:t>
            </w:r>
          </w:p>
          <w:p>
            <w:pPr>
              <w:spacing w:after="0" w:line="240" w:lineRule="auto"/>
              <w:jc w:val="center"/>
            </w:pPr>
            <w:r>
              <w:rPr>
                <w:rFonts w:ascii="Times New Roman" w:hAnsi="Times New Roman" w:cs="Times New Roman" w:eastAsia="Times New Roman"/>
                <w:color w:val="58595B"/>
                <w:sz w:val="19"/>
              </w:rPr>
              <w:t>add-ons</w:t>
            </w:r>
          </w:p>
        </w:tc>
        <w:tc>
          <w:tcPr>
            <w:tcW w:type="dxa" w:w="2436"/>
            <w:tcBorders>
              <w:top w:val="single" w:sz="24" w:color="FFFFFF" w:space="0"/>
              <w:left w:val="single" w:sz="24" w:color="FFFFFF" w:space="0"/>
              <w:bottom w:val="single" w:sz="24" w:color="FFFFFF" w:space="0"/>
              <w:right w:val="single" w:sz="24" w:color="FFFFFF" w:space="0"/>
            </w:tcBorders>
            <w:shd w:val="clear" w:color="auto" w:fill="FDEEDA"/>
            <w:vAlign w:val="center"/>
          </w:tcPr>
          <w:p>
            <w:pPr>
              <w:spacing w:after="0" w:line="240" w:lineRule="auto"/>
              <w:jc w:val="center"/>
            </w:pPr>
            <w:r>
              <w:rPr>
                <w:rFonts w:ascii="Times New Roman" w:hAnsi="Times New Roman" w:cs="Times New Roman" w:eastAsia="Times New Roman"/>
                <w:b/>
                <w:color w:val="E07B00"/>
                <w:sz w:val="48"/>
              </w:rPr>
              <w:t>$40</w:t>
            </w:r>
          </w:p>
          <w:p>
            <w:pPr>
              <w:spacing w:after="0" w:line="240" w:lineRule="auto"/>
              <w:jc w:val="center"/>
            </w:pPr>
            <w:r>
              <w:rPr>
                <w:rFonts w:ascii="Times New Roman" w:hAnsi="Times New Roman" w:cs="Times New Roman" w:eastAsia="Times New Roman"/>
                <w:color w:val="58595B"/>
                <w:sz w:val="19"/>
              </w:rPr>
              <w:t>minimum monthly price</w:t>
            </w:r>
          </w:p>
        </w:tc>
      </w:tr>
    </w:tbl>
    <w:p>
      <w:pPr>
        <w:spacing w:before="360" w:after="40"/>
        <w:jc w:val="center"/>
      </w:pPr>
      <w:r>
        <w:rPr>
          <w:rFonts w:ascii="Times New Roman" w:hAnsi="Times New Roman" w:cs="Times New Roman" w:eastAsia="Times New Roman"/>
          <w:color w:val="58595B"/>
          <w:sz w:val="22"/>
        </w:rPr>
        <w:t xml:space="preserve">Prepared by </w:t>
      </w:r>
      <w:r>
        <w:rPr>
          <w:rFonts w:ascii="Times New Roman" w:hAnsi="Times New Roman" w:cs="Times New Roman" w:eastAsia="Times New Roman"/>
          <w:b/>
          <w:color w:val="3A3A3C"/>
          <w:sz w:val="22"/>
        </w:rPr>
        <w:t>POWERACT Consulting</w:t>
      </w:r>
      <w:r>
        <w:rPr>
          <w:rFonts w:ascii="Times New Roman" w:hAnsi="Times New Roman" w:cs="Times New Roman" w:eastAsia="Times New Roman"/>
          <w:color w:val="58595B"/>
          <w:sz w:val="22"/>
        </w:rPr>
        <w:t xml:space="preserve">  ·  Version 3.0  ·  16 October 2026</w:t>
      </w:r>
    </w:p>
    <w:p>
      <w:pPr>
        <w:spacing w:after="0"/>
        <w:jc w:val="center"/>
      </w:pPr>
      <w:r>
        <w:rPr>
          <w:rFonts w:ascii="Times New Roman" w:hAnsi="Times New Roman" w:cs="Times New Roman" w:eastAsia="Times New Roman"/>
          <w:i/>
          <w:color w:val="808184"/>
          <w:sz w:val="20"/>
        </w:rPr>
        <w:t>Confidential</w:t>
      </w:r>
    </w:p>
    <w:p>
      <w:r>
        <w:br w:type="page"/>
      </w:r>
    </w:p>
    <w:p>
      <w:pPr>
        <w:spacing w:after="40"/>
      </w:pPr>
      <w:r>
        <w:rPr>
          <w:rFonts w:ascii="Times New Roman" w:hAnsi="Times New Roman" w:cs="Times New Roman" w:eastAsia="Times New Roman"/>
          <w:b/>
          <w:color w:val="E07B00"/>
          <w:spacing w:val="30"/>
          <w:sz w:val="19"/>
        </w:rPr>
        <w:t>CONTENTS</w:t>
      </w:r>
    </w:p>
    <w:p>
      <w:pPr>
        <w:pBdr>
          <w:bottom w:val="single" w:sz="8" w:space="4" w:color="F8931D"/>
        </w:pBdr>
        <w:spacing w:after="200"/>
      </w:pPr>
      <w:r>
        <w:rPr>
          <w:rFonts w:ascii="Times New Roman" w:hAnsi="Times New Roman" w:cs="Times New Roman" w:eastAsia="Times New Roman"/>
          <w:b/>
          <w:color w:val="3A3A3C"/>
          <w:sz w:val="40"/>
        </w:rPr>
        <w:t>Table of Contents</w:t>
      </w:r>
    </w:p>
    <w:p>
      <w:pPr>
        <w:pStyle w:val="TOC1"/>
      </w:pPr>
      <w:r>
        <w:fldChar w:fldCharType="begin" w:dirty="true"/>
      </w:r>
      <w:r>
        <w:instrText xml:space="preserve"> TOC \o "1-3" \h \z \u </w:instrText>
      </w:r>
      <w:r>
        <w:fldChar w:fldCharType="separate"/>
      </w:r>
      <w:r>
        <w:t>1. Executive Summary</w:t>
        <w:tab/>
        <w:t>5</w:t>
      </w:r>
    </w:p>
    <w:p>
      <w:pPr>
        <w:pStyle w:val="TOC1"/>
      </w:pPr>
      <w:r>
        <w:t>1.1 How to Read This Document</w:t>
        <w:tab/>
        <w:t>5</w:t>
      </w:r>
    </w:p>
    <w:p>
      <w:pPr>
        <w:pStyle w:val="TOC1"/>
      </w:pPr>
      <w:r>
        <w:t>2. Pack Architecture Overview</w:t>
        <w:tab/>
        <w:t>7</w:t>
      </w:r>
    </w:p>
    <w:p>
      <w:pPr>
        <w:pStyle w:val="TOC1"/>
      </w:pPr>
      <w:r>
        <w:t>2.1 Pack Summary</w:t>
        <w:tab/>
        <w:t>7</w:t>
      </w:r>
    </w:p>
    <w:p>
      <w:pPr>
        <w:pStyle w:val="TOC1"/>
      </w:pPr>
      <w:r>
        <w:t>2.2 Pack Positioning Map</w:t>
        <w:tab/>
        <w:t>7</w:t>
      </w:r>
    </w:p>
    <w:p>
      <w:pPr>
        <w:pStyle w:val="TOC1"/>
      </w:pPr>
      <w:r>
        <w:t>2.3 Price Comparison</w:t>
        <w:tab/>
        <w:t>8</w:t>
      </w:r>
    </w:p>
    <w:p>
      <w:pPr>
        <w:pStyle w:val="TOC1"/>
      </w:pPr>
      <w:r>
        <w:t>3. Detailed Pack Specifications</w:t>
        <w:tab/>
        <w:t>9</w:t>
      </w:r>
    </w:p>
    <w:p>
      <w:pPr>
        <w:pStyle w:val="TOC2"/>
      </w:pPr>
      <w:r>
        <w:t>PK-01: Core Training Engineering Pack</w:t>
        <w:tab/>
        <w:t>10</w:t>
      </w:r>
    </w:p>
    <w:p>
      <w:pPr>
        <w:pStyle w:val="TOC2"/>
      </w:pPr>
      <w:r>
        <w:t>PK-02: Learning Delivery &amp; Experience Pack</w:t>
        <w:tab/>
        <w:t>12</w:t>
      </w:r>
    </w:p>
    <w:p>
      <w:pPr>
        <w:pStyle w:val="TOC2"/>
      </w:pPr>
      <w:r>
        <w:t>PK-03: Assessment, Analytics &amp; ROI Pack</w:t>
        <w:tab/>
        <w:t>14</w:t>
      </w:r>
    </w:p>
    <w:p>
      <w:pPr>
        <w:pStyle w:val="TOC2"/>
      </w:pPr>
      <w:r>
        <w:t>PK-04: Compliance &amp; Certification Pack</w:t>
        <w:tab/>
        <w:t>15</w:t>
      </w:r>
    </w:p>
    <w:p>
      <w:pPr>
        <w:pStyle w:val="TOC2"/>
      </w:pPr>
      <w:r>
        <w:t>PK-05: Talent &amp; Mobility Pack</w:t>
        <w:tab/>
        <w:t>16</w:t>
      </w:r>
    </w:p>
    <w:p>
      <w:pPr>
        <w:pStyle w:val="TOC2"/>
      </w:pPr>
      <w:r>
        <w:t>PK-06: Extended Enterprise Pack</w:t>
        <w:tab/>
        <w:t>17</w:t>
      </w:r>
    </w:p>
    <w:p>
      <w:pPr>
        <w:pStyle w:val="TOC2"/>
      </w:pPr>
      <w:r>
        <w:t>PK-07: Consulting &amp; Diagnostic Pack</w:t>
        <w:tab/>
        <w:t>18</w:t>
      </w:r>
    </w:p>
    <w:p>
      <w:pPr>
        <w:pStyle w:val="TOC2"/>
      </w:pPr>
      <w:r>
        <w:t>PK-08: Strategic Workforce &amp; Governance Pack</w:t>
        <w:tab/>
        <w:t>20</w:t>
      </w:r>
    </w:p>
    <w:p>
      <w:pPr>
        <w:pStyle w:val="TOC1"/>
      </w:pPr>
      <w:r>
        <w:t>4. Integration Catalog</w:t>
        <w:tab/>
        <w:t>22</w:t>
      </w:r>
    </w:p>
    <w:p>
      <w:pPr>
        <w:pStyle w:val="TOC1"/>
      </w:pPr>
      <w:r>
        <w:t>4.0 Integration-to-Pack Matrix</w:t>
        <w:tab/>
        <w:t>22</w:t>
      </w:r>
    </w:p>
    <w:p>
      <w:pPr>
        <w:pStyle w:val="TOC1"/>
      </w:pPr>
      <w:r>
        <w:t>4.1 Enterprise Systems</w:t>
        <w:tab/>
        <w:t>23</w:t>
      </w:r>
    </w:p>
    <w:p>
      <w:pPr>
        <w:pStyle w:val="TOC3"/>
      </w:pPr>
      <w:r>
        <w:t>INT-HR-01: HRIS/HCM Integration</w:t>
        <w:tab/>
        <w:t>23</w:t>
      </w:r>
    </w:p>
    <w:p>
      <w:pPr>
        <w:pStyle w:val="TOC3"/>
      </w:pPr>
      <w:r>
        <w:t>INT-FIN-01: ERP/Finance System Integration</w:t>
        <w:tab/>
        <w:t>23</w:t>
      </w:r>
    </w:p>
    <w:p>
      <w:pPr>
        <w:pStyle w:val="TOC3"/>
      </w:pPr>
      <w:r>
        <w:t>INT-CRM-01: CRM Integration</w:t>
        <w:tab/>
        <w:t>23</w:t>
      </w:r>
    </w:p>
    <w:p>
      <w:pPr>
        <w:pStyle w:val="TOC1"/>
      </w:pPr>
      <w:r>
        <w:t>4.2 Talent &amp; Performance Management</w:t>
        <w:tab/>
        <w:t>24</w:t>
      </w:r>
    </w:p>
    <w:p>
      <w:pPr>
        <w:pStyle w:val="TOC3"/>
      </w:pPr>
      <w:r>
        <w:t>INT-TM-01: Performance Management Integration</w:t>
        <w:tab/>
        <w:t>24</w:t>
      </w:r>
    </w:p>
    <w:p>
      <w:pPr>
        <w:pStyle w:val="TOC3"/>
      </w:pPr>
      <w:r>
        <w:t>INT-TM-02: Talent Management / Succession Planning Integration</w:t>
        <w:tab/>
        <w:t>24</w:t>
      </w:r>
    </w:p>
    <w:p>
      <w:pPr>
        <w:pStyle w:val="TOC3"/>
      </w:pPr>
      <w:r>
        <w:t>INT-TM-03: Skills Intelligence / Talent Marketplace</w:t>
        <w:tab/>
        <w:t>24</w:t>
      </w:r>
    </w:p>
    <w:p>
      <w:pPr>
        <w:pStyle w:val="TOC3"/>
      </w:pPr>
      <w:r>
        <w:t>INT-REC-01: Recruitment / ATS Integration</w:t>
        <w:tab/>
        <w:t>25</w:t>
      </w:r>
    </w:p>
    <w:p>
      <w:pPr>
        <w:pStyle w:val="TOC1"/>
      </w:pPr>
      <w:r>
        <w:t>4.3 Learning Content &amp; Ecosystem</w:t>
        <w:tab/>
        <w:t>25</w:t>
      </w:r>
    </w:p>
    <w:p>
      <w:pPr>
        <w:pStyle w:val="TOC3"/>
      </w:pPr>
      <w:r>
        <w:t>INT-CON-01: Content Provider Aggregation</w:t>
        <w:tab/>
        <w:t>25</w:t>
      </w:r>
    </w:p>
    <w:p>
      <w:pPr>
        <w:pStyle w:val="TOC3"/>
      </w:pPr>
      <w:r>
        <w:t>INT-LMS-01: LMS/LXP Integration</w:t>
        <w:tab/>
        <w:t>25</w:t>
      </w:r>
    </w:p>
    <w:p>
      <w:pPr>
        <w:pStyle w:val="TOC3"/>
      </w:pPr>
      <w:r>
        <w:t>INT-ASM-01: Assessment &amp; Certification Systems</w:t>
        <w:tab/>
        <w:t>26</w:t>
      </w:r>
    </w:p>
    <w:p>
      <w:pPr>
        <w:pStyle w:val="TOC3"/>
      </w:pPr>
      <w:r>
        <w:t>INT-VC-01: Virtual Classroom &amp; Webinar Tools</w:t>
        <w:tab/>
        <w:t>26</w:t>
      </w:r>
    </w:p>
    <w:p>
      <w:pPr>
        <w:pStyle w:val="TOC1"/>
      </w:pPr>
      <w:r>
        <w:t>4.4 Learning in the Flow of Work</w:t>
        <w:tab/>
        <w:t>26</w:t>
      </w:r>
    </w:p>
    <w:p>
      <w:pPr>
        <w:pStyle w:val="TOC3"/>
      </w:pPr>
      <w:r>
        <w:t>INT-COM-01: Communication &amp; Collaboration Platforms</w:t>
        <w:tab/>
        <w:t>26</w:t>
      </w:r>
    </w:p>
    <w:p>
      <w:pPr>
        <w:pStyle w:val="TOC3"/>
      </w:pPr>
      <w:r>
        <w:t>INT-PROD-01: Productivity &amp; Workflow Tools</w:t>
        <w:tab/>
        <w:t>27</w:t>
      </w:r>
    </w:p>
    <w:p>
      <w:pPr>
        <w:pStyle w:val="TOC1"/>
      </w:pPr>
      <w:r>
        <w:t>4.5 Data &amp; Analytics</w:t>
        <w:tab/>
        <w:t>27</w:t>
      </w:r>
    </w:p>
    <w:p>
      <w:pPr>
        <w:pStyle w:val="TOC3"/>
      </w:pPr>
      <w:r>
        <w:t>INT-BI-01: Business Intelligence (BI) Tools</w:t>
        <w:tab/>
        <w:t>27</w:t>
      </w:r>
    </w:p>
    <w:p>
      <w:pPr>
        <w:pStyle w:val="TOC3"/>
      </w:pPr>
      <w:r>
        <w:t>INT-DATA-01: Data Warehouses &amp; Data Lakes</w:t>
        <w:tab/>
        <w:t>27</w:t>
      </w:r>
    </w:p>
    <w:p>
      <w:pPr>
        <w:pStyle w:val="TOC1"/>
      </w:pPr>
      <w:r>
        <w:t>4.6 Core Platform &amp; Security</w:t>
        <w:tab/>
        <w:t>28</w:t>
      </w:r>
    </w:p>
    <w:p>
      <w:pPr>
        <w:pStyle w:val="TOC3"/>
      </w:pPr>
      <w:r>
        <w:t>INT-SSO-01: Identity &amp; Access Management (IAM) / SSO</w:t>
        <w:tab/>
        <w:t>28</w:t>
      </w:r>
    </w:p>
    <w:p>
      <w:pPr>
        <w:pStyle w:val="TOC3"/>
      </w:pPr>
      <w:r>
        <w:t>INT-PAY-01: E-Commerce &amp; Payment Gateways</w:t>
        <w:tab/>
        <w:t>28</w:t>
      </w:r>
    </w:p>
    <w:p>
      <w:pPr>
        <w:pStyle w:val="TOC1"/>
      </w:pPr>
      <w:r>
        <w:t>4.7 Survey &amp; Feedback</w:t>
        <w:tab/>
        <w:t>28</w:t>
      </w:r>
    </w:p>
    <w:p>
      <w:pPr>
        <w:pStyle w:val="TOC3"/>
      </w:pPr>
      <w:r>
        <w:t>INT-SUR-01: Survey / Questionnaire Platform Integration</w:t>
        <w:tab/>
        <w:t>28</w:t>
      </w:r>
    </w:p>
    <w:p>
      <w:pPr>
        <w:pStyle w:val="TOC1"/>
      </w:pPr>
      <w:r>
        <w:t>5. Add-On Catalog</w:t>
        <w:tab/>
        <w:t>30</w:t>
      </w:r>
    </w:p>
    <w:p>
      <w:pPr>
        <w:pStyle w:val="TOC1"/>
      </w:pPr>
      <w:r>
        <w:t>5.0 Add-On-to-Pack Matrix</w:t>
        <w:tab/>
        <w:t>30</w:t>
      </w:r>
    </w:p>
    <w:p>
      <w:pPr>
        <w:pStyle w:val="TOC1"/>
      </w:pPr>
      <w:r>
        <w:t>5.1 Add-On Details</w:t>
        <w:tab/>
        <w:t>30</w:t>
      </w:r>
    </w:p>
    <w:p>
      <w:pPr>
        <w:pStyle w:val="TOC3"/>
      </w:pPr>
      <w:r>
        <w:t>AD-01: Immersive Learning (VR/AR/Simulation)</w:t>
        <w:tab/>
        <w:t>30</w:t>
      </w:r>
    </w:p>
    <w:p>
      <w:pPr>
        <w:pStyle w:val="TOC3"/>
      </w:pPr>
      <w:r>
        <w:t>AD-02: AI Personalization Engine</w:t>
        <w:tab/>
        <w:t>31</w:t>
      </w:r>
    </w:p>
    <w:p>
      <w:pPr>
        <w:pStyle w:val="TOC3"/>
      </w:pPr>
      <w:r>
        <w:t>AD-03: Predictive Analytics</w:t>
        <w:tab/>
        <w:t>31</w:t>
      </w:r>
    </w:p>
    <w:p>
      <w:pPr>
        <w:pStyle w:val="TOC3"/>
      </w:pPr>
      <w:r>
        <w:t>AD-04: Social &amp; Collaborative Learning</w:t>
        <w:tab/>
        <w:t>31</w:t>
      </w:r>
    </w:p>
    <w:p>
      <w:pPr>
        <w:pStyle w:val="TOC3"/>
      </w:pPr>
      <w:r>
        <w:t>AD-05: Gamification Engine</w:t>
        <w:tab/>
        <w:t>32</w:t>
      </w:r>
    </w:p>
    <w:p>
      <w:pPr>
        <w:pStyle w:val="TOC3"/>
      </w:pPr>
      <w:r>
        <w:t>AD-06: Content Curation &amp; Aggregation Engine</w:t>
        <w:tab/>
        <w:t>32</w:t>
      </w:r>
    </w:p>
    <w:p>
      <w:pPr>
        <w:pStyle w:val="TOC3"/>
      </w:pPr>
      <w:r>
        <w:t>AD-07: Expert Knowledge Capture &amp; Transfer</w:t>
        <w:tab/>
        <w:t>32</w:t>
      </w:r>
    </w:p>
    <w:p>
      <w:pPr>
        <w:pStyle w:val="TOC3"/>
      </w:pPr>
      <w:r>
        <w:t>AD-08: Multi-Site / Multi-Entity Deployment</w:t>
        <w:tab/>
        <w:t>33</w:t>
      </w:r>
    </w:p>
    <w:p>
      <w:pPr>
        <w:pStyle w:val="TOC3"/>
      </w:pPr>
      <w:r>
        <w:t>AD-09: External Training Plan Validation (Regulatory)</w:t>
        <w:tab/>
        <w:t>33</w:t>
      </w:r>
    </w:p>
    <w:p>
      <w:pPr>
        <w:pStyle w:val="TOC3"/>
      </w:pPr>
      <w:r>
        <w:t>AD-10: Leadership Maturity Assessment &amp; Development</w:t>
        <w:tab/>
        <w:t>33</w:t>
      </w:r>
    </w:p>
    <w:p>
      <w:pPr>
        <w:pStyle w:val="TOC3"/>
      </w:pPr>
      <w:r>
        <w:t>AD-11: Questionnaire Library &amp; Multi-Channel Distribution</w:t>
        <w:tab/>
        <w:t>34</w:t>
      </w:r>
    </w:p>
    <w:p>
      <w:pPr>
        <w:pStyle w:val="TOC1"/>
      </w:pPr>
      <w:r>
        <w:t>6. Pricing Summary &amp; Packaging Rules</w:t>
        <w:tab/>
        <w:t>35</w:t>
      </w:r>
    </w:p>
    <w:p>
      <w:pPr>
        <w:pStyle w:val="TOC1"/>
      </w:pPr>
      <w:r>
        <w:t>6.1 Pack Pricing</w:t>
        <w:tab/>
        <w:t>35</w:t>
      </w:r>
    </w:p>
    <w:p>
      <w:pPr>
        <w:pStyle w:val="TOC1"/>
      </w:pPr>
      <w:r>
        <w:t>6.2 Add-On Pricing</w:t>
        <w:tab/>
        <w:t>35</w:t>
      </w:r>
    </w:p>
    <w:p>
      <w:pPr>
        <w:pStyle w:val="TOC1"/>
      </w:pPr>
      <w:r>
        <w:t>6.3 Packaging Rules</w:t>
        <w:tab/>
        <w:t>35</w:t>
      </w:r>
    </w:p>
    <w:p>
      <w:pPr>
        <w:pStyle w:val="TOC1"/>
      </w:pPr>
      <w:r>
        <w:t>6.4 Bundle Discounts (Optional)</w:t>
        <w:tab/>
        <w:t>36</w:t>
      </w:r>
    </w:p>
    <w:p>
      <w:pPr>
        <w:pStyle w:val="TOC1"/>
      </w:pPr>
      <w:r>
        <w:t xml:space="preserve">6.5 SME Packs</w:t>
        <w:tab/>
        <w:t>36</w:t>
      </w:r>
    </w:p>
    <w:p>
      <w:pPr>
        <w:pStyle w:val="TOC1"/>
      </w:pPr>
      <w:r>
        <w:t xml:space="preserve">6.6 Compliance &amp; Security Standards</w:t>
        <w:tab/>
        <w:t>36</w:t>
      </w:r>
    </w:p>
    <w:p>
      <w:pPr>
        <w:pStyle w:val="TOC1"/>
      </w:pPr>
      <w:r>
        <w:t xml:space="preserve">6.7 Entitlements, Quotas &amp; AI Tiers</w:t>
        <w:tab/>
        <w:t>37</w:t>
      </w:r>
    </w:p>
    <w:p>
      <w:pPr>
        <w:pStyle w:val="TOC1"/>
      </w:pPr>
      <w:r>
        <w:t xml:space="preserve">6.8 Deployment, Licensing &amp; Customer Edition</w:t>
        <w:tab/>
        <w:t>38</w:t>
      </w:r>
    </w:p>
    <w:p>
      <w:pPr>
        <w:pStyle w:val="TOC1"/>
      </w:pPr>
      <w:r>
        <w:t>7. Strategic Conclusion</w:t>
        <w:tab/>
        <w:t>39</w:t>
      </w:r>
      <w:r>
        <w:fldChar w:fldCharType="end"/>
      </w:r>
    </w:p>
    <w:p>
      <w:pPr>
        <w:keepNext/>
        <w:spacing w:before="360" w:after="80"/>
      </w:pPr>
      <w:r>
        <w:rPr>
          <w:rFonts w:ascii="Times New Roman" w:hAnsi="Times New Roman" w:cs="Times New Roman" w:eastAsia="Times New Roman"/>
          <w:b/>
          <w:color w:val="E07B00"/>
          <w:spacing w:val="30"/>
          <w:sz w:val="19"/>
        </w:rPr>
        <w:t>REVISION HISTORY</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55"/>
        <w:gridCol w:w="2014"/>
        <w:gridCol w:w="6777"/>
      </w:tblGrid>
      <w:tr>
        <w:trPr>
          <w:cantSplit/>
          <w:tblHeader/>
        </w:trPr>
        <w:tc>
          <w:tcPr>
            <w:tcW w:type="dxa" w:w="9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Version</w:t>
            </w:r>
          </w:p>
        </w:tc>
        <w:tc>
          <w:tcPr>
            <w:tcW w:type="dxa" w:w="201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Date</w:t>
            </w:r>
          </w:p>
        </w:tc>
        <w:tc>
          <w:tcPr>
            <w:tcW w:type="dxa" w:w="677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Change</w:t>
            </w:r>
          </w:p>
        </w:tc>
      </w:tr>
      <w:tr>
        <w:trPr>
          <w:cantSplit/>
        </w:trPr>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1.0</w:t>
            </w:r>
          </w:p>
        </w:tc>
        <w:tc>
          <w:tcPr>
            <w:tcW w:type="dxa" w:w="201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September 2026</w:t>
            </w:r>
          </w:p>
        </w:tc>
        <w:tc>
          <w:tcPr>
            <w:tcW w:type="dxa" w:w="6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Initial commercial architecture: 8 packs, 17 integrations in 6 families, 10 add-ons.</w:t>
            </w:r>
          </w:p>
        </w:tc>
      </w:tr>
      <w:tr>
        <w:trPr>
          <w:cantSplit/>
        </w:trPr>
        <w:tc>
          <w:tcPr>
            <w:tcW w:type="dxa" w:w="9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2.0</w:t>
            </w:r>
          </w:p>
        </w:tc>
        <w:tc>
          <w:tcPr>
            <w:tcW w:type="dxa" w:w="201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28 September 2026</w:t>
            </w:r>
          </w:p>
        </w:tc>
        <w:tc>
          <w:tcPr>
            <w:tcW w:type="dxa" w:w="677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CR1 — Scope of Work &amp; Questionnaire Management: M53 and M54 added to PK-01, PK-07 and PK-08 (MP-53, MP-54); new integration</w:t>
            </w:r>
          </w:p>
          <w:p>
            <w:pPr>
              <w:spacing w:after="0" w:line="240" w:lineRule="auto"/>
            </w:pPr>
            <w:r>
              <w:rPr>
                <w:rFonts w:ascii="Times New Roman" w:hAnsi="Times New Roman" w:cs="Times New Roman" w:eastAsia="Times New Roman"/>
                <w:b w:val="0"/>
                <w:i w:val="0"/>
                <w:color w:val="58595B"/>
                <w:sz w:val="19"/>
              </w:rPr>
              <w:t>INT-SUR-01 (family 4.7 Survey &amp; Feedback); new add-on</w:t>
            </w:r>
          </w:p>
          <w:p>
            <w:pPr>
              <w:spacing w:after="0" w:line="240" w:lineRule="auto"/>
            </w:pPr>
            <w:r>
              <w:rPr>
                <w:rFonts w:ascii="Times New Roman" w:hAnsi="Times New Roman" w:cs="Times New Roman" w:eastAsia="Times New Roman"/>
                <w:b w:val="0"/>
                <w:i w:val="0"/>
                <w:color w:val="58595B"/>
                <w:sz w:val="19"/>
              </w:rPr>
              <w:t>AD-11 ($49/month); pricing notes and differentiators updated. No base price change.</w:t>
            </w:r>
          </w:p>
        </w:tc>
      </w:tr>
      <w:tr>
        <w:trPr>
          <w:cantSplit/>
        </w:trPr>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3.0</w:t>
            </w:r>
          </w:p>
        </w:tc>
        <w:tc>
          <w:tcPr>
            <w:tcW w:type="dxa" w:w="201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16 October 2026</w:t>
            </w:r>
          </w:p>
        </w:tc>
        <w:tc>
          <w:tcPr>
            <w:tcW w:type="dxa" w:w="6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Aligned with CortexSkills release 1.15.0: SME packs (6.5), compliance and security standards (6.6), entitlements, quotas and AI tiers per offer (6.7), deployment, licensing and customer edition (6.8). AD-11 channels updated to Face-to-Face, Email, WhatsApp, Application and Combination; bundle user terms stated. No change to pack, add-on or bundle prices.</w:t>
            </w:r>
          </w:p>
          <w:p>
            <w:pPr>
              <w:spacing w:after="0" w:line="240" w:lineRule="auto"/>
            </w:pPr>
            <w:r>
              <w:rPr>
                <w:rFonts w:ascii="Times New Roman" w:hAnsi="Times New Roman" w:cs="Times New Roman" w:eastAsia="Times New Roman"/>
                <w:b w:val="0"/>
                <w:i w:val="0"/>
                <w:color w:val="58595B"/>
                <w:sz w:val="19"/>
              </w:rPr>
              <w:t/>
            </w:r>
          </w:p>
          <w:p>
            <w:pPr>
              <w:spacing w:after="0" w:line="240" w:lineRule="auto"/>
            </w:pPr>
            <w:r>
              <w:rPr>
                <w:rFonts w:ascii="Times New Roman" w:hAnsi="Times New Roman" w:cs="Times New Roman" w:eastAsia="Times New Roman"/>
                <w:b w:val="0"/>
                <w:i w:val="0"/>
                <w:color w:val="58595B"/>
                <w:sz w:val="19"/>
              </w:rPr>
              <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1</w:t>
      </w:r>
    </w:p>
    <w:p>
      <w:pPr>
        <w:pStyle w:val="Heading1"/>
      </w:pPr>
      <w:r>
        <w:t>1.  Executive Summary</w:t>
      </w:r>
    </w:p>
    <w:p>
      <w:pPr>
        <w:spacing w:after="120"/>
        <w:jc w:val="both"/>
      </w:pPr>
      <w:r>
        <w:rPr>
          <w:rFonts w:ascii="Times New Roman" w:hAnsi="Times New Roman" w:cs="Times New Roman" w:eastAsia="Times New Roman"/>
          <w:b w:val="0"/>
          <w:i w:val="0"/>
          <w:color w:val="58595B"/>
        </w:rPr>
        <w:t>This document defines the commercial architecture for CortexSkills, the #1 market-leading Training Engineering application. It presents three building blocks:</w:t>
      </w:r>
    </w:p>
    <w:p>
      <w:pPr>
        <w:pStyle w:val="ListBullet"/>
        <w:spacing w:after="80"/>
        <w:jc w:val="both"/>
      </w:pPr>
      <w:r>
        <w:rPr>
          <w:rFonts w:ascii="Times New Roman" w:hAnsi="Times New Roman" w:cs="Times New Roman" w:eastAsia="Times New Roman"/>
          <w:b/>
          <w:i w:val="0"/>
          <w:color w:val="3A3A3C"/>
        </w:rPr>
        <w:t xml:space="preserve">8 optimized Packs </w:t>
      </w:r>
      <w:r>
        <w:rPr>
          <w:rFonts w:ascii="Times New Roman" w:hAnsi="Times New Roman" w:cs="Times New Roman" w:eastAsia="Times New Roman"/>
          <w:b w:val="0"/>
          <w:i w:val="0"/>
          <w:color w:val="58595B"/>
        </w:rPr>
        <w:t>designed to cover the full spectrum of customer needs, from SMB to Enterprise, and from operational L&amp;D to strategic consulting.</w:t>
      </w:r>
    </w:p>
    <w:p>
      <w:pPr>
        <w:pStyle w:val="ListBullet"/>
        <w:spacing w:after="80"/>
        <w:jc w:val="both"/>
      </w:pPr>
      <w:r>
        <w:rPr>
          <w:rFonts w:ascii="Times New Roman" w:hAnsi="Times New Roman" w:cs="Times New Roman" w:eastAsia="Times New Roman"/>
          <w:b/>
          <w:i w:val="0"/>
          <w:color w:val="3A3A3C"/>
        </w:rPr>
        <w:t xml:space="preserve">A comprehensive Integration Catalog </w:t>
      </w:r>
      <w:r>
        <w:rPr>
          <w:rFonts w:ascii="Times New Roman" w:hAnsi="Times New Roman" w:cs="Times New Roman" w:eastAsia="Times New Roman"/>
          <w:b w:val="0"/>
          <w:i w:val="0"/>
          <w:color w:val="58595B"/>
        </w:rPr>
        <w:t>mapping external applications to the packs that benefit from them, with clear value propositions tied to customer behavior, pain points, and hopes.</w:t>
      </w:r>
    </w:p>
    <w:p>
      <w:pPr>
        <w:pStyle w:val="ListBullet"/>
        <w:spacing w:after="80"/>
        <w:jc w:val="both"/>
      </w:pPr>
      <w:r>
        <w:rPr>
          <w:rFonts w:ascii="Times New Roman" w:hAnsi="Times New Roman" w:cs="Times New Roman" w:eastAsia="Times New Roman"/>
          <w:b/>
          <w:i w:val="0"/>
          <w:color w:val="3A3A3C"/>
        </w:rPr>
        <w:t xml:space="preserve">A curated Add-On Catalog </w:t>
      </w:r>
      <w:r>
        <w:rPr>
          <w:rFonts w:ascii="Times New Roman" w:hAnsi="Times New Roman" w:cs="Times New Roman" w:eastAsia="Times New Roman"/>
          <w:b w:val="0"/>
          <w:i w:val="0"/>
          <w:color w:val="58595B"/>
        </w:rPr>
        <w:t>enabling customers to extend their packs with specialized capabilities.</w:t>
      </w:r>
    </w:p>
    <w:p>
      <w:pPr>
        <w:keepNext/>
        <w:spacing w:before="160" w:after="60"/>
      </w:pPr>
      <w:r>
        <w:rPr>
          <w:rFonts w:ascii="Times New Roman" w:hAnsi="Times New Roman" w:cs="Times New Roman" w:eastAsia="Times New Roman"/>
          <w:b/>
          <w:i w:val="0"/>
          <w:color w:val="3A3A3C"/>
          <w:sz w:val="23"/>
        </w:rPr>
        <w:t>Packaging rules applied</w:t>
      </w:r>
    </w:p>
    <w:p>
      <w:pPr>
        <w:pStyle w:val="ListBullet"/>
        <w:spacing w:after="80"/>
        <w:jc w:val="both"/>
      </w:pPr>
      <w:r>
        <w:rPr>
          <w:rFonts w:ascii="Times New Roman" w:hAnsi="Times New Roman" w:cs="Times New Roman" w:eastAsia="Times New Roman"/>
          <w:b w:val="0"/>
          <w:i w:val="0"/>
          <w:color w:val="58595B"/>
        </w:rPr>
        <w:t>The number of Packs is optimized to 8, balancing simplicity for buyers with coverage of the 52 macro processes.</w:t>
      </w:r>
    </w:p>
    <w:p>
      <w:pPr>
        <w:pStyle w:val="ListBullet"/>
        <w:spacing w:after="80"/>
        <w:jc w:val="both"/>
      </w:pPr>
      <w:r>
        <w:rPr>
          <w:rFonts w:ascii="Times New Roman" w:hAnsi="Times New Roman" w:cs="Times New Roman" w:eastAsia="Times New Roman"/>
          <w:b w:val="0"/>
          <w:i w:val="0"/>
          <w:color w:val="58595B"/>
        </w:rPr>
        <w:t>The minimum price is 40 USD/month, ensuring every pack delivers tangible value.</w:t>
      </w:r>
    </w:p>
    <w:p>
      <w:pPr>
        <w:pStyle w:val="ListBullet"/>
        <w:spacing w:after="80"/>
        <w:jc w:val="both"/>
      </w:pPr>
      <w:r>
        <w:rPr>
          <w:rFonts w:ascii="Times New Roman" w:hAnsi="Times New Roman" w:cs="Times New Roman" w:eastAsia="Times New Roman"/>
          <w:b w:val="0"/>
          <w:i w:val="0"/>
          <w:color w:val="58595B"/>
        </w:rPr>
        <w:t>Each Pack targets a specific segment, has a clear value proposition, maps to specific macro processes, and includes related modules.</w:t>
      </w:r>
    </w:p>
    <w:p>
      <w:pPr>
        <w:pStyle w:val="ListBullet"/>
        <w:spacing w:after="80"/>
        <w:jc w:val="both"/>
      </w:pPr>
      <w:r>
        <w:rPr>
          <w:rFonts w:ascii="Times New Roman" w:hAnsi="Times New Roman" w:cs="Times New Roman" w:eastAsia="Times New Roman"/>
          <w:b w:val="0"/>
          <w:i w:val="0"/>
          <w:color w:val="58595B"/>
        </w:rPr>
        <w:t>Integrations and Add-Ons are mapped to the Packs that benefit most from them.</w:t>
      </w: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What is new in version 2.0</w:t>
            </w:r>
          </w:p>
          <w:p>
            <w:pPr>
              <w:spacing w:after="0" w:line="276" w:lineRule="auto"/>
              <w:jc w:val="both"/>
            </w:pPr>
            <w:r>
              <w:rPr>
                <w:rFonts w:ascii="Times New Roman" w:hAnsi="Times New Roman" w:cs="Times New Roman" w:eastAsia="Times New Roman"/>
                <w:b w:val="0"/>
                <w:i w:val="0"/>
                <w:color w:val="3A3A3C"/>
                <w:sz w:val="22"/>
              </w:rPr>
              <w:t>Version 2.0 adds structured Scope of Work definition and multi-channel questionnaire management to CortexSkills. Two new modules — M53 Scope of Work Studio and M54 Questionnaire Studio — are included in PK-01, PK-07 and PK-08 and support two new macro processes, MP-53 and MP-54. One integration (INT-SUR-01 Survey / Questionnaire Platform Integration) and one add-on (AD-11 Questionnaire Library &amp; Multi-Channel Distribution) are added. The catalog now counts 8 packs, 18 integrations in 7 families and 11 add-ons. No pack base price changes.</w:t>
            </w:r>
          </w:p>
        </w:tc>
      </w:tr>
    </w:tbl>
    <w:p>
      <w:pPr>
        <w:spacing w:after="80"/>
      </w:pP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 xml:space="preserve">What is new in version 3.0</w:t>
            </w:r>
          </w:p>
          <w:p>
            <w:pPr>
              <w:spacing w:after="0" w:line="276" w:lineRule="auto"/>
              <w:jc w:val="both"/>
            </w:pPr>
            <w:r>
              <w:rPr>
                <w:rFonts w:ascii="Times New Roman" w:hAnsi="Times New Roman" w:cs="Times New Roman" w:eastAsia="Times New Roman"/>
                <w:b w:val="0"/>
                <w:i w:val="0"/>
                <w:color w:val="3A3A3C"/>
                <w:sz w:val="22"/>
              </w:rPr>
              <w:t xml:space="preserve">Version 3.0 aligns the catalog with CortexSkills release 1.15.0. It adds the three SME packs, the compliance and security standards, the quotas and AI tier of each offer, and the licensing rules of private-cloud and on-premises installations, where the plan, the users and the add-ons come from a licence signed by POWERACT. Pack, add-on and bundle prices are unchanged.</w:t>
            </w:r>
          </w:p>
        </w:tc>
      </w:tr>
    </w:tbl>
    <w:p>
      <w:pPr>
        <w:spacing w:after="80"/>
      </w:pPr>
    </w:p>
    <w:p>
      <w:pPr>
        <w:spacing w:after="80"/>
      </w:pPr>
    </w:p>
    <w:p>
      <w:pPr>
        <w:pStyle w:val="Heading2"/>
      </w:pPr>
      <w:r>
        <w:t>1.1  How to Read This Document</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3708"/>
        <w:gridCol w:w="6038"/>
      </w:tblGrid>
      <w:tr>
        <w:trPr>
          <w:cantSplit/>
          <w:tblHeader/>
        </w:trPr>
        <w:tc>
          <w:tcPr>
            <w:tcW w:type="dxa" w:w="370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Section</w:t>
            </w:r>
          </w:p>
        </w:tc>
        <w:tc>
          <w:tcPr>
            <w:tcW w:type="dxa" w:w="603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What you will find</w:t>
            </w:r>
          </w:p>
        </w:tc>
      </w:tr>
      <w:tr>
        <w:trPr>
          <w:cantSplit/>
        </w:trPr>
        <w:tc>
          <w:tcPr>
            <w:tcW w:type="dxa" w:w="370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2  Pack Architecture Overview</w:t>
            </w:r>
          </w:p>
        </w:tc>
        <w:tc>
          <w:tcPr>
            <w:tcW w:type="dxa" w:w="603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All 8 packs on one page, the positioning map and a price comparison.</w:t>
            </w:r>
          </w:p>
        </w:tc>
      </w:tr>
      <w:tr>
        <w:trPr>
          <w:cantSplit/>
        </w:trPr>
        <w:tc>
          <w:tcPr>
            <w:tcW w:type="dxa" w:w="370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3  Detailed Pack Specifications</w:t>
            </w:r>
          </w:p>
        </w:tc>
        <w:tc>
          <w:tcPr>
            <w:tcW w:type="dxa" w:w="603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One page per pack: segment, value proposition, modules, macro processes, price, and the integrations and add-ons that fit it.</w:t>
            </w:r>
          </w:p>
        </w:tc>
      </w:tr>
      <w:tr>
        <w:trPr>
          <w:cantSplit/>
        </w:trPr>
        <w:tc>
          <w:tcPr>
            <w:tcW w:type="dxa" w:w="370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  Integration Catalog</w:t>
            </w:r>
          </w:p>
        </w:tc>
        <w:tc>
          <w:tcPr>
            <w:tcW w:type="dxa" w:w="603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18 integrations in 7 families, with a pack-compatibility matrix.</w:t>
            </w:r>
          </w:p>
        </w:tc>
      </w:tr>
      <w:tr>
        <w:trPr>
          <w:cantSplit/>
        </w:trPr>
        <w:tc>
          <w:tcPr>
            <w:tcW w:type="dxa" w:w="370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5  Add-On Catalog</w:t>
            </w:r>
          </w:p>
        </w:tc>
        <w:tc>
          <w:tcPr>
            <w:tcW w:type="dxa" w:w="603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11 optional add-ons with prices and a pack-compatibility matrix.</w:t>
            </w:r>
          </w:p>
        </w:tc>
      </w:tr>
      <w:tr>
        <w:trPr>
          <w:cantSplit/>
        </w:trPr>
        <w:tc>
          <w:tcPr>
            <w:tcW w:type="dxa" w:w="370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6  Pricing Summary &amp; Packaging Rules</w:t>
            </w:r>
          </w:p>
        </w:tc>
        <w:tc>
          <w:tcPr>
            <w:tcW w:type="dxa" w:w="603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Prices, user limits, overage, packaging rules, bundle discounts, SME packs, compliance standards, entitlements and licensing.</w:t>
            </w:r>
          </w:p>
        </w:tc>
      </w:tr>
      <w:tr>
        <w:trPr>
          <w:cantSplit/>
        </w:trPr>
        <w:tc>
          <w:tcPr>
            <w:tcW w:type="dxa" w:w="370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7  Strategic Conclusion</w:t>
            </w:r>
          </w:p>
        </w:tc>
        <w:tc>
          <w:tcPr>
            <w:tcW w:type="dxa" w:w="603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Key differentiators.</w:t>
            </w:r>
          </w:p>
        </w:tc>
      </w:tr>
    </w:tbl>
    <w:p>
      <w:pPr>
        <w:spacing w:before="0" w:after="80" w:line="240" w:lineRule="auto"/>
      </w:pPr>
    </w:p>
    <w:p>
      <w:pPr>
        <w:spacing w:after="120"/>
        <w:jc w:val="both"/>
      </w:pPr>
      <w:r>
        <w:rPr>
          <w:rFonts w:ascii="Times New Roman" w:hAnsi="Times New Roman" w:cs="Times New Roman" w:eastAsia="Times New Roman"/>
          <w:b/>
          <w:i w:val="0"/>
          <w:color w:val="3A3A3C"/>
        </w:rPr>
        <w:t xml:space="preserve">Value propositions </w:t>
      </w:r>
      <w:r>
        <w:rPr>
          <w:rFonts w:ascii="Times New Roman" w:hAnsi="Times New Roman" w:cs="Times New Roman" w:eastAsia="Times New Roman"/>
          <w:b w:val="0"/>
          <w:i w:val="0"/>
          <w:color w:val="58595B"/>
        </w:rPr>
        <w:t xml:space="preserve">are presented in three parts throughout: </w:t>
      </w:r>
      <w:r>
        <w:rPr>
          <w:rFonts w:ascii="Times New Roman" w:hAnsi="Times New Roman" w:cs="Times New Roman" w:eastAsia="Times New Roman"/>
          <w:b/>
          <w:i w:val="0"/>
          <w:color w:val="3A3A3C"/>
        </w:rPr>
        <w:t>Behavior</w:t>
      </w:r>
      <w:r>
        <w:rPr>
          <w:rFonts w:ascii="Times New Roman" w:hAnsi="Times New Roman" w:cs="Times New Roman" w:eastAsia="Times New Roman"/>
          <w:b w:val="0"/>
          <w:i w:val="0"/>
          <w:color w:val="58595B"/>
        </w:rPr>
        <w:t xml:space="preserve"> (what customers do today), </w:t>
      </w:r>
      <w:r>
        <w:rPr>
          <w:rFonts w:ascii="Times New Roman" w:hAnsi="Times New Roman" w:cs="Times New Roman" w:eastAsia="Times New Roman"/>
          <w:b/>
          <w:i w:val="0"/>
          <w:color w:val="3A3A3C"/>
        </w:rPr>
        <w:t>Pain point</w:t>
      </w:r>
      <w:r>
        <w:rPr>
          <w:rFonts w:ascii="Times New Roman" w:hAnsi="Times New Roman" w:cs="Times New Roman" w:eastAsia="Times New Roman"/>
          <w:b w:val="0"/>
          <w:i w:val="0"/>
          <w:color w:val="58595B"/>
        </w:rPr>
        <w:t xml:space="preserve"> (what hurts), and </w:t>
      </w:r>
      <w:r>
        <w:rPr>
          <w:rFonts w:ascii="Times New Roman" w:hAnsi="Times New Roman" w:cs="Times New Roman" w:eastAsia="Times New Roman"/>
          <w:b/>
          <w:i w:val="0"/>
          <w:color w:val="3A3A3C"/>
        </w:rPr>
        <w:t>Hope</w:t>
      </w:r>
      <w:r>
        <w:rPr>
          <w:rFonts w:ascii="Times New Roman" w:hAnsi="Times New Roman" w:cs="Times New Roman" w:eastAsia="Times New Roman"/>
          <w:b w:val="0"/>
          <w:i w:val="0"/>
          <w:color w:val="58595B"/>
        </w:rPr>
        <w:t xml:space="preserve"> (what they want).</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2</w:t>
      </w:r>
    </w:p>
    <w:p>
      <w:pPr>
        <w:pStyle w:val="Heading1"/>
      </w:pPr>
      <w:r>
        <w:t>2.  Pack Architecture Overview</w:t>
      </w:r>
    </w:p>
    <w:p>
      <w:pPr>
        <w:pStyle w:val="Heading2"/>
      </w:pPr>
      <w:r>
        <w:t>2.1  Pack Summary</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745"/>
        <w:gridCol w:w="2370"/>
        <w:gridCol w:w="2002"/>
        <w:gridCol w:w="1375"/>
        <w:gridCol w:w="3254"/>
      </w:tblGrid>
      <w:tr>
        <w:trPr>
          <w:cantSplit/>
          <w:tblHeader/>
        </w:trPr>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Pack ID</w:t>
            </w:r>
          </w:p>
        </w:tc>
        <w:tc>
          <w:tcPr>
            <w:tcW w:type="dxa" w:w="237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Pack name</w:t>
            </w:r>
          </w:p>
        </w:tc>
        <w:tc>
          <w:tcPr>
            <w:tcW w:type="dxa" w:w="200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Target segment</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Price (USD/month)</w:t>
            </w:r>
          </w:p>
        </w:tc>
        <w:tc>
          <w:tcPr>
            <w:tcW w:type="dxa" w:w="325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Related macro processes</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PK-01</w:t>
            </w:r>
          </w:p>
        </w:tc>
        <w:tc>
          <w:tcPr>
            <w:tcW w:type="dxa" w:w="23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Core Training Engineering Pack</w:t>
            </w:r>
          </w:p>
        </w:tc>
        <w:tc>
          <w:tcPr>
            <w:tcW w:type="dxa" w:w="200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SMB, Mid-Market</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$99</w:t>
            </w:r>
          </w:p>
        </w:tc>
        <w:tc>
          <w:tcPr>
            <w:tcW w:type="dxa" w:w="32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MP-01 to MP-06, MP-18, MP-20, MP-53, MP-54</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PK-02</w:t>
            </w:r>
          </w:p>
        </w:tc>
        <w:tc>
          <w:tcPr>
            <w:tcW w:type="dxa" w:w="23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 Delivery &amp; Experience Pack</w:t>
            </w:r>
          </w:p>
        </w:tc>
        <w:tc>
          <w:tcPr>
            <w:tcW w:type="dxa" w:w="200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SMB, Mid-Market, Enterprise</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$149</w:t>
            </w:r>
          </w:p>
        </w:tc>
        <w:tc>
          <w:tcPr>
            <w:tcW w:type="dxa" w:w="32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MP-07 to MP-12, MP-21, MP-24 to MP-27</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PK-03</w:t>
            </w:r>
          </w:p>
        </w:tc>
        <w:tc>
          <w:tcPr>
            <w:tcW w:type="dxa" w:w="23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Analytics &amp; ROI Pack</w:t>
            </w:r>
          </w:p>
        </w:tc>
        <w:tc>
          <w:tcPr>
            <w:tcW w:type="dxa" w:w="200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Mid-Market, Enterprise</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$129</w:t>
            </w:r>
          </w:p>
        </w:tc>
        <w:tc>
          <w:tcPr>
            <w:tcW w:type="dxa" w:w="32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MP-09, MP-10, MP-20, MP-28, MP-32</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PK-04</w:t>
            </w:r>
          </w:p>
        </w:tc>
        <w:tc>
          <w:tcPr>
            <w:tcW w:type="dxa" w:w="23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Compliance &amp; Certification Pack</w:t>
            </w:r>
          </w:p>
        </w:tc>
        <w:tc>
          <w:tcPr>
            <w:tcW w:type="dxa" w:w="200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Regulated Industries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$99</w:t>
            </w:r>
          </w:p>
        </w:tc>
        <w:tc>
          <w:tcPr>
            <w:tcW w:type="dxa" w:w="32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MP-14, MP-41, MP-09, MP-10</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PK-05</w:t>
            </w:r>
          </w:p>
        </w:tc>
        <w:tc>
          <w:tcPr>
            <w:tcW w:type="dxa" w:w="23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Talent &amp; Mobility Pack</w:t>
            </w:r>
          </w:p>
        </w:tc>
        <w:tc>
          <w:tcPr>
            <w:tcW w:type="dxa" w:w="200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Mid-Market, Enterprise</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$119</w:t>
            </w:r>
          </w:p>
        </w:tc>
        <w:tc>
          <w:tcPr>
            <w:tcW w:type="dxa" w:w="32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MP-13, MP-31, MP-35, MP-02, MP-08</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PK-06</w:t>
            </w:r>
          </w:p>
        </w:tc>
        <w:tc>
          <w:tcPr>
            <w:tcW w:type="dxa" w:w="23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Extended Enterprise Pack</w:t>
            </w:r>
          </w:p>
        </w:tc>
        <w:tc>
          <w:tcPr>
            <w:tcW w:type="dxa" w:w="200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 Providers, Enterprises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$109</w:t>
            </w:r>
          </w:p>
        </w:tc>
        <w:tc>
          <w:tcPr>
            <w:tcW w:type="dxa" w:w="32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MP-22, MP-07, MP-14, MP-18, MP-29</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PK-07</w:t>
            </w:r>
          </w:p>
        </w:tc>
        <w:tc>
          <w:tcPr>
            <w:tcW w:type="dxa" w:w="23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 &amp; Diagnostic Pack</w:t>
            </w:r>
          </w:p>
        </w:tc>
        <w:tc>
          <w:tcPr>
            <w:tcW w:type="dxa" w:w="200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 Firms, Enterprises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$249</w:t>
            </w:r>
          </w:p>
        </w:tc>
        <w:tc>
          <w:tcPr>
            <w:tcW w:type="dxa" w:w="32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MP-36 to MP-42, MP-53, MP-54</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PK-08</w:t>
            </w:r>
          </w:p>
        </w:tc>
        <w:tc>
          <w:tcPr>
            <w:tcW w:type="dxa" w:w="23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Strategic Workforce &amp; Governance Pack</w:t>
            </w:r>
          </w:p>
        </w:tc>
        <w:tc>
          <w:tcPr>
            <w:tcW w:type="dxa" w:w="200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Enterprise, Large Organizations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$199</w:t>
            </w:r>
          </w:p>
        </w:tc>
        <w:tc>
          <w:tcPr>
            <w:tcW w:type="dxa" w:w="32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MP-43 to MP-50, MP-16, MP-17, MP-19, MP-20, MP-53, MP-54</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2.1 — The eight CortexSkills packs.</w:t>
      </w:r>
    </w:p>
    <w:p>
      <w:pPr>
        <w:pStyle w:val="Heading2"/>
      </w:pPr>
      <w:r>
        <w:t>2.2  Pack Positioning Map</w:t>
      </w:r>
    </w:p>
    <w:p>
      <w:pPr>
        <w:spacing w:after="120"/>
        <w:jc w:val="both"/>
      </w:pPr>
      <w:r>
        <w:rPr>
          <w:rFonts w:ascii="Times New Roman" w:hAnsi="Times New Roman" w:cs="Times New Roman" w:eastAsia="Times New Roman"/>
          <w:b w:val="0"/>
          <w:i w:val="0"/>
          <w:color w:val="58595B"/>
        </w:rPr>
        <w:t>The map places each pack on two axes, from operational to strategic. Orange-tint cards mark the three key differentiators named in the Strategic Conclusion: PK-01, PK-07 and PK-08.</w:t>
      </w:r>
    </w:p>
    <w:p>
      <w:pPr>
        <w:keepNext/>
        <w:spacing w:before="120" w:after="40"/>
        <w:jc w:val="center"/>
      </w:pPr>
      <w:r>
        <w:drawing>
          <wp:inline xmlns:a="http://schemas.openxmlformats.org/drawingml/2006/main" xmlns:pic="http://schemas.openxmlformats.org/drawingml/2006/picture">
            <wp:extent cx="5120640" cy="3584448"/>
            <wp:docPr id="2" name="Picture 2"/>
            <wp:cNvGraphicFramePr>
              <a:graphicFrameLocks noChangeAspect="1"/>
            </wp:cNvGraphicFramePr>
            <a:graphic>
              <a:graphicData uri="http://schemas.openxmlformats.org/drawingml/2006/picture">
                <pic:pic>
                  <pic:nvPicPr>
                    <pic:cNvPr id="0" name="packs_fig_2_2.png"/>
                    <pic:cNvPicPr/>
                  </pic:nvPicPr>
                  <pic:blipFill>
                    <a:blip r:embed="rId12"/>
                    <a:stretch>
                      <a:fillRect/>
                    </a:stretch>
                  </pic:blipFill>
                  <pic:spPr>
                    <a:xfrm>
                      <a:off x="0" y="0"/>
                      <a:ext cx="5120640" cy="3584448"/>
                    </a:xfrm>
                    <a:prstGeom prst="rect"/>
                  </pic:spPr>
                </pic:pic>
              </a:graphicData>
            </a:graphic>
          </wp:inline>
        </w:drawing>
      </w:r>
    </w:p>
    <w:p>
      <w:pPr>
        <w:spacing w:before="0" w:after="160"/>
        <w:jc w:val="center"/>
      </w:pPr>
      <w:r>
        <w:rPr>
          <w:rFonts w:ascii="Times New Roman" w:hAnsi="Times New Roman" w:cs="Times New Roman" w:eastAsia="Times New Roman"/>
          <w:b w:val="0"/>
          <w:i/>
          <w:color w:val="58595B"/>
          <w:sz w:val="19"/>
        </w:rPr>
        <w:t>Figure 2.2 — Pack positioning map, with base monthly price.</w:t>
      </w:r>
    </w:p>
    <w:p>
      <w:pPr>
        <w:pStyle w:val="Heading2"/>
      </w:pPr>
      <w:r>
        <w:t>2.3  Price Comparison</w:t>
      </w:r>
    </w:p>
    <w:p>
      <w:pPr>
        <w:spacing w:after="120"/>
        <w:jc w:val="both"/>
      </w:pPr>
      <w:r>
        <w:rPr>
          <w:rFonts w:ascii="Times New Roman" w:hAnsi="Times New Roman" w:cs="Times New Roman" w:eastAsia="Times New Roman"/>
          <w:b w:val="0"/>
          <w:i w:val="0"/>
          <w:color w:val="58595B"/>
        </w:rPr>
        <w:t>Base prices range from 99 to 249 USD per month. PK-07 is priced per engagement and PK-06 per external user; all other packs are priced per internal user.</w:t>
      </w:r>
    </w:p>
    <w:p>
      <w:pPr>
        <w:keepNext/>
        <w:spacing w:before="120" w:after="40"/>
        <w:jc w:val="center"/>
      </w:pPr>
      <w:r>
        <w:drawing>
          <wp:inline xmlns:a="http://schemas.openxmlformats.org/drawingml/2006/main" xmlns:pic="http://schemas.openxmlformats.org/drawingml/2006/picture">
            <wp:extent cx="5486400" cy="2811822"/>
            <wp:docPr id="3" name="Picture 3"/>
            <wp:cNvGraphicFramePr>
              <a:graphicFrameLocks noChangeAspect="1"/>
            </wp:cNvGraphicFramePr>
            <a:graphic>
              <a:graphicData uri="http://schemas.openxmlformats.org/drawingml/2006/picture">
                <pic:pic>
                  <pic:nvPicPr>
                    <pic:cNvPr id="0" name="packs_fig_2_3.png"/>
                    <pic:cNvPicPr/>
                  </pic:nvPicPr>
                  <pic:blipFill>
                    <a:blip r:embed="rId13"/>
                    <a:stretch>
                      <a:fillRect/>
                    </a:stretch>
                  </pic:blipFill>
                  <pic:spPr>
                    <a:xfrm>
                      <a:off x="0" y="0"/>
                      <a:ext cx="5486400" cy="2811822"/>
                    </a:xfrm>
                    <a:prstGeom prst="rect"/>
                  </pic:spPr>
                </pic:pic>
              </a:graphicData>
            </a:graphic>
          </wp:inline>
        </w:drawing>
      </w:r>
    </w:p>
    <w:p>
      <w:pPr>
        <w:spacing w:before="0" w:after="160"/>
        <w:jc w:val="center"/>
      </w:pPr>
      <w:r>
        <w:rPr>
          <w:rFonts w:ascii="Times New Roman" w:hAnsi="Times New Roman" w:cs="Times New Roman" w:eastAsia="Times New Roman"/>
          <w:b w:val="0"/>
          <w:i/>
          <w:color w:val="58595B"/>
          <w:sz w:val="19"/>
        </w:rPr>
        <w:t>Figure 2.3 — Suggested base price per pack (USD/month, before overage).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3</w:t>
      </w:r>
    </w:p>
    <w:p>
      <w:pPr>
        <w:pStyle w:val="Heading1"/>
      </w:pPr>
      <w:r>
        <w:t>3.  Detailed Pack Specifications</w:t>
      </w:r>
    </w:p>
    <w:p>
      <w:pPr>
        <w:spacing w:after="120"/>
        <w:jc w:val="both"/>
      </w:pPr>
      <w:r>
        <w:rPr>
          <w:rFonts w:ascii="Times New Roman" w:hAnsi="Times New Roman" w:cs="Times New Roman" w:eastAsia="Times New Roman"/>
          <w:b w:val="0"/>
          <w:i w:val="0"/>
          <w:color w:val="58595B"/>
        </w:rPr>
        <w:t>Each pack is described on its own page. The "Works best with" block is derived from the Integration and Add-On catalogs (Sections 4 and 5).</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PACK · PK-01</w:t>
      </w:r>
    </w:p>
    <w:p>
      <w:pPr>
        <w:pStyle w:val="Heading2"/>
      </w:pPr>
      <w:r>
        <w:t>PK-01: Core Training Engineering Pack</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ID</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PK-01</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name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Core Training Engineering Pack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Target segment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SMB (50–500 employees), Mid-Market (500–5,000 employees), L&amp;D teams starting their Training Engineering journey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$99 USD/month (up to 100 users); $0.75/user/month beyond 100 users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Value proposition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teams currently manage training needs with spreadsheets and disconnected tools.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They struggle to produce a formal Training Engineering Report and prioritized training roadmap, leading to reactive, ad-hoc training investments.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single platform that starts from a structured Scope of Work, collects evidence through multi-channel questionnaires, automates needs analysis, produces the flagship Training Engineering Report, and generates a prioritized roadmap aligned to business strategy.</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modules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895"/>
        <w:gridCol w:w="4183"/>
        <w:gridCol w:w="895"/>
        <w:gridCol w:w="3773"/>
      </w:tblGrid>
      <w:tr>
        <w:trPr>
          <w:cantSplit/>
          <w:tblHeader/>
        </w:trPr>
        <w:tc>
          <w:tcPr>
            <w:tcW w:type="dxa" w:w="8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418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c>
          <w:tcPr>
            <w:tcW w:type="dxa" w:w="8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77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r>
      <w:tr>
        <w:trPr>
          <w:cantSplit/>
        </w:trPr>
        <w:tc>
          <w:tcPr>
            <w:tcW w:type="dxa" w:w="8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M01</w:t>
            </w:r>
          </w:p>
        </w:tc>
        <w:tc>
          <w:tcPr>
            <w:tcW w:type="dxa" w:w="418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 Console</w:t>
            </w:r>
          </w:p>
        </w:tc>
        <w:tc>
          <w:tcPr>
            <w:tcW w:type="dxa" w:w="8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M05</w:t>
            </w:r>
          </w:p>
        </w:tc>
        <w:tc>
          <w:tcPr>
            <w:tcW w:type="dxa" w:w="377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Design Studio</w:t>
            </w:r>
          </w:p>
        </w:tc>
      </w:tr>
      <w:tr>
        <w:trPr>
          <w:cantSplit/>
        </w:trPr>
        <w:tc>
          <w:tcPr>
            <w:tcW w:type="dxa" w:w="8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M02</w:t>
            </w:r>
          </w:p>
        </w:tc>
        <w:tc>
          <w:tcPr>
            <w:tcW w:type="dxa" w:w="418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Skills Hub</w:t>
            </w:r>
          </w:p>
        </w:tc>
        <w:tc>
          <w:tcPr>
            <w:tcW w:type="dxa" w:w="8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M06</w:t>
            </w:r>
          </w:p>
        </w:tc>
        <w:tc>
          <w:tcPr>
            <w:tcW w:type="dxa" w:w="377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Content Library</w:t>
            </w:r>
          </w:p>
        </w:tc>
      </w:tr>
      <w:tr>
        <w:trPr>
          <w:cantSplit/>
        </w:trPr>
        <w:tc>
          <w:tcPr>
            <w:tcW w:type="dxa" w:w="8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M03</w:t>
            </w:r>
          </w:p>
        </w:tc>
        <w:tc>
          <w:tcPr>
            <w:tcW w:type="dxa" w:w="418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Needs Analyzer</w:t>
            </w:r>
          </w:p>
        </w:tc>
        <w:tc>
          <w:tcPr>
            <w:tcW w:type="dxa" w:w="8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M18</w:t>
            </w:r>
          </w:p>
        </w:tc>
        <w:tc>
          <w:tcPr>
            <w:tcW w:type="dxa" w:w="377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Finance Console</w:t>
            </w:r>
          </w:p>
        </w:tc>
      </w:tr>
      <w:tr>
        <w:trPr>
          <w:cantSplit/>
        </w:trPr>
        <w:tc>
          <w:tcPr>
            <w:tcW w:type="dxa" w:w="8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M04</w:t>
            </w:r>
          </w:p>
        </w:tc>
        <w:tc>
          <w:tcPr>
            <w:tcW w:type="dxa" w:w="418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Report &amp; Roadmap Studio</w:t>
            </w:r>
          </w:p>
        </w:tc>
        <w:tc>
          <w:tcPr>
            <w:tcW w:type="dxa" w:w="8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M20</w:t>
            </w:r>
          </w:p>
        </w:tc>
        <w:tc>
          <w:tcPr>
            <w:tcW w:type="dxa" w:w="377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Quality Center</w:t>
            </w:r>
          </w:p>
        </w:tc>
      </w:tr>
      <w:tr>
        <w:trPr>
          <w:cantSplit/>
        </w:trPr>
        <w:tc>
          <w:tcPr>
            <w:tcW w:type="dxa" w:w="8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M53</w:t>
            </w:r>
          </w:p>
        </w:tc>
        <w:tc>
          <w:tcPr>
            <w:tcW w:type="dxa" w:w="418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of Work Studio</w:t>
            </w:r>
          </w:p>
        </w:tc>
        <w:tc>
          <w:tcPr>
            <w:tcW w:type="dxa" w:w="8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M54</w:t>
            </w:r>
          </w:p>
        </w:tc>
        <w:tc>
          <w:tcPr>
            <w:tcW w:type="dxa" w:w="377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 Studio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macro processes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91"/>
        <w:gridCol w:w="8755"/>
      </w:tblGrid>
      <w:tr>
        <w:trPr>
          <w:cantSplit/>
          <w:tblHeader/>
        </w:trPr>
        <w:tc>
          <w:tcPr>
            <w:tcW w:type="dxa" w:w="99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87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MP-01</w:t>
            </w:r>
          </w:p>
        </w:tc>
        <w:tc>
          <w:tcPr>
            <w:tcW w:type="dxa" w:w="87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 &amp; Governance Alignment</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MP-02</w:t>
            </w:r>
          </w:p>
        </w:tc>
        <w:tc>
          <w:tcPr>
            <w:tcW w:type="dxa" w:w="87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Skills &amp; Competency Management</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MP-03</w:t>
            </w:r>
          </w:p>
        </w:tc>
        <w:tc>
          <w:tcPr>
            <w:tcW w:type="dxa" w:w="87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Needs Analysis &amp; Diagnosis</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MP-04</w:t>
            </w:r>
          </w:p>
        </w:tc>
        <w:tc>
          <w:tcPr>
            <w:tcW w:type="dxa" w:w="87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 Engineering Report &amp; Roadmap Elaboration</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MP-05</w:t>
            </w:r>
          </w:p>
        </w:tc>
        <w:tc>
          <w:tcPr>
            <w:tcW w:type="dxa" w:w="87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Design &amp; Curriculum Engineering</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MP-06</w:t>
            </w:r>
          </w:p>
        </w:tc>
        <w:tc>
          <w:tcPr>
            <w:tcW w:type="dxa" w:w="87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Content &amp; Resource Management</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MP-18</w:t>
            </w:r>
          </w:p>
        </w:tc>
        <w:tc>
          <w:tcPr>
            <w:tcW w:type="dxa" w:w="87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Financial &amp; Budget Management</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MP-20</w:t>
            </w:r>
          </w:p>
        </w:tc>
        <w:tc>
          <w:tcPr>
            <w:tcW w:type="dxa" w:w="87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Quality, Risk &amp; Continuous Improvement</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w:t>
            </w:r>
          </w:p>
        </w:tc>
        <w:tc>
          <w:tcPr>
            <w:tcW w:type="dxa" w:w="87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of Work Definition &amp; Management</w:t>
            </w:r>
          </w:p>
        </w:tc>
      </w:tr>
      <w:tr>
        <w:trPr>
          <w:cantSplit/>
        </w:trPr>
        <w:tc>
          <w:tcPr>
            <w:tcW w:type="dxa" w:w="9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w:t>
            </w:r>
          </w:p>
        </w:tc>
        <w:tc>
          <w:tcPr>
            <w:tcW w:type="dxa" w:w="87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Questionnaire Design, Distribution &amp; Response Collection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Works best with</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Integrations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INT-HR-01 HRIS/HCM Integration</w:t>
            </w:r>
          </w:p>
          <w:p>
            <w:pPr>
              <w:spacing w:after="0" w:line="240" w:lineRule="auto"/>
            </w:pPr>
            <w:r>
              <w:rPr>
                <w:rFonts w:ascii="Times New Roman" w:hAnsi="Times New Roman" w:cs="Times New Roman" w:eastAsia="Times New Roman"/>
                <w:b w:val="0"/>
                <w:i w:val="0"/>
                <w:color w:val="58595B"/>
                <w:sz w:val="19"/>
              </w:rPr>
              <w:t>INT-FIN-01 ERP/Finance System Integration</w:t>
            </w:r>
          </w:p>
          <w:p>
            <w:pPr>
              <w:spacing w:after="0" w:line="240" w:lineRule="auto"/>
            </w:pPr>
            <w:r>
              <w:rPr>
                <w:rFonts w:ascii="Times New Roman" w:hAnsi="Times New Roman" w:cs="Times New Roman" w:eastAsia="Times New Roman"/>
                <w:b w:val="0"/>
                <w:i w:val="0"/>
                <w:color w:val="58595B"/>
                <w:sz w:val="19"/>
              </w:rPr>
              <w:t>INT-TM-01 Performance Management Integration</w:t>
            </w:r>
          </w:p>
          <w:p>
            <w:pPr>
              <w:spacing w:after="0" w:line="240" w:lineRule="auto"/>
            </w:pPr>
            <w:r>
              <w:rPr>
                <w:rFonts w:ascii="Times New Roman" w:hAnsi="Times New Roman" w:cs="Times New Roman" w:eastAsia="Times New Roman"/>
                <w:b w:val="0"/>
                <w:i w:val="0"/>
                <w:color w:val="58595B"/>
                <w:sz w:val="19"/>
              </w:rPr>
              <w:t>INT-LMS-01 LMS/LXP Integration</w:t>
            </w:r>
          </w:p>
          <w:p>
            <w:pPr>
              <w:spacing w:after="0" w:line="240" w:lineRule="auto"/>
            </w:pPr>
            <w:r>
              <w:rPr>
                <w:rFonts w:ascii="Times New Roman" w:hAnsi="Times New Roman" w:cs="Times New Roman" w:eastAsia="Times New Roman"/>
                <w:b w:val="0"/>
                <w:i w:val="0"/>
                <w:color w:val="58595B"/>
                <w:sz w:val="19"/>
              </w:rPr>
              <w:t>INT-SSO-01 Identity &amp; Access Management (IAM) / SSO</w:t>
            </w:r>
          </w:p>
          <w:p>
            <w:pPr>
              <w:spacing w:after="0" w:line="240" w:lineRule="auto"/>
            </w:pPr>
            <w:r>
              <w:rPr>
                <w:rFonts w:ascii="Times New Roman" w:hAnsi="Times New Roman" w:cs="Times New Roman" w:eastAsia="Times New Roman"/>
                <w:b w:val="0"/>
                <w:i w:val="0"/>
                <w:color w:val="58595B"/>
                <w:sz w:val="19"/>
              </w:rPr>
              <w:t>INT-SUR-01 Survey / Questionnaire Platform Integration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Add-ons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AD-08 Multi-Site / Multi-Entity Deployment ($55/month)</w:t>
            </w:r>
          </w:p>
          <w:p>
            <w:pPr>
              <w:spacing w:after="0" w:line="240" w:lineRule="auto"/>
            </w:pPr>
            <w:r>
              <w:rPr>
                <w:rFonts w:ascii="Times New Roman" w:hAnsi="Times New Roman" w:cs="Times New Roman" w:eastAsia="Times New Roman"/>
                <w:b w:val="0"/>
                <w:i w:val="0"/>
                <w:color w:val="58595B"/>
                <w:sz w:val="19"/>
              </w:rPr>
              <w:t>AD-11 Questionnaire Library &amp; Multi-Channel Distribution ($49/month)</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PACK · PK-02</w:t>
      </w:r>
    </w:p>
    <w:p>
      <w:pPr>
        <w:pStyle w:val="Heading2"/>
      </w:pPr>
      <w:r>
        <w:t>PK-02: Learning Delivery &amp; Experience Pack</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ID</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PK-02</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name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Delivery &amp; Experience Pack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Target segment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SMB, Mid-Market, Enterprise; organizations focused on learner engagement and modern delivery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$149 USD/month (up to 250 users); $0.60/user/month beyond 250 users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Value proposition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 are disengaged from traditional LMS-driven training; learning is seen as a checkbox exercise.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Low completion rates, poor learner experience, and inability to deliver learning in the flow of work.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modern, personalized, engaging learning experience with microlearning, gamification, social learning, and AI-powered recommendations — driving measurable engagement and completion.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modules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897"/>
        <w:gridCol w:w="3695"/>
        <w:gridCol w:w="897"/>
        <w:gridCol w:w="4257"/>
      </w:tblGrid>
      <w:tr>
        <w:trPr>
          <w:cantSplit/>
          <w:tblHeader/>
        </w:trPr>
        <w:tc>
          <w:tcPr>
            <w:tcW w:type="dxa" w:w="89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6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c>
          <w:tcPr>
            <w:tcW w:type="dxa" w:w="89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425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r>
      <w:tr>
        <w:trPr>
          <w:cantSplit/>
        </w:trPr>
        <w:tc>
          <w:tcPr>
            <w:tcW w:type="dxa" w:w="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M07</w:t>
            </w:r>
          </w:p>
        </w:tc>
        <w:tc>
          <w:tcPr>
            <w:tcW w:type="dxa" w:w="3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Delivery Center</w:t>
            </w:r>
          </w:p>
        </w:tc>
        <w:tc>
          <w:tcPr>
            <w:tcW w:type="dxa" w:w="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M21</w:t>
            </w:r>
          </w:p>
        </w:tc>
        <w:tc>
          <w:tcPr>
            <w:tcW w:type="dxa" w:w="42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Coaching Hub</w:t>
            </w:r>
          </w:p>
        </w:tc>
      </w:tr>
      <w:tr>
        <w:trPr>
          <w:cantSplit/>
        </w:trPr>
        <w:tc>
          <w:tcPr>
            <w:tcW w:type="dxa" w:w="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M08</w:t>
            </w:r>
          </w:p>
        </w:tc>
        <w:tc>
          <w:tcPr>
            <w:tcW w:type="dxa" w:w="3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Learner Portal</w:t>
            </w:r>
          </w:p>
        </w:tc>
        <w:tc>
          <w:tcPr>
            <w:tcW w:type="dxa" w:w="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M24</w:t>
            </w:r>
          </w:p>
        </w:tc>
        <w:tc>
          <w:tcPr>
            <w:tcW w:type="dxa" w:w="42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AI Personalization Engine</w:t>
            </w:r>
          </w:p>
        </w:tc>
      </w:tr>
      <w:tr>
        <w:trPr>
          <w:cantSplit/>
        </w:trPr>
        <w:tc>
          <w:tcPr>
            <w:tcW w:type="dxa" w:w="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M09</w:t>
            </w:r>
          </w:p>
        </w:tc>
        <w:tc>
          <w:tcPr>
            <w:tcW w:type="dxa" w:w="3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Engine</w:t>
            </w:r>
          </w:p>
        </w:tc>
        <w:tc>
          <w:tcPr>
            <w:tcW w:type="dxa" w:w="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M25</w:t>
            </w:r>
          </w:p>
        </w:tc>
        <w:tc>
          <w:tcPr>
            <w:tcW w:type="dxa" w:w="42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Microlearning Hub</w:t>
            </w:r>
          </w:p>
        </w:tc>
      </w:tr>
      <w:tr>
        <w:trPr>
          <w:cantSplit/>
        </w:trPr>
        <w:tc>
          <w:tcPr>
            <w:tcW w:type="dxa" w:w="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M10</w:t>
            </w:r>
          </w:p>
        </w:tc>
        <w:tc>
          <w:tcPr>
            <w:tcW w:type="dxa" w:w="3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Analytics Dashboard</w:t>
            </w:r>
          </w:p>
        </w:tc>
        <w:tc>
          <w:tcPr>
            <w:tcW w:type="dxa" w:w="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M26</w:t>
            </w:r>
          </w:p>
        </w:tc>
        <w:tc>
          <w:tcPr>
            <w:tcW w:type="dxa" w:w="42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Social Learning Hub</w:t>
            </w:r>
          </w:p>
        </w:tc>
      </w:tr>
      <w:tr>
        <w:trPr>
          <w:cantSplit/>
        </w:trPr>
        <w:tc>
          <w:tcPr>
            <w:tcW w:type="dxa" w:w="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M11</w:t>
            </w:r>
          </w:p>
        </w:tc>
        <w:tc>
          <w:tcPr>
            <w:tcW w:type="dxa" w:w="3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Admin Console</w:t>
            </w:r>
          </w:p>
        </w:tc>
        <w:tc>
          <w:tcPr>
            <w:tcW w:type="dxa" w:w="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M27</w:t>
            </w:r>
          </w:p>
        </w:tc>
        <w:tc>
          <w:tcPr>
            <w:tcW w:type="dxa" w:w="42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Gamification Engine</w:t>
            </w:r>
          </w:p>
        </w:tc>
      </w:tr>
      <w:tr>
        <w:trPr>
          <w:cantSplit/>
        </w:trPr>
        <w:tc>
          <w:tcPr>
            <w:tcW w:type="dxa" w:w="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M12</w:t>
            </w:r>
          </w:p>
        </w:tc>
        <w:tc>
          <w:tcPr>
            <w:tcW w:type="dxa" w:w="3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Community Hub</w:t>
            </w:r>
          </w:p>
        </w:tc>
        <w:tc>
          <w:tcPr>
            <w:tcW w:type="dxa" w:w="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42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macro processes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346"/>
        <w:gridCol w:w="8400"/>
      </w:tblGrid>
      <w:tr>
        <w:trPr>
          <w:cantSplit/>
          <w:tblHeader/>
        </w:trPr>
        <w:tc>
          <w:tcPr>
            <w:tcW w:type="dxa" w:w="13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84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MP-07</w:t>
            </w:r>
          </w:p>
        </w:tc>
        <w:tc>
          <w:tcPr>
            <w:tcW w:type="dxa" w:w="8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Delivery &amp; Implementation</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MP-08</w:t>
            </w:r>
          </w:p>
        </w:tc>
        <w:tc>
          <w:tcPr>
            <w:tcW w:type="dxa" w:w="8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Learner Experience &amp; Engagement</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MP-09</w:t>
            </w:r>
          </w:p>
        </w:tc>
        <w:tc>
          <w:tcPr>
            <w:tcW w:type="dxa" w:w="8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&amp; Evaluation</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MP-10</w:t>
            </w:r>
          </w:p>
        </w:tc>
        <w:tc>
          <w:tcPr>
            <w:tcW w:type="dxa" w:w="8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Reporting &amp; Analytics</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MP-11</w:t>
            </w:r>
          </w:p>
        </w:tc>
        <w:tc>
          <w:tcPr>
            <w:tcW w:type="dxa" w:w="8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Administration &amp; Operations</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MP-12</w:t>
            </w:r>
          </w:p>
        </w:tc>
        <w:tc>
          <w:tcPr>
            <w:tcW w:type="dxa" w:w="8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 Culture &amp; Knowledge Management</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MP-21</w:t>
            </w:r>
          </w:p>
        </w:tc>
        <w:tc>
          <w:tcPr>
            <w:tcW w:type="dxa" w:w="8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Support &amp; Coaching</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MP-24</w:t>
            </w:r>
          </w:p>
        </w:tc>
        <w:tc>
          <w:tcPr>
            <w:tcW w:type="dxa" w:w="8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AI-Powered Personalization</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MP-25</w:t>
            </w:r>
          </w:p>
        </w:tc>
        <w:tc>
          <w:tcPr>
            <w:tcW w:type="dxa" w:w="8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Microlearning</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MP-26</w:t>
            </w:r>
          </w:p>
        </w:tc>
        <w:tc>
          <w:tcPr>
            <w:tcW w:type="dxa" w:w="8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Social &amp; Collaborative Learning</w:t>
            </w:r>
          </w:p>
        </w:tc>
      </w:tr>
      <w:tr>
        <w:trPr>
          <w:cantSplit/>
        </w:trPr>
        <w:tc>
          <w:tcPr>
            <w:tcW w:type="dxa" w:w="13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MP-27</w:t>
            </w:r>
          </w:p>
        </w:tc>
        <w:tc>
          <w:tcPr>
            <w:tcW w:type="dxa" w:w="8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Gamification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Works best with</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Integrations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INT-HR-01 HRIS/HCM Integration</w:t>
            </w:r>
          </w:p>
          <w:p>
            <w:pPr>
              <w:spacing w:after="0" w:line="240" w:lineRule="auto"/>
            </w:pPr>
            <w:r>
              <w:rPr>
                <w:rFonts w:ascii="Times New Roman" w:hAnsi="Times New Roman" w:cs="Times New Roman" w:eastAsia="Times New Roman"/>
                <w:b w:val="0"/>
                <w:i w:val="0"/>
                <w:color w:val="58595B"/>
                <w:sz w:val="19"/>
              </w:rPr>
              <w:t>INT-CON-01 Content Provider Aggregation</w:t>
            </w:r>
          </w:p>
          <w:p>
            <w:pPr>
              <w:spacing w:after="0" w:line="240" w:lineRule="auto"/>
            </w:pPr>
            <w:r>
              <w:rPr>
                <w:rFonts w:ascii="Times New Roman" w:hAnsi="Times New Roman" w:cs="Times New Roman" w:eastAsia="Times New Roman"/>
                <w:b w:val="0"/>
                <w:i w:val="0"/>
                <w:color w:val="58595B"/>
                <w:sz w:val="19"/>
              </w:rPr>
              <w:t>INT-LMS-01 LMS/LXP Integration</w:t>
            </w:r>
          </w:p>
          <w:p>
            <w:pPr>
              <w:spacing w:after="0" w:line="240" w:lineRule="auto"/>
            </w:pPr>
            <w:r>
              <w:rPr>
                <w:rFonts w:ascii="Times New Roman" w:hAnsi="Times New Roman" w:cs="Times New Roman" w:eastAsia="Times New Roman"/>
                <w:b w:val="0"/>
                <w:i w:val="0"/>
                <w:color w:val="58595B"/>
                <w:sz w:val="19"/>
              </w:rPr>
              <w:t>INT-VC-01 Virtual Classroom &amp; Webinar Tools</w:t>
            </w:r>
          </w:p>
          <w:p>
            <w:pPr>
              <w:spacing w:after="0" w:line="240" w:lineRule="auto"/>
            </w:pPr>
            <w:r>
              <w:rPr>
                <w:rFonts w:ascii="Times New Roman" w:hAnsi="Times New Roman" w:cs="Times New Roman" w:eastAsia="Times New Roman"/>
                <w:b w:val="0"/>
                <w:i w:val="0"/>
                <w:color w:val="58595B"/>
                <w:sz w:val="19"/>
              </w:rPr>
              <w:t>INT-COM-01 Communication &amp; Collaboration Platforms</w:t>
            </w:r>
          </w:p>
          <w:p>
            <w:pPr>
              <w:spacing w:after="0" w:line="240" w:lineRule="auto"/>
            </w:pPr>
            <w:r>
              <w:rPr>
                <w:rFonts w:ascii="Times New Roman" w:hAnsi="Times New Roman" w:cs="Times New Roman" w:eastAsia="Times New Roman"/>
                <w:b w:val="0"/>
                <w:i w:val="0"/>
                <w:color w:val="58595B"/>
                <w:sz w:val="19"/>
              </w:rPr>
              <w:t>INT-PROD-01 Productivity &amp; Workflow Tools</w:t>
            </w:r>
          </w:p>
          <w:p>
            <w:pPr>
              <w:spacing w:after="0" w:line="240" w:lineRule="auto"/>
            </w:pPr>
            <w:r>
              <w:rPr>
                <w:rFonts w:ascii="Times New Roman" w:hAnsi="Times New Roman" w:cs="Times New Roman" w:eastAsia="Times New Roman"/>
                <w:b w:val="0"/>
                <w:i w:val="0"/>
                <w:color w:val="58595B"/>
                <w:sz w:val="19"/>
              </w:rPr>
              <w:t>INT-SSO-01 Identity &amp; Access Management (IAM) / SSO</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Add-ons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AD-01 Immersive Learning (VR/AR/Simulation) ($49/month)</w:t>
            </w:r>
          </w:p>
          <w:p>
            <w:pPr>
              <w:spacing w:after="0" w:line="240" w:lineRule="auto"/>
            </w:pPr>
            <w:r>
              <w:rPr>
                <w:rFonts w:ascii="Times New Roman" w:hAnsi="Times New Roman" w:cs="Times New Roman" w:eastAsia="Times New Roman"/>
                <w:b w:val="0"/>
                <w:i w:val="0"/>
                <w:color w:val="58595B"/>
                <w:sz w:val="19"/>
              </w:rPr>
              <w:t>AD-02 AI Personalization Engine ($59/month)</w:t>
            </w:r>
          </w:p>
          <w:p>
            <w:pPr>
              <w:spacing w:after="0" w:line="240" w:lineRule="auto"/>
            </w:pPr>
            <w:r>
              <w:rPr>
                <w:rFonts w:ascii="Times New Roman" w:hAnsi="Times New Roman" w:cs="Times New Roman" w:eastAsia="Times New Roman"/>
                <w:b w:val="0"/>
                <w:i w:val="0"/>
                <w:color w:val="58595B"/>
                <w:sz w:val="19"/>
              </w:rPr>
              <w:t>AD-04 Social &amp; Collaborative Learning ($40/month)</w:t>
            </w:r>
          </w:p>
          <w:p>
            <w:pPr>
              <w:spacing w:after="0" w:line="240" w:lineRule="auto"/>
            </w:pPr>
            <w:r>
              <w:rPr>
                <w:rFonts w:ascii="Times New Roman" w:hAnsi="Times New Roman" w:cs="Times New Roman" w:eastAsia="Times New Roman"/>
                <w:b w:val="0"/>
                <w:i w:val="0"/>
                <w:color w:val="58595B"/>
                <w:sz w:val="19"/>
              </w:rPr>
              <w:t>AD-05 Gamification Engine ($40/month)</w:t>
            </w:r>
          </w:p>
          <w:p>
            <w:pPr>
              <w:spacing w:after="0" w:line="240" w:lineRule="auto"/>
            </w:pPr>
            <w:r>
              <w:rPr>
                <w:rFonts w:ascii="Times New Roman" w:hAnsi="Times New Roman" w:cs="Times New Roman" w:eastAsia="Times New Roman"/>
                <w:b w:val="0"/>
                <w:i w:val="0"/>
                <w:color w:val="58595B"/>
                <w:sz w:val="19"/>
              </w:rPr>
              <w:t>AD-06 Content Curation &amp; Aggregation Engine ($49/month)</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PACK · PK-03</w:t>
      </w:r>
    </w:p>
    <w:p>
      <w:pPr>
        <w:pStyle w:val="Heading2"/>
      </w:pPr>
      <w:r>
        <w:t>PK-03: Assessment, Analytics &amp; ROI Pack</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ID</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PK-03</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name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Analytics &amp; ROI Pack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Target segment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Mid-Market, Enterprise; data-driven L&amp;D organizations focused on proving impact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$129 USD/month (up to 500 users); $0.50/user/month beyond 500 users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Value proposition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leaders are under pressure to prove the business impact of training but rely on lagging indicators (completion rates, satisfaction scores).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Inability to connect training to business KPIs, calculate ROI, or predict future skill gaps.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robust analytics suite that measures Kirkpatrick Levels 1–4, calculates ROI using the Phillips methodology, and uses predictive analytics to anticipate future skill needs — transforming L&amp;D into a strategic business partner.</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modules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49"/>
        <w:gridCol w:w="3932"/>
        <w:gridCol w:w="949"/>
        <w:gridCol w:w="3916"/>
      </w:tblGrid>
      <w:tr>
        <w:trPr>
          <w:cantSplit/>
          <w:tblHeader/>
        </w:trPr>
        <w:tc>
          <w:tcPr>
            <w:tcW w:type="dxa" w:w="94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93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c>
          <w:tcPr>
            <w:tcW w:type="dxa" w:w="94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91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r>
      <w:tr>
        <w:trPr>
          <w:cantSplit/>
        </w:trPr>
        <w:tc>
          <w:tcPr>
            <w:tcW w:type="dxa" w:w="9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M09</w:t>
            </w:r>
          </w:p>
        </w:tc>
        <w:tc>
          <w:tcPr>
            <w:tcW w:type="dxa" w:w="393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Engine</w:t>
            </w:r>
          </w:p>
        </w:tc>
        <w:tc>
          <w:tcPr>
            <w:tcW w:type="dxa" w:w="9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M28</w:t>
            </w:r>
          </w:p>
        </w:tc>
        <w:tc>
          <w:tcPr>
            <w:tcW w:type="dxa" w:w="391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Predictive Analytics Hub</w:t>
            </w:r>
          </w:p>
        </w:tc>
      </w:tr>
      <w:tr>
        <w:trPr>
          <w:cantSplit/>
        </w:trPr>
        <w:tc>
          <w:tcPr>
            <w:tcW w:type="dxa" w:w="9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M10</w:t>
            </w:r>
          </w:p>
        </w:tc>
        <w:tc>
          <w:tcPr>
            <w:tcW w:type="dxa" w:w="393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Analytics Dashboard</w:t>
            </w:r>
          </w:p>
        </w:tc>
        <w:tc>
          <w:tcPr>
            <w:tcW w:type="dxa" w:w="9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M32</w:t>
            </w:r>
          </w:p>
        </w:tc>
        <w:tc>
          <w:tcPr>
            <w:tcW w:type="dxa" w:w="391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ROI Dashboard</w:t>
            </w:r>
          </w:p>
        </w:tc>
      </w:tr>
      <w:tr>
        <w:trPr>
          <w:cantSplit/>
        </w:trPr>
        <w:tc>
          <w:tcPr>
            <w:tcW w:type="dxa" w:w="9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M20</w:t>
            </w:r>
          </w:p>
        </w:tc>
        <w:tc>
          <w:tcPr>
            <w:tcW w:type="dxa" w:w="393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Quality Center</w:t>
            </w:r>
          </w:p>
        </w:tc>
        <w:tc>
          <w:tcPr>
            <w:tcW w:type="dxa" w:w="9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391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macro processes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38"/>
        <w:gridCol w:w="8608"/>
      </w:tblGrid>
      <w:tr>
        <w:trPr>
          <w:cantSplit/>
          <w:tblHeader/>
        </w:trPr>
        <w:tc>
          <w:tcPr>
            <w:tcW w:type="dxa" w:w="113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860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r>
      <w:tr>
        <w:trPr>
          <w:cantSplit/>
        </w:trPr>
        <w:tc>
          <w:tcPr>
            <w:tcW w:type="dxa" w:w="113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MP-09</w:t>
            </w:r>
          </w:p>
        </w:tc>
        <w:tc>
          <w:tcPr>
            <w:tcW w:type="dxa" w:w="860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&amp; Evaluation</w:t>
            </w:r>
          </w:p>
        </w:tc>
      </w:tr>
      <w:tr>
        <w:trPr>
          <w:cantSplit/>
        </w:trPr>
        <w:tc>
          <w:tcPr>
            <w:tcW w:type="dxa" w:w="113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MP-10</w:t>
            </w:r>
          </w:p>
        </w:tc>
        <w:tc>
          <w:tcPr>
            <w:tcW w:type="dxa" w:w="860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Reporting &amp; Analytics</w:t>
            </w:r>
          </w:p>
        </w:tc>
      </w:tr>
      <w:tr>
        <w:trPr>
          <w:cantSplit/>
        </w:trPr>
        <w:tc>
          <w:tcPr>
            <w:tcW w:type="dxa" w:w="113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MP-20</w:t>
            </w:r>
          </w:p>
        </w:tc>
        <w:tc>
          <w:tcPr>
            <w:tcW w:type="dxa" w:w="860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Quality, Risk &amp; Continuous Improvement</w:t>
            </w:r>
          </w:p>
        </w:tc>
      </w:tr>
      <w:tr>
        <w:trPr>
          <w:cantSplit/>
        </w:trPr>
        <w:tc>
          <w:tcPr>
            <w:tcW w:type="dxa" w:w="113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MP-28</w:t>
            </w:r>
          </w:p>
        </w:tc>
        <w:tc>
          <w:tcPr>
            <w:tcW w:type="dxa" w:w="860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Predictive Learning Analytics &amp; Intelligence</w:t>
            </w:r>
          </w:p>
        </w:tc>
      </w:tr>
      <w:tr>
        <w:trPr>
          <w:cantSplit/>
        </w:trPr>
        <w:tc>
          <w:tcPr>
            <w:tcW w:type="dxa" w:w="113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MP-32</w:t>
            </w:r>
          </w:p>
        </w:tc>
        <w:tc>
          <w:tcPr>
            <w:tcW w:type="dxa" w:w="860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ROI &amp; Business Impact Measurement</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Works best with</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Integrations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INT-FIN-01 ERP/Finance System Integration</w:t>
            </w:r>
          </w:p>
          <w:p>
            <w:pPr>
              <w:spacing w:after="0" w:line="240" w:lineRule="auto"/>
            </w:pPr>
            <w:r>
              <w:rPr>
                <w:rFonts w:ascii="Times New Roman" w:hAnsi="Times New Roman" w:cs="Times New Roman" w:eastAsia="Times New Roman"/>
                <w:b w:val="0"/>
                <w:i w:val="0"/>
                <w:color w:val="58595B"/>
                <w:sz w:val="19"/>
              </w:rPr>
              <w:t>INT-TM-01 Performance Management Integration</w:t>
            </w:r>
          </w:p>
          <w:p>
            <w:pPr>
              <w:spacing w:after="0" w:line="240" w:lineRule="auto"/>
            </w:pPr>
            <w:r>
              <w:rPr>
                <w:rFonts w:ascii="Times New Roman" w:hAnsi="Times New Roman" w:cs="Times New Roman" w:eastAsia="Times New Roman"/>
                <w:b w:val="0"/>
                <w:i w:val="0"/>
                <w:color w:val="58595B"/>
                <w:sz w:val="19"/>
              </w:rPr>
              <w:t>INT-TM-03 Skills Intelligence / Talent Marketplace</w:t>
            </w:r>
          </w:p>
          <w:p>
            <w:pPr>
              <w:spacing w:after="0" w:line="240" w:lineRule="auto"/>
            </w:pPr>
            <w:r>
              <w:rPr>
                <w:rFonts w:ascii="Times New Roman" w:hAnsi="Times New Roman" w:cs="Times New Roman" w:eastAsia="Times New Roman"/>
                <w:b w:val="0"/>
                <w:i w:val="0"/>
                <w:color w:val="58595B"/>
                <w:sz w:val="19"/>
              </w:rPr>
              <w:t>INT-ASM-01 Assessment &amp; Certification Systems</w:t>
            </w:r>
          </w:p>
          <w:p>
            <w:pPr>
              <w:spacing w:after="0" w:line="240" w:lineRule="auto"/>
            </w:pPr>
            <w:r>
              <w:rPr>
                <w:rFonts w:ascii="Times New Roman" w:hAnsi="Times New Roman" w:cs="Times New Roman" w:eastAsia="Times New Roman"/>
                <w:b w:val="0"/>
                <w:i w:val="0"/>
                <w:color w:val="58595B"/>
                <w:sz w:val="19"/>
              </w:rPr>
              <w:t>INT-BI-01 Business Intelligence (BI) Tools</w:t>
            </w:r>
          </w:p>
          <w:p>
            <w:pPr>
              <w:spacing w:after="0" w:line="240" w:lineRule="auto"/>
            </w:pPr>
            <w:r>
              <w:rPr>
                <w:rFonts w:ascii="Times New Roman" w:hAnsi="Times New Roman" w:cs="Times New Roman" w:eastAsia="Times New Roman"/>
                <w:b w:val="0"/>
                <w:i w:val="0"/>
                <w:color w:val="58595B"/>
                <w:sz w:val="19"/>
              </w:rPr>
              <w:t>INT-DATA-01 Data Warehouses &amp; Data Lakes</w:t>
            </w:r>
          </w:p>
          <w:p>
            <w:pPr>
              <w:spacing w:after="0" w:line="240" w:lineRule="auto"/>
            </w:pPr>
            <w:r>
              <w:rPr>
                <w:rFonts w:ascii="Times New Roman" w:hAnsi="Times New Roman" w:cs="Times New Roman" w:eastAsia="Times New Roman"/>
                <w:b w:val="0"/>
                <w:i w:val="0"/>
                <w:color w:val="58595B"/>
                <w:sz w:val="19"/>
              </w:rPr>
              <w:t>INT-SSO-01 Identity &amp; Access Management (IAM) / SSO</w:t>
            </w:r>
          </w:p>
          <w:p>
            <w:pPr>
              <w:spacing w:after="0" w:line="240" w:lineRule="auto"/>
            </w:pPr>
            <w:r>
              <w:rPr>
                <w:rFonts w:ascii="Times New Roman" w:hAnsi="Times New Roman" w:cs="Times New Roman" w:eastAsia="Times New Roman"/>
                <w:b w:val="0"/>
                <w:i w:val="0"/>
                <w:color w:val="58595B"/>
                <w:sz w:val="19"/>
              </w:rPr>
              <w:t>INT-SUR-01 Survey / Questionnaire Platform Integration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Add-ons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AD-02 AI Personalization Engine ($59/month)</w:t>
            </w:r>
          </w:p>
          <w:p>
            <w:pPr>
              <w:spacing w:after="0" w:line="240" w:lineRule="auto"/>
            </w:pPr>
            <w:r>
              <w:rPr>
                <w:rFonts w:ascii="Times New Roman" w:hAnsi="Times New Roman" w:cs="Times New Roman" w:eastAsia="Times New Roman"/>
                <w:b w:val="0"/>
                <w:i w:val="0"/>
                <w:color w:val="58595B"/>
                <w:sz w:val="19"/>
              </w:rPr>
              <w:t>AD-03 Predictive Analytics ($69/month)</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PACK · PK-04</w:t>
      </w:r>
    </w:p>
    <w:p>
      <w:pPr>
        <w:pStyle w:val="Heading2"/>
      </w:pPr>
      <w:r>
        <w:t>PK-04: Compliance &amp; Certification Pack</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ID</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PK-04</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name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Compliance &amp; Certification Pack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Target segment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Regulated industries (healthcare, finance, pharma, agro-food, aviation, energy); organizations with mandatory training requirements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$99 USD/month (up to 300 users); $0.55/user/month beyond 300 users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Value proposition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Compliance officers and L&amp;D teams manage mandatory training and certifications manually, with high risk of non-compliance.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Audit failures, expired certifications, regulatory fines, and inability to track completion across sites.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 automated compliance engine that assigns, tracks, and renews certifications, with full audit trails, regulatory validation workflows (e.g., OFPPT, GIAC-Agro), and real-time compliance dashboards.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modules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62"/>
        <w:gridCol w:w="3836"/>
        <w:gridCol w:w="962"/>
        <w:gridCol w:w="3986"/>
      </w:tblGrid>
      <w:tr>
        <w:trPr>
          <w:cantSplit/>
          <w:tblHeader/>
        </w:trPr>
        <w:tc>
          <w:tcPr>
            <w:tcW w:type="dxa" w:w="96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83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c>
          <w:tcPr>
            <w:tcW w:type="dxa" w:w="96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98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r>
      <w:tr>
        <w:trPr>
          <w:cantSplit/>
        </w:trPr>
        <w:tc>
          <w:tcPr>
            <w:tcW w:type="dxa" w:w="96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M14</w:t>
            </w:r>
          </w:p>
        </w:tc>
        <w:tc>
          <w:tcPr>
            <w:tcW w:type="dxa" w:w="383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Compliance Center</w:t>
            </w:r>
          </w:p>
        </w:tc>
        <w:tc>
          <w:tcPr>
            <w:tcW w:type="dxa" w:w="96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M09</w:t>
            </w:r>
          </w:p>
        </w:tc>
        <w:tc>
          <w:tcPr>
            <w:tcW w:type="dxa" w:w="398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Engine</w:t>
            </w:r>
          </w:p>
        </w:tc>
      </w:tr>
      <w:tr>
        <w:trPr>
          <w:cantSplit/>
        </w:trPr>
        <w:tc>
          <w:tcPr>
            <w:tcW w:type="dxa" w:w="96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M41</w:t>
            </w:r>
          </w:p>
        </w:tc>
        <w:tc>
          <w:tcPr>
            <w:tcW w:type="dxa" w:w="383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Regulatory Console</w:t>
            </w:r>
          </w:p>
        </w:tc>
        <w:tc>
          <w:tcPr>
            <w:tcW w:type="dxa" w:w="96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M10</w:t>
            </w:r>
          </w:p>
        </w:tc>
        <w:tc>
          <w:tcPr>
            <w:tcW w:type="dxa" w:w="398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Analytics Dashboard</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macro processes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99"/>
        <w:gridCol w:w="8747"/>
      </w:tblGrid>
      <w:tr>
        <w:trPr>
          <w:cantSplit/>
          <w:tblHeader/>
        </w:trPr>
        <w:tc>
          <w:tcPr>
            <w:tcW w:type="dxa" w:w="99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874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r>
      <w:tr>
        <w:trPr>
          <w:cantSplit/>
        </w:trPr>
        <w:tc>
          <w:tcPr>
            <w:tcW w:type="dxa" w:w="99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MP-14</w:t>
            </w:r>
          </w:p>
        </w:tc>
        <w:tc>
          <w:tcPr>
            <w:tcW w:type="dxa" w:w="87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Compliance &amp; Certification Management</w:t>
            </w:r>
          </w:p>
        </w:tc>
      </w:tr>
      <w:tr>
        <w:trPr>
          <w:cantSplit/>
        </w:trPr>
        <w:tc>
          <w:tcPr>
            <w:tcW w:type="dxa" w:w="99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MP-41</w:t>
            </w:r>
          </w:p>
        </w:tc>
        <w:tc>
          <w:tcPr>
            <w:tcW w:type="dxa" w:w="87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External Training Plan Validation &amp; Regulatory Compliance</w:t>
            </w:r>
          </w:p>
        </w:tc>
      </w:tr>
      <w:tr>
        <w:trPr>
          <w:cantSplit/>
        </w:trPr>
        <w:tc>
          <w:tcPr>
            <w:tcW w:type="dxa" w:w="99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MP-09</w:t>
            </w:r>
          </w:p>
        </w:tc>
        <w:tc>
          <w:tcPr>
            <w:tcW w:type="dxa" w:w="87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&amp; Evaluation</w:t>
            </w:r>
          </w:p>
        </w:tc>
      </w:tr>
      <w:tr>
        <w:trPr>
          <w:cantSplit/>
        </w:trPr>
        <w:tc>
          <w:tcPr>
            <w:tcW w:type="dxa" w:w="99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MP-10</w:t>
            </w:r>
          </w:p>
        </w:tc>
        <w:tc>
          <w:tcPr>
            <w:tcW w:type="dxa" w:w="87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Reporting &amp; Analytics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Works best with</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Integrations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INT-ASM-01 Assessment &amp; Certification Systems</w:t>
            </w:r>
          </w:p>
          <w:p>
            <w:pPr>
              <w:spacing w:after="0" w:line="240" w:lineRule="auto"/>
            </w:pPr>
            <w:r>
              <w:rPr>
                <w:rFonts w:ascii="Times New Roman" w:hAnsi="Times New Roman" w:cs="Times New Roman" w:eastAsia="Times New Roman"/>
                <w:b w:val="0"/>
                <w:i w:val="0"/>
                <w:color w:val="58595B"/>
                <w:sz w:val="19"/>
              </w:rPr>
              <w:t>INT-SSO-01 Identity &amp; Access Management (IAM) / SSO</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Add-ons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AD-05 Gamification Engine ($40/month)</w:t>
            </w:r>
          </w:p>
          <w:p>
            <w:pPr>
              <w:spacing w:after="0" w:line="240" w:lineRule="auto"/>
            </w:pPr>
            <w:r>
              <w:rPr>
                <w:rFonts w:ascii="Times New Roman" w:hAnsi="Times New Roman" w:cs="Times New Roman" w:eastAsia="Times New Roman"/>
                <w:b w:val="0"/>
                <w:i w:val="0"/>
                <w:color w:val="58595B"/>
                <w:sz w:val="19"/>
              </w:rPr>
              <w:t>AD-09 External Training Plan Validation (Regulatory) ($45/month)</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PACK · PK-05</w:t>
      </w:r>
    </w:p>
    <w:p>
      <w:pPr>
        <w:pStyle w:val="Heading2"/>
      </w:pPr>
      <w:r>
        <w:t>PK-05: Talent &amp; Mobility Pack</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ID</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PK-05</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name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Talent &amp; Mobility Pack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Target segment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Mid-Market, Enterprise; organizations focused on retention, internal mobility, and career development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$119 USD/month (up to 300 users); $0.65/user/month beyond 300 users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Value proposition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 feel stuck in their roles; managers struggle to fill critical positions internally.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High turnover, lack of career visibility, and inability to match internal talent to opportunities.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skills-based talent marketplace that connects employees to internal opportunities, automates onboarding and rapid upskilling, and provides clear career paths — improving retention and reducing external hiring costs.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modules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54"/>
        <w:gridCol w:w="4434"/>
        <w:gridCol w:w="1154"/>
        <w:gridCol w:w="3004"/>
      </w:tblGrid>
      <w:tr>
        <w:trPr>
          <w:cantSplit/>
          <w:tblHeader/>
        </w:trPr>
        <w:tc>
          <w:tcPr>
            <w:tcW w:type="dxa" w:w="115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443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c>
          <w:tcPr>
            <w:tcW w:type="dxa" w:w="115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00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r>
      <w:tr>
        <w:trPr>
          <w:cantSplit/>
        </w:trPr>
        <w:tc>
          <w:tcPr>
            <w:tcW w:type="dxa" w:w="11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M13</w:t>
            </w:r>
          </w:p>
        </w:tc>
        <w:tc>
          <w:tcPr>
            <w:tcW w:type="dxa" w:w="44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Career Center</w:t>
            </w:r>
          </w:p>
        </w:tc>
        <w:tc>
          <w:tcPr>
            <w:tcW w:type="dxa" w:w="11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M02</w:t>
            </w:r>
          </w:p>
        </w:tc>
        <w:tc>
          <w:tcPr>
            <w:tcW w:type="dxa" w:w="300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Skills Hub</w:t>
            </w:r>
          </w:p>
        </w:tc>
      </w:tr>
      <w:tr>
        <w:trPr>
          <w:cantSplit/>
        </w:trPr>
        <w:tc>
          <w:tcPr>
            <w:tcW w:type="dxa" w:w="11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M31</w:t>
            </w:r>
          </w:p>
        </w:tc>
        <w:tc>
          <w:tcPr>
            <w:tcW w:type="dxa" w:w="44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Talent Marketplace</w:t>
            </w:r>
          </w:p>
        </w:tc>
        <w:tc>
          <w:tcPr>
            <w:tcW w:type="dxa" w:w="11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M08</w:t>
            </w:r>
          </w:p>
        </w:tc>
        <w:tc>
          <w:tcPr>
            <w:tcW w:type="dxa" w:w="300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Learner Portal</w:t>
            </w:r>
          </w:p>
        </w:tc>
      </w:tr>
      <w:tr>
        <w:trPr>
          <w:cantSplit/>
        </w:trPr>
        <w:tc>
          <w:tcPr>
            <w:tcW w:type="dxa" w:w="11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M35</w:t>
            </w:r>
          </w:p>
        </w:tc>
        <w:tc>
          <w:tcPr>
            <w:tcW w:type="dxa" w:w="44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Onboarding Hub</w:t>
            </w:r>
          </w:p>
        </w:tc>
        <w:tc>
          <w:tcPr>
            <w:tcW w:type="dxa" w:w="11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300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macro processes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066"/>
        <w:gridCol w:w="8680"/>
      </w:tblGrid>
      <w:tr>
        <w:trPr>
          <w:cantSplit/>
          <w:tblHeader/>
        </w:trPr>
        <w:tc>
          <w:tcPr>
            <w:tcW w:type="dxa" w:w="106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868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r>
      <w:tr>
        <w:trPr>
          <w:cantSplit/>
        </w:trPr>
        <w:tc>
          <w:tcPr>
            <w:tcW w:type="dxa" w:w="10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MP-13</w:t>
            </w:r>
          </w:p>
        </w:tc>
        <w:tc>
          <w:tcPr>
            <w:tcW w:type="dxa" w:w="86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Talent &amp; Career Development</w:t>
            </w:r>
          </w:p>
        </w:tc>
      </w:tr>
      <w:tr>
        <w:trPr>
          <w:cantSplit/>
        </w:trPr>
        <w:tc>
          <w:tcPr>
            <w:tcW w:type="dxa" w:w="10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MP-31</w:t>
            </w:r>
          </w:p>
        </w:tc>
        <w:tc>
          <w:tcPr>
            <w:tcW w:type="dxa" w:w="86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Skills-Based Talent Marketplace &amp; Internal Mobility</w:t>
            </w:r>
          </w:p>
        </w:tc>
      </w:tr>
      <w:tr>
        <w:trPr>
          <w:cantSplit/>
        </w:trPr>
        <w:tc>
          <w:tcPr>
            <w:tcW w:type="dxa" w:w="10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MP-35</w:t>
            </w:r>
          </w:p>
        </w:tc>
        <w:tc>
          <w:tcPr>
            <w:tcW w:type="dxa" w:w="86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Onboarding &amp; Rapid Upskilling</w:t>
            </w:r>
          </w:p>
        </w:tc>
      </w:tr>
      <w:tr>
        <w:trPr>
          <w:cantSplit/>
        </w:trPr>
        <w:tc>
          <w:tcPr>
            <w:tcW w:type="dxa" w:w="10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MP-02</w:t>
            </w:r>
          </w:p>
        </w:tc>
        <w:tc>
          <w:tcPr>
            <w:tcW w:type="dxa" w:w="86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Skills &amp; Competency Management</w:t>
            </w:r>
          </w:p>
        </w:tc>
      </w:tr>
      <w:tr>
        <w:trPr>
          <w:cantSplit/>
        </w:trPr>
        <w:tc>
          <w:tcPr>
            <w:tcW w:type="dxa" w:w="10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MP-08</w:t>
            </w:r>
          </w:p>
        </w:tc>
        <w:tc>
          <w:tcPr>
            <w:tcW w:type="dxa" w:w="86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Learner Experience &amp; Engagement</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Works best with</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Integrations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INT-HR-01 HRIS/HCM Integration</w:t>
            </w:r>
          </w:p>
          <w:p>
            <w:pPr>
              <w:spacing w:after="0" w:line="240" w:lineRule="auto"/>
            </w:pPr>
            <w:r>
              <w:rPr>
                <w:rFonts w:ascii="Times New Roman" w:hAnsi="Times New Roman" w:cs="Times New Roman" w:eastAsia="Times New Roman"/>
                <w:b w:val="0"/>
                <w:i w:val="0"/>
                <w:color w:val="58595B"/>
                <w:sz w:val="19"/>
              </w:rPr>
              <w:t>INT-TM-01 Performance Management Integration</w:t>
            </w:r>
          </w:p>
          <w:p>
            <w:pPr>
              <w:spacing w:after="0" w:line="240" w:lineRule="auto"/>
            </w:pPr>
            <w:r>
              <w:rPr>
                <w:rFonts w:ascii="Times New Roman" w:hAnsi="Times New Roman" w:cs="Times New Roman" w:eastAsia="Times New Roman"/>
                <w:b w:val="0"/>
                <w:i w:val="0"/>
                <w:color w:val="58595B"/>
                <w:sz w:val="19"/>
              </w:rPr>
              <w:t>INT-TM-02 Talent Management / Succession Planning Integration</w:t>
            </w:r>
          </w:p>
          <w:p>
            <w:pPr>
              <w:spacing w:after="0" w:line="240" w:lineRule="auto"/>
            </w:pPr>
            <w:r>
              <w:rPr>
                <w:rFonts w:ascii="Times New Roman" w:hAnsi="Times New Roman" w:cs="Times New Roman" w:eastAsia="Times New Roman"/>
                <w:b w:val="0"/>
                <w:i w:val="0"/>
                <w:color w:val="58595B"/>
                <w:sz w:val="19"/>
              </w:rPr>
              <w:t>INT-TM-03 Skills Intelligence / Talent Marketplace</w:t>
            </w:r>
          </w:p>
          <w:p>
            <w:pPr>
              <w:spacing w:after="0" w:line="240" w:lineRule="auto"/>
            </w:pPr>
            <w:r>
              <w:rPr>
                <w:rFonts w:ascii="Times New Roman" w:hAnsi="Times New Roman" w:cs="Times New Roman" w:eastAsia="Times New Roman"/>
                <w:b w:val="0"/>
                <w:i w:val="0"/>
                <w:color w:val="58595B"/>
                <w:sz w:val="19"/>
              </w:rPr>
              <w:t>INT-REC-01 Recruitment / ATS Integration</w:t>
            </w:r>
          </w:p>
          <w:p>
            <w:pPr>
              <w:spacing w:after="0" w:line="240" w:lineRule="auto"/>
            </w:pPr>
            <w:r>
              <w:rPr>
                <w:rFonts w:ascii="Times New Roman" w:hAnsi="Times New Roman" w:cs="Times New Roman" w:eastAsia="Times New Roman"/>
                <w:b w:val="0"/>
                <w:i w:val="0"/>
                <w:color w:val="58595B"/>
                <w:sz w:val="19"/>
              </w:rPr>
              <w:t>INT-COM-01 Communication &amp; Collaboration Platforms</w:t>
            </w:r>
          </w:p>
          <w:p>
            <w:pPr>
              <w:spacing w:after="0" w:line="240" w:lineRule="auto"/>
            </w:pPr>
            <w:r>
              <w:rPr>
                <w:rFonts w:ascii="Times New Roman" w:hAnsi="Times New Roman" w:cs="Times New Roman" w:eastAsia="Times New Roman"/>
                <w:b w:val="0"/>
                <w:i w:val="0"/>
                <w:color w:val="58595B"/>
                <w:sz w:val="19"/>
              </w:rPr>
              <w:t>INT-PROD-01 Productivity &amp; Workflow Tools</w:t>
            </w:r>
          </w:p>
          <w:p>
            <w:pPr>
              <w:spacing w:after="0" w:line="240" w:lineRule="auto"/>
            </w:pPr>
            <w:r>
              <w:rPr>
                <w:rFonts w:ascii="Times New Roman" w:hAnsi="Times New Roman" w:cs="Times New Roman" w:eastAsia="Times New Roman"/>
                <w:b w:val="0"/>
                <w:i w:val="0"/>
                <w:color w:val="58595B"/>
                <w:sz w:val="19"/>
              </w:rPr>
              <w:t>INT-SSO-01 Identity &amp; Access Management (IAM) / SSO</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Add-ons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AD-02 AI Personalization Engine ($59/month)</w:t>
            </w:r>
          </w:p>
          <w:p>
            <w:pPr>
              <w:spacing w:after="0" w:line="240" w:lineRule="auto"/>
            </w:pPr>
            <w:r>
              <w:rPr>
                <w:rFonts w:ascii="Times New Roman" w:hAnsi="Times New Roman" w:cs="Times New Roman" w:eastAsia="Times New Roman"/>
                <w:b w:val="0"/>
                <w:i w:val="0"/>
                <w:color w:val="58595B"/>
                <w:sz w:val="19"/>
              </w:rPr>
              <w:t>AD-04 Social &amp; Collaborative Learning ($40/month)</w:t>
            </w:r>
          </w:p>
          <w:p>
            <w:pPr>
              <w:spacing w:after="0" w:line="240" w:lineRule="auto"/>
            </w:pPr>
            <w:r>
              <w:rPr>
                <w:rFonts w:ascii="Times New Roman" w:hAnsi="Times New Roman" w:cs="Times New Roman" w:eastAsia="Times New Roman"/>
                <w:b w:val="0"/>
                <w:i w:val="0"/>
                <w:color w:val="58595B"/>
                <w:sz w:val="19"/>
              </w:rPr>
              <w:t>AD-07 Expert Knowledge Capture &amp; Transfer ($45/month)</w:t>
            </w:r>
          </w:p>
          <w:p>
            <w:pPr>
              <w:spacing w:after="0" w:line="240" w:lineRule="auto"/>
            </w:pPr>
            <w:r>
              <w:rPr>
                <w:rFonts w:ascii="Times New Roman" w:hAnsi="Times New Roman" w:cs="Times New Roman" w:eastAsia="Times New Roman"/>
                <w:b w:val="0"/>
                <w:i w:val="0"/>
                <w:color w:val="58595B"/>
                <w:sz w:val="19"/>
              </w:rPr>
              <w:t>AD-10 Leadership Maturity Assessment &amp; Development ($69/month)</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PACK · PK-06</w:t>
      </w:r>
    </w:p>
    <w:p>
      <w:pPr>
        <w:pStyle w:val="Heading2"/>
      </w:pPr>
      <w:r>
        <w:t>PK-06: Extended Enterprise Pack</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ID</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PK-06</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name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Extended Enterprise Pack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Target segment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providers, consulting firms, enterprises training partners, resellers, and customers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$109 USD/month (up to 200 external users); $0.80/external user/month beyond 200 users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Value proposition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Organizations want to monetize training for external audiences but lack the infrastructure.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Manual enrollment, payment processing, and certification tracking for partners and customers; inability to scale external training.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multi-tenant, branded portal with e-commerce, certification tracking, and content curation — turning training into a revenue stream and strengthening partner/customer relationships.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modules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64"/>
        <w:gridCol w:w="4979"/>
        <w:gridCol w:w="964"/>
        <w:gridCol w:w="2839"/>
      </w:tblGrid>
      <w:tr>
        <w:trPr>
          <w:cantSplit/>
          <w:tblHeader/>
        </w:trPr>
        <w:tc>
          <w:tcPr>
            <w:tcW w:type="dxa" w:w="96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497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c>
          <w:tcPr>
            <w:tcW w:type="dxa" w:w="96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283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r>
      <w:tr>
        <w:trPr>
          <w:cantSplit/>
        </w:trPr>
        <w:tc>
          <w:tcPr>
            <w:tcW w:type="dxa" w:w="96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M22</w:t>
            </w:r>
          </w:p>
        </w:tc>
        <w:tc>
          <w:tcPr>
            <w:tcW w:type="dxa" w:w="49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Extended Enterprise Portal</w:t>
            </w:r>
          </w:p>
        </w:tc>
        <w:tc>
          <w:tcPr>
            <w:tcW w:type="dxa" w:w="96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M18</w:t>
            </w:r>
          </w:p>
        </w:tc>
        <w:tc>
          <w:tcPr>
            <w:tcW w:type="dxa" w:w="283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Finance Console</w:t>
            </w:r>
          </w:p>
        </w:tc>
      </w:tr>
      <w:tr>
        <w:trPr>
          <w:cantSplit/>
        </w:trPr>
        <w:tc>
          <w:tcPr>
            <w:tcW w:type="dxa" w:w="96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M07</w:t>
            </w:r>
          </w:p>
        </w:tc>
        <w:tc>
          <w:tcPr>
            <w:tcW w:type="dxa" w:w="49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Delivery Center</w:t>
            </w:r>
          </w:p>
        </w:tc>
        <w:tc>
          <w:tcPr>
            <w:tcW w:type="dxa" w:w="96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M29</w:t>
            </w:r>
          </w:p>
        </w:tc>
        <w:tc>
          <w:tcPr>
            <w:tcW w:type="dxa" w:w="283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Curation Engine</w:t>
            </w:r>
          </w:p>
        </w:tc>
      </w:tr>
      <w:tr>
        <w:trPr>
          <w:cantSplit/>
        </w:trPr>
        <w:tc>
          <w:tcPr>
            <w:tcW w:type="dxa" w:w="96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M14</w:t>
            </w:r>
          </w:p>
        </w:tc>
        <w:tc>
          <w:tcPr>
            <w:tcW w:type="dxa" w:w="49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Compliance Center</w:t>
            </w:r>
          </w:p>
        </w:tc>
        <w:tc>
          <w:tcPr>
            <w:tcW w:type="dxa" w:w="96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283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macro processes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70"/>
        <w:gridCol w:w="8576"/>
      </w:tblGrid>
      <w:tr>
        <w:trPr>
          <w:cantSplit/>
          <w:tblHeader/>
        </w:trPr>
        <w:tc>
          <w:tcPr>
            <w:tcW w:type="dxa" w:w="117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857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r>
      <w:tr>
        <w:trPr>
          <w:cantSplit/>
        </w:trPr>
        <w:tc>
          <w:tcPr>
            <w:tcW w:type="dxa" w:w="11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MP-22</w:t>
            </w:r>
          </w:p>
        </w:tc>
        <w:tc>
          <w:tcPr>
            <w:tcW w:type="dxa" w:w="85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Extended Enterprise &amp; External Training</w:t>
            </w:r>
          </w:p>
        </w:tc>
      </w:tr>
      <w:tr>
        <w:trPr>
          <w:cantSplit/>
        </w:trPr>
        <w:tc>
          <w:tcPr>
            <w:tcW w:type="dxa" w:w="11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MP-07</w:t>
            </w:r>
          </w:p>
        </w:tc>
        <w:tc>
          <w:tcPr>
            <w:tcW w:type="dxa" w:w="85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 Delivery &amp; Implementation</w:t>
            </w:r>
          </w:p>
        </w:tc>
      </w:tr>
      <w:tr>
        <w:trPr>
          <w:cantSplit/>
        </w:trPr>
        <w:tc>
          <w:tcPr>
            <w:tcW w:type="dxa" w:w="11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MP-14</w:t>
            </w:r>
          </w:p>
        </w:tc>
        <w:tc>
          <w:tcPr>
            <w:tcW w:type="dxa" w:w="85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Compliance &amp; Certification Management</w:t>
            </w:r>
          </w:p>
        </w:tc>
      </w:tr>
      <w:tr>
        <w:trPr>
          <w:cantSplit/>
        </w:trPr>
        <w:tc>
          <w:tcPr>
            <w:tcW w:type="dxa" w:w="11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MP-18</w:t>
            </w:r>
          </w:p>
        </w:tc>
        <w:tc>
          <w:tcPr>
            <w:tcW w:type="dxa" w:w="85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Financial &amp; Budget Management</w:t>
            </w:r>
          </w:p>
        </w:tc>
      </w:tr>
      <w:tr>
        <w:trPr>
          <w:cantSplit/>
        </w:trPr>
        <w:tc>
          <w:tcPr>
            <w:tcW w:type="dxa" w:w="11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MP-29</w:t>
            </w:r>
          </w:p>
        </w:tc>
        <w:tc>
          <w:tcPr>
            <w:tcW w:type="dxa" w:w="85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Content Curation &amp; Aggregation Engine</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Works best with</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Integrations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INT-FIN-01 ERP/Finance System Integration</w:t>
            </w:r>
          </w:p>
          <w:p>
            <w:pPr>
              <w:spacing w:after="0" w:line="240" w:lineRule="auto"/>
            </w:pPr>
            <w:r>
              <w:rPr>
                <w:rFonts w:ascii="Times New Roman" w:hAnsi="Times New Roman" w:cs="Times New Roman" w:eastAsia="Times New Roman"/>
                <w:b w:val="0"/>
                <w:i w:val="0"/>
                <w:color w:val="58595B"/>
                <w:sz w:val="19"/>
              </w:rPr>
              <w:t>INT-CRM-01 CRM Integration</w:t>
            </w:r>
          </w:p>
          <w:p>
            <w:pPr>
              <w:spacing w:after="0" w:line="240" w:lineRule="auto"/>
            </w:pPr>
            <w:r>
              <w:rPr>
                <w:rFonts w:ascii="Times New Roman" w:hAnsi="Times New Roman" w:cs="Times New Roman" w:eastAsia="Times New Roman"/>
                <w:b w:val="0"/>
                <w:i w:val="0"/>
                <w:color w:val="58595B"/>
                <w:sz w:val="19"/>
              </w:rPr>
              <w:t>INT-CON-01 Content Provider Aggregation</w:t>
            </w:r>
          </w:p>
          <w:p>
            <w:pPr>
              <w:spacing w:after="0" w:line="240" w:lineRule="auto"/>
            </w:pPr>
            <w:r>
              <w:rPr>
                <w:rFonts w:ascii="Times New Roman" w:hAnsi="Times New Roman" w:cs="Times New Roman" w:eastAsia="Times New Roman"/>
                <w:b w:val="0"/>
                <w:i w:val="0"/>
                <w:color w:val="58595B"/>
                <w:sz w:val="19"/>
              </w:rPr>
              <w:t>INT-LMS-01 LMS/LXP Integration</w:t>
            </w:r>
          </w:p>
          <w:p>
            <w:pPr>
              <w:spacing w:after="0" w:line="240" w:lineRule="auto"/>
            </w:pPr>
            <w:r>
              <w:rPr>
                <w:rFonts w:ascii="Times New Roman" w:hAnsi="Times New Roman" w:cs="Times New Roman" w:eastAsia="Times New Roman"/>
                <w:b w:val="0"/>
                <w:i w:val="0"/>
                <w:color w:val="58595B"/>
                <w:sz w:val="19"/>
              </w:rPr>
              <w:t>INT-ASM-01 Assessment &amp; Certification Systems</w:t>
            </w:r>
          </w:p>
          <w:p>
            <w:pPr>
              <w:spacing w:after="0" w:line="240" w:lineRule="auto"/>
            </w:pPr>
            <w:r>
              <w:rPr>
                <w:rFonts w:ascii="Times New Roman" w:hAnsi="Times New Roman" w:cs="Times New Roman" w:eastAsia="Times New Roman"/>
                <w:b w:val="0"/>
                <w:i w:val="0"/>
                <w:color w:val="58595B"/>
                <w:sz w:val="19"/>
              </w:rPr>
              <w:t>INT-VC-01 Virtual Classroom &amp; Webinar Tools</w:t>
            </w:r>
          </w:p>
          <w:p>
            <w:pPr>
              <w:spacing w:after="0" w:line="240" w:lineRule="auto"/>
            </w:pPr>
            <w:r>
              <w:rPr>
                <w:rFonts w:ascii="Times New Roman" w:hAnsi="Times New Roman" w:cs="Times New Roman" w:eastAsia="Times New Roman"/>
                <w:b w:val="0"/>
                <w:i w:val="0"/>
                <w:color w:val="58595B"/>
                <w:sz w:val="19"/>
              </w:rPr>
              <w:t>INT-SSO-01 Identity &amp; Access Management (IAM) / SSO</w:t>
            </w:r>
          </w:p>
          <w:p>
            <w:pPr>
              <w:spacing w:after="0" w:line="240" w:lineRule="auto"/>
            </w:pPr>
            <w:r>
              <w:rPr>
                <w:rFonts w:ascii="Times New Roman" w:hAnsi="Times New Roman" w:cs="Times New Roman" w:eastAsia="Times New Roman"/>
                <w:b w:val="0"/>
                <w:i w:val="0"/>
                <w:color w:val="58595B"/>
                <w:sz w:val="19"/>
              </w:rPr>
              <w:t>INT-PAY-01 E-Commerce &amp; Payment Gateways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Add-ons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AD-06 Content Curation &amp; Aggregation Engine ($49/month)</w:t>
            </w:r>
          </w:p>
          <w:p>
            <w:pPr>
              <w:spacing w:after="0" w:line="240" w:lineRule="auto"/>
            </w:pPr>
            <w:r>
              <w:rPr>
                <w:rFonts w:ascii="Times New Roman" w:hAnsi="Times New Roman" w:cs="Times New Roman" w:eastAsia="Times New Roman"/>
                <w:b w:val="0"/>
                <w:i w:val="0"/>
                <w:color w:val="58595B"/>
                <w:sz w:val="19"/>
              </w:rPr>
              <w:t>AD-08 Multi-Site / Multi-Entity Deployment ($55/month)</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PACK · PK-07</w:t>
      </w:r>
    </w:p>
    <w:p>
      <w:pPr>
        <w:pStyle w:val="Heading2"/>
      </w:pPr>
      <w:r>
        <w:t>PK-07: Consulting &amp; Diagnostic Pack</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ID</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PK-07</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name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 &amp; Diagnostic Pack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Target segment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consulting firms, training engineering consultancies, enterprise L&amp;D teams running diagnostic engagements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$249 USD/month (up to 50 concurrent engagements); $5/engagement/month beyond 50</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Value proposition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 firms manage Training Engineering engagements with Word documents, Excel spreadsheets, and manual interviews.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Lack of structured diagnostic frameworks, manual report generation, and difficulty scaling consulting engagements.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purpose-built consulting platform with multi-axis diagnostic, CMM maturity assessment, leadership maturity assessment, N-1 impact study, automated Training Engineering Report generation, and consulting-grade questionnaire libraries by sector and focus — enabling consultants to deliver faster, higher-quality engagements at scale.</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modules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855"/>
        <w:gridCol w:w="4034"/>
        <w:gridCol w:w="855"/>
        <w:gridCol w:w="4002"/>
      </w:tblGrid>
      <w:tr>
        <w:trPr>
          <w:cantSplit/>
          <w:tblHeader/>
        </w:trPr>
        <w:tc>
          <w:tcPr>
            <w:tcW w:type="dxa" w:w="8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403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c>
          <w:tcPr>
            <w:tcW w:type="dxa" w:w="8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400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r>
      <w:tr>
        <w:trPr>
          <w:cantSplit/>
        </w:trPr>
        <w:tc>
          <w:tcPr>
            <w:tcW w:type="dxa" w:w="8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M36</w:t>
            </w:r>
          </w:p>
        </w:tc>
        <w:tc>
          <w:tcPr>
            <w:tcW w:type="dxa" w:w="40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Engagement Console</w:t>
            </w:r>
          </w:p>
        </w:tc>
        <w:tc>
          <w:tcPr>
            <w:tcW w:type="dxa" w:w="8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M42</w:t>
            </w:r>
          </w:p>
        </w:tc>
        <w:tc>
          <w:tcPr>
            <w:tcW w:type="dxa" w:w="400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Leadership Maturity Hub</w:t>
            </w:r>
          </w:p>
        </w:tc>
      </w:tr>
      <w:tr>
        <w:trPr>
          <w:cantSplit/>
        </w:trPr>
        <w:tc>
          <w:tcPr>
            <w:tcW w:type="dxa" w:w="8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M37</w:t>
            </w:r>
          </w:p>
        </w:tc>
        <w:tc>
          <w:tcPr>
            <w:tcW w:type="dxa" w:w="40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Diagnostic Studio</w:t>
            </w:r>
          </w:p>
        </w:tc>
        <w:tc>
          <w:tcPr>
            <w:tcW w:type="dxa" w:w="8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M01</w:t>
            </w:r>
          </w:p>
        </w:tc>
        <w:tc>
          <w:tcPr>
            <w:tcW w:type="dxa" w:w="400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Strategy Console</w:t>
            </w:r>
          </w:p>
        </w:tc>
      </w:tr>
      <w:tr>
        <w:trPr>
          <w:cantSplit/>
        </w:trPr>
        <w:tc>
          <w:tcPr>
            <w:tcW w:type="dxa" w:w="8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M38</w:t>
            </w:r>
          </w:p>
        </w:tc>
        <w:tc>
          <w:tcPr>
            <w:tcW w:type="dxa" w:w="40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CMM Assessment Engine</w:t>
            </w:r>
          </w:p>
        </w:tc>
        <w:tc>
          <w:tcPr>
            <w:tcW w:type="dxa" w:w="8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M19</w:t>
            </w:r>
          </w:p>
        </w:tc>
        <w:tc>
          <w:tcPr>
            <w:tcW w:type="dxa" w:w="400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Change Hub</w:t>
            </w:r>
          </w:p>
        </w:tc>
      </w:tr>
      <w:tr>
        <w:trPr>
          <w:cantSplit/>
        </w:trPr>
        <w:tc>
          <w:tcPr>
            <w:tcW w:type="dxa" w:w="8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M39</w:t>
            </w:r>
          </w:p>
        </w:tc>
        <w:tc>
          <w:tcPr>
            <w:tcW w:type="dxa" w:w="40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Impact Study Hub</w:t>
            </w:r>
          </w:p>
        </w:tc>
        <w:tc>
          <w:tcPr>
            <w:tcW w:type="dxa" w:w="8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M20</w:t>
            </w:r>
          </w:p>
        </w:tc>
        <w:tc>
          <w:tcPr>
            <w:tcW w:type="dxa" w:w="400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Quality Center</w:t>
            </w:r>
          </w:p>
        </w:tc>
      </w:tr>
      <w:tr>
        <w:trPr>
          <w:cantSplit/>
        </w:trPr>
        <w:tc>
          <w:tcPr>
            <w:tcW w:type="dxa" w:w="8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M53</w:t>
            </w:r>
          </w:p>
        </w:tc>
        <w:tc>
          <w:tcPr>
            <w:tcW w:type="dxa" w:w="40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of Work Studio</w:t>
            </w:r>
          </w:p>
        </w:tc>
        <w:tc>
          <w:tcPr>
            <w:tcW w:type="dxa" w:w="8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M54</w:t>
            </w:r>
          </w:p>
        </w:tc>
        <w:tc>
          <w:tcPr>
            <w:tcW w:type="dxa" w:w="400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 Studio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macro processes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69"/>
        <w:gridCol w:w="8777"/>
      </w:tblGrid>
      <w:tr>
        <w:trPr>
          <w:cantSplit/>
          <w:tblHeader/>
        </w:trPr>
        <w:tc>
          <w:tcPr>
            <w:tcW w:type="dxa" w:w="96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877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MP-36</w:t>
            </w:r>
          </w:p>
        </w:tc>
        <w:tc>
          <w:tcPr>
            <w:tcW w:type="dxa" w:w="8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 Engagement Management</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MP-37</w:t>
            </w:r>
          </w:p>
        </w:tc>
        <w:tc>
          <w:tcPr>
            <w:tcW w:type="dxa" w:w="877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Multi-Axis Organizational Diagnostic</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MP-38</w:t>
            </w:r>
          </w:p>
        </w:tc>
        <w:tc>
          <w:tcPr>
            <w:tcW w:type="dxa" w:w="8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Organizational Maturity Assessment (CMM)</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MP-39</w:t>
            </w:r>
          </w:p>
        </w:tc>
        <w:tc>
          <w:tcPr>
            <w:tcW w:type="dxa" w:w="877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 Plan Impact Study (N-1)</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MP-40</w:t>
            </w:r>
          </w:p>
        </w:tc>
        <w:tc>
          <w:tcPr>
            <w:tcW w:type="dxa" w:w="8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Multi-Site Training Plan Deployment</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MP-41</w:t>
            </w:r>
          </w:p>
        </w:tc>
        <w:tc>
          <w:tcPr>
            <w:tcW w:type="dxa" w:w="877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External Training Plan Validation</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MP-42</w:t>
            </w:r>
          </w:p>
        </w:tc>
        <w:tc>
          <w:tcPr>
            <w:tcW w:type="dxa" w:w="8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Leadership Maturity Assessment &amp; Development</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MP-53</w:t>
            </w:r>
          </w:p>
        </w:tc>
        <w:tc>
          <w:tcPr>
            <w:tcW w:type="dxa" w:w="877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Scope of Work Definition &amp; Management</w:t>
            </w:r>
          </w:p>
        </w:tc>
      </w:tr>
      <w:tr>
        <w:trPr>
          <w:cantSplit/>
        </w:trPr>
        <w:tc>
          <w:tcPr>
            <w:tcW w:type="dxa" w:w="9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MP-54</w:t>
            </w:r>
          </w:p>
        </w:tc>
        <w:tc>
          <w:tcPr>
            <w:tcW w:type="dxa" w:w="8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 Design, Distribution &amp; Response Collection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Works best with</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Integrations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INT-SSO-01 Identity &amp; Access Management (IAM) / SSO</w:t>
            </w:r>
          </w:p>
          <w:p>
            <w:pPr>
              <w:spacing w:after="0" w:line="240" w:lineRule="auto"/>
            </w:pPr>
            <w:r>
              <w:rPr>
                <w:rFonts w:ascii="Times New Roman" w:hAnsi="Times New Roman" w:cs="Times New Roman" w:eastAsia="Times New Roman"/>
                <w:b w:val="0"/>
                <w:i w:val="0"/>
                <w:color w:val="58595B"/>
                <w:sz w:val="19"/>
              </w:rPr>
              <w:t>INT-SUR-01 Survey / Questionnaire Platform Integration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Add-ons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AD-01 Immersive Learning (VR/AR/Simulation) ($49/month)</w:t>
            </w:r>
          </w:p>
          <w:p>
            <w:pPr>
              <w:spacing w:after="0" w:line="240" w:lineRule="auto"/>
            </w:pPr>
            <w:r>
              <w:rPr>
                <w:rFonts w:ascii="Times New Roman" w:hAnsi="Times New Roman" w:cs="Times New Roman" w:eastAsia="Times New Roman"/>
                <w:b w:val="0"/>
                <w:i w:val="0"/>
                <w:color w:val="58595B"/>
                <w:sz w:val="19"/>
              </w:rPr>
              <w:t>AD-07 Expert Knowledge Capture &amp; Transfer ($45/month)</w:t>
            </w:r>
          </w:p>
          <w:p>
            <w:pPr>
              <w:spacing w:after="0" w:line="240" w:lineRule="auto"/>
            </w:pPr>
            <w:r>
              <w:rPr>
                <w:rFonts w:ascii="Times New Roman" w:hAnsi="Times New Roman" w:cs="Times New Roman" w:eastAsia="Times New Roman"/>
                <w:b w:val="0"/>
                <w:i w:val="0"/>
                <w:color w:val="58595B"/>
                <w:sz w:val="19"/>
              </w:rPr>
              <w:t>AD-09 External Training Plan Validation (Regulatory) ($45/month)</w:t>
            </w:r>
          </w:p>
          <w:p>
            <w:pPr>
              <w:spacing w:after="0" w:line="240" w:lineRule="auto"/>
            </w:pPr>
            <w:r>
              <w:rPr>
                <w:rFonts w:ascii="Times New Roman" w:hAnsi="Times New Roman" w:cs="Times New Roman" w:eastAsia="Times New Roman"/>
                <w:b w:val="0"/>
                <w:i w:val="0"/>
                <w:color w:val="58595B"/>
                <w:sz w:val="19"/>
              </w:rPr>
              <w:t>AD-10 Leadership Maturity Assessment &amp; Development ($69/month)</w:t>
            </w:r>
          </w:p>
          <w:p>
            <w:pPr>
              <w:spacing w:after="0" w:line="240" w:lineRule="auto"/>
            </w:pPr>
            <w:r>
              <w:rPr>
                <w:rFonts w:ascii="Times New Roman" w:hAnsi="Times New Roman" w:cs="Times New Roman" w:eastAsia="Times New Roman"/>
                <w:b w:val="0"/>
                <w:i w:val="0"/>
                <w:color w:val="58595B"/>
                <w:sz w:val="19"/>
              </w:rPr>
              <w:t>AD-11 Questionnaire Library &amp; Multi-Channel Distribution ($49/month)</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PACK · PK-08</w:t>
      </w:r>
    </w:p>
    <w:p>
      <w:pPr>
        <w:pStyle w:val="Heading2"/>
      </w:pPr>
      <w:r>
        <w:t>PK-08: Strategic Workforce &amp; Governance Pack</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ID</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Pack name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 Workforce &amp; Governance Pack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Target segment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Large enterprises, multinationals, holding companies, government agencies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$199 USD/month (up to 500 users); $0.45/user/month beyond 500 users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Value proposition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is disconnected from strategic workforce planning, job architecture, and governance.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No visibility into future skills needs, fragmented job descriptions, no GPEC integration, and weak governance over data, AI, and change.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strategic platform that integrates Forward Planning of Jobs and Skills (GPEC), job architecture, competitive intelligence, MS/MO/OP performance assessment, functional SWOT, and enterprise governance — positioning L&amp;D as a strategic driver of organizational transformation.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modules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785"/>
        <w:gridCol w:w="4527"/>
        <w:gridCol w:w="785"/>
        <w:gridCol w:w="3649"/>
      </w:tblGrid>
      <w:tr>
        <w:trPr>
          <w:cantSplit/>
          <w:tblHeader/>
        </w:trPr>
        <w:tc>
          <w:tcPr>
            <w:tcW w:type="dxa" w:w="7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452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c>
          <w:tcPr>
            <w:tcW w:type="dxa" w:w="7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64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Module</w:t>
            </w:r>
          </w:p>
        </w:tc>
      </w:tr>
      <w:tr>
        <w:trPr>
          <w:cantSplit/>
        </w:trPr>
        <w:tc>
          <w:tcPr>
            <w:tcW w:type="dxa" w:w="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M43</w:t>
            </w:r>
          </w:p>
        </w:tc>
        <w:tc>
          <w:tcPr>
            <w:tcW w:type="dxa" w:w="452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Competitive Intelligence Hub</w:t>
            </w:r>
          </w:p>
        </w:tc>
        <w:tc>
          <w:tcPr>
            <w:tcW w:type="dxa" w:w="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M49</w:t>
            </w:r>
          </w:p>
        </w:tc>
        <w:tc>
          <w:tcPr>
            <w:tcW w:type="dxa" w:w="36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Prioritization Hub</w:t>
            </w:r>
          </w:p>
        </w:tc>
      </w:tr>
      <w:tr>
        <w:trPr>
          <w:cantSplit/>
        </w:trPr>
        <w:tc>
          <w:tcPr>
            <w:tcW w:type="dxa" w:w="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M44</w:t>
            </w:r>
          </w:p>
        </w:tc>
        <w:tc>
          <w:tcPr>
            <w:tcW w:type="dxa" w:w="452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Architecture Hub</w:t>
            </w:r>
          </w:p>
        </w:tc>
        <w:tc>
          <w:tcPr>
            <w:tcW w:type="dxa" w:w="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M50</w:t>
            </w:r>
          </w:p>
        </w:tc>
        <w:tc>
          <w:tcPr>
            <w:tcW w:type="dxa" w:w="36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Roadmap Hub</w:t>
            </w:r>
          </w:p>
        </w:tc>
      </w:tr>
      <w:tr>
        <w:trPr>
          <w:cantSplit/>
        </w:trPr>
        <w:tc>
          <w:tcPr>
            <w:tcW w:type="dxa" w:w="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M45</w:t>
            </w:r>
          </w:p>
        </w:tc>
        <w:tc>
          <w:tcPr>
            <w:tcW w:type="dxa" w:w="452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GPEC Hub</w:t>
            </w:r>
          </w:p>
        </w:tc>
        <w:tc>
          <w:tcPr>
            <w:tcW w:type="dxa" w:w="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M16</w:t>
            </w:r>
          </w:p>
        </w:tc>
        <w:tc>
          <w:tcPr>
            <w:tcW w:type="dxa" w:w="36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Data Governance Console</w:t>
            </w:r>
          </w:p>
        </w:tc>
      </w:tr>
      <w:tr>
        <w:trPr>
          <w:cantSplit/>
        </w:trPr>
        <w:tc>
          <w:tcPr>
            <w:tcW w:type="dxa" w:w="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M46</w:t>
            </w:r>
          </w:p>
        </w:tc>
        <w:tc>
          <w:tcPr>
            <w:tcW w:type="dxa" w:w="452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Demand Collection Hub</w:t>
            </w:r>
          </w:p>
        </w:tc>
        <w:tc>
          <w:tcPr>
            <w:tcW w:type="dxa" w:w="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M17</w:t>
            </w:r>
          </w:p>
        </w:tc>
        <w:tc>
          <w:tcPr>
            <w:tcW w:type="dxa" w:w="36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Security Center</w:t>
            </w:r>
          </w:p>
        </w:tc>
      </w:tr>
      <w:tr>
        <w:trPr>
          <w:cantSplit/>
        </w:trPr>
        <w:tc>
          <w:tcPr>
            <w:tcW w:type="dxa" w:w="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M47</w:t>
            </w:r>
          </w:p>
        </w:tc>
        <w:tc>
          <w:tcPr>
            <w:tcW w:type="dxa" w:w="452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Assessment Hub</w:t>
            </w:r>
          </w:p>
        </w:tc>
        <w:tc>
          <w:tcPr>
            <w:tcW w:type="dxa" w:w="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M19</w:t>
            </w:r>
          </w:p>
        </w:tc>
        <w:tc>
          <w:tcPr>
            <w:tcW w:type="dxa" w:w="36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Change Hub</w:t>
            </w:r>
          </w:p>
        </w:tc>
      </w:tr>
      <w:tr>
        <w:trPr>
          <w:cantSplit/>
        </w:trPr>
        <w:tc>
          <w:tcPr>
            <w:tcW w:type="dxa" w:w="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M48</w:t>
            </w:r>
          </w:p>
        </w:tc>
        <w:tc>
          <w:tcPr>
            <w:tcW w:type="dxa" w:w="452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Functional SWOT Hub</w:t>
            </w:r>
          </w:p>
        </w:tc>
        <w:tc>
          <w:tcPr>
            <w:tcW w:type="dxa" w:w="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M20</w:t>
            </w:r>
          </w:p>
        </w:tc>
        <w:tc>
          <w:tcPr>
            <w:tcW w:type="dxa" w:w="36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Quality Center</w:t>
            </w:r>
          </w:p>
        </w:tc>
      </w:tr>
      <w:tr>
        <w:trPr>
          <w:cantSplit/>
        </w:trPr>
        <w:tc>
          <w:tcPr>
            <w:tcW w:type="dxa" w:w="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M53</w:t>
            </w:r>
          </w:p>
        </w:tc>
        <w:tc>
          <w:tcPr>
            <w:tcW w:type="dxa" w:w="452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of Work Studio</w:t>
            </w:r>
          </w:p>
        </w:tc>
        <w:tc>
          <w:tcPr>
            <w:tcW w:type="dxa" w:w="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M54</w:t>
            </w:r>
          </w:p>
        </w:tc>
        <w:tc>
          <w:tcPr>
            <w:tcW w:type="dxa" w:w="36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 Studio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Related macro processes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31"/>
        <w:gridCol w:w="8815"/>
      </w:tblGrid>
      <w:tr>
        <w:trPr>
          <w:cantSplit/>
          <w:tblHeader/>
        </w:trPr>
        <w:tc>
          <w:tcPr>
            <w:tcW w:type="dxa" w:w="93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881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MP-43</w:t>
            </w:r>
          </w:p>
        </w:tc>
        <w:tc>
          <w:tcPr>
            <w:tcW w:type="dxa" w:w="88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 &amp; Competitive Intelligence</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MP-44</w:t>
            </w:r>
          </w:p>
        </w:tc>
        <w:tc>
          <w:tcPr>
            <w:tcW w:type="dxa" w:w="88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Architecture &amp; Position Description Management</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MP-45</w:t>
            </w:r>
          </w:p>
        </w:tc>
        <w:tc>
          <w:tcPr>
            <w:tcW w:type="dxa" w:w="88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GPEC &amp; HR Strategic Integration (Forward Planning of Jobs and Skills)</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MP-46</w:t>
            </w:r>
          </w:p>
        </w:tc>
        <w:tc>
          <w:tcPr>
            <w:tcW w:type="dxa" w:w="88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 Demand Collection &amp; Consolidation</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MP-47</w:t>
            </w:r>
          </w:p>
        </w:tc>
        <w:tc>
          <w:tcPr>
            <w:tcW w:type="dxa" w:w="88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Level Assessment &amp; Visualization (MS/MO/OP)</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MP-48</w:t>
            </w:r>
          </w:p>
        </w:tc>
        <w:tc>
          <w:tcPr>
            <w:tcW w:type="dxa" w:w="88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Functional SWOT &amp; Improvement Axes Analysis</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MP-49</w:t>
            </w:r>
          </w:p>
        </w:tc>
        <w:tc>
          <w:tcPr>
            <w:tcW w:type="dxa" w:w="88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Plan Prioritization &amp; Resource Planning</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MP-50</w:t>
            </w:r>
          </w:p>
        </w:tc>
        <w:tc>
          <w:tcPr>
            <w:tcW w:type="dxa" w:w="88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Post-Engagement Roadmap &amp; Continuous Improvement</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MP-16</w:t>
            </w:r>
          </w:p>
        </w:tc>
        <w:tc>
          <w:tcPr>
            <w:tcW w:type="dxa" w:w="88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Data, AI &amp; Integration Governance</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MP-17</w:t>
            </w:r>
          </w:p>
        </w:tc>
        <w:tc>
          <w:tcPr>
            <w:tcW w:type="dxa" w:w="88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Identity, Access &amp; Security Management</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MP-19</w:t>
            </w:r>
          </w:p>
        </w:tc>
        <w:tc>
          <w:tcPr>
            <w:tcW w:type="dxa" w:w="88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Change Management &amp; Adoption</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MP-20</w:t>
            </w:r>
          </w:p>
        </w:tc>
        <w:tc>
          <w:tcPr>
            <w:tcW w:type="dxa" w:w="88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Quality, Risk &amp; Continuous Improvement</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w:t>
            </w:r>
          </w:p>
        </w:tc>
        <w:tc>
          <w:tcPr>
            <w:tcW w:type="dxa" w:w="88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of Work Definition &amp; Management</w:t>
            </w:r>
          </w:p>
        </w:tc>
      </w:tr>
      <w:tr>
        <w:trPr>
          <w:cantSplit/>
        </w:trPr>
        <w:tc>
          <w:tcPr>
            <w:tcW w:type="dxa" w:w="9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w:t>
            </w:r>
          </w:p>
        </w:tc>
        <w:tc>
          <w:tcPr>
            <w:tcW w:type="dxa" w:w="88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Questionnaire Design, Distribution &amp; Response Collection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Works best with</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Integrations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INT-HR-01 HRIS/HCM Integration</w:t>
            </w:r>
          </w:p>
          <w:p>
            <w:pPr>
              <w:spacing w:after="0" w:line="240" w:lineRule="auto"/>
            </w:pPr>
            <w:r>
              <w:rPr>
                <w:rFonts w:ascii="Times New Roman" w:hAnsi="Times New Roman" w:cs="Times New Roman" w:eastAsia="Times New Roman"/>
                <w:b w:val="0"/>
                <w:i w:val="0"/>
                <w:color w:val="58595B"/>
                <w:sz w:val="19"/>
              </w:rPr>
              <w:t>INT-FIN-01 ERP/Finance System Integration</w:t>
            </w:r>
          </w:p>
          <w:p>
            <w:pPr>
              <w:spacing w:after="0" w:line="240" w:lineRule="auto"/>
            </w:pPr>
            <w:r>
              <w:rPr>
                <w:rFonts w:ascii="Times New Roman" w:hAnsi="Times New Roman" w:cs="Times New Roman" w:eastAsia="Times New Roman"/>
                <w:b w:val="0"/>
                <w:i w:val="0"/>
                <w:color w:val="58595B"/>
                <w:sz w:val="19"/>
              </w:rPr>
              <w:t>INT-TM-02 Talent Management / Succession Planning Integration</w:t>
            </w:r>
          </w:p>
          <w:p>
            <w:pPr>
              <w:spacing w:after="0" w:line="240" w:lineRule="auto"/>
            </w:pPr>
            <w:r>
              <w:rPr>
                <w:rFonts w:ascii="Times New Roman" w:hAnsi="Times New Roman" w:cs="Times New Roman" w:eastAsia="Times New Roman"/>
                <w:b w:val="0"/>
                <w:i w:val="0"/>
                <w:color w:val="58595B"/>
                <w:sz w:val="19"/>
              </w:rPr>
              <w:t>INT-TM-03 Skills Intelligence / Talent Marketplace</w:t>
            </w:r>
          </w:p>
          <w:p>
            <w:pPr>
              <w:spacing w:after="0" w:line="240" w:lineRule="auto"/>
            </w:pPr>
            <w:r>
              <w:rPr>
                <w:rFonts w:ascii="Times New Roman" w:hAnsi="Times New Roman" w:cs="Times New Roman" w:eastAsia="Times New Roman"/>
                <w:b w:val="0"/>
                <w:i w:val="0"/>
                <w:color w:val="58595B"/>
                <w:sz w:val="19"/>
              </w:rPr>
              <w:t>INT-REC-01 Recruitment / ATS Integration</w:t>
            </w:r>
          </w:p>
          <w:p>
            <w:pPr>
              <w:spacing w:after="0" w:line="240" w:lineRule="auto"/>
            </w:pPr>
            <w:r>
              <w:rPr>
                <w:rFonts w:ascii="Times New Roman" w:hAnsi="Times New Roman" w:cs="Times New Roman" w:eastAsia="Times New Roman"/>
                <w:b w:val="0"/>
                <w:i w:val="0"/>
                <w:color w:val="58595B"/>
                <w:sz w:val="19"/>
              </w:rPr>
              <w:t>INT-BI-01 Business Intelligence (BI) Tools</w:t>
            </w:r>
          </w:p>
          <w:p>
            <w:pPr>
              <w:spacing w:after="0" w:line="240" w:lineRule="auto"/>
            </w:pPr>
            <w:r>
              <w:rPr>
                <w:rFonts w:ascii="Times New Roman" w:hAnsi="Times New Roman" w:cs="Times New Roman" w:eastAsia="Times New Roman"/>
                <w:b w:val="0"/>
                <w:i w:val="0"/>
                <w:color w:val="58595B"/>
                <w:sz w:val="19"/>
              </w:rPr>
              <w:t>INT-DATA-01 Data Warehouses &amp; Data Lakes</w:t>
            </w:r>
          </w:p>
          <w:p>
            <w:pPr>
              <w:spacing w:after="0" w:line="240" w:lineRule="auto"/>
            </w:pPr>
            <w:r>
              <w:rPr>
                <w:rFonts w:ascii="Times New Roman" w:hAnsi="Times New Roman" w:cs="Times New Roman" w:eastAsia="Times New Roman"/>
                <w:b w:val="0"/>
                <w:i w:val="0"/>
                <w:color w:val="58595B"/>
                <w:sz w:val="19"/>
              </w:rPr>
              <w:t>INT-SSO-01 Identity &amp; Access Management (IAM) / SSO</w:t>
            </w:r>
          </w:p>
          <w:p>
            <w:pPr>
              <w:spacing w:after="0" w:line="240" w:lineRule="auto"/>
            </w:pPr>
            <w:r>
              <w:rPr>
                <w:rFonts w:ascii="Times New Roman" w:hAnsi="Times New Roman" w:cs="Times New Roman" w:eastAsia="Times New Roman"/>
                <w:b w:val="0"/>
                <w:i w:val="0"/>
                <w:color w:val="58595B"/>
                <w:sz w:val="19"/>
              </w:rPr>
              <w:t>INT-SUR-01 Survey / Questionnaire Platform Integration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Add-ons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AD-03 Predictive Analytics ($69/month)</w:t>
            </w:r>
          </w:p>
          <w:p>
            <w:pPr>
              <w:spacing w:after="0" w:line="240" w:lineRule="auto"/>
            </w:pPr>
            <w:r>
              <w:rPr>
                <w:rFonts w:ascii="Times New Roman" w:hAnsi="Times New Roman" w:cs="Times New Roman" w:eastAsia="Times New Roman"/>
                <w:b w:val="0"/>
                <w:i w:val="0"/>
                <w:color w:val="58595B"/>
                <w:sz w:val="19"/>
              </w:rPr>
              <w:t>AD-08 Multi-Site / Multi-Entity Deployment ($55/month)</w:t>
            </w:r>
          </w:p>
          <w:p>
            <w:pPr>
              <w:spacing w:after="0" w:line="240" w:lineRule="auto"/>
            </w:pPr>
            <w:r>
              <w:rPr>
                <w:rFonts w:ascii="Times New Roman" w:hAnsi="Times New Roman" w:cs="Times New Roman" w:eastAsia="Times New Roman"/>
                <w:b w:val="0"/>
                <w:i w:val="0"/>
                <w:color w:val="58595B"/>
                <w:sz w:val="19"/>
              </w:rPr>
              <w:t>AD-10 Leadership Maturity Assessment &amp; Development ($69/month)</w:t>
            </w:r>
          </w:p>
          <w:p>
            <w:pPr>
              <w:spacing w:after="0" w:line="240" w:lineRule="auto"/>
            </w:pPr>
            <w:r>
              <w:rPr>
                <w:rFonts w:ascii="Times New Roman" w:hAnsi="Times New Roman" w:cs="Times New Roman" w:eastAsia="Times New Roman"/>
                <w:b w:val="0"/>
                <w:i w:val="0"/>
                <w:color w:val="58595B"/>
                <w:sz w:val="19"/>
              </w:rPr>
              <w:t>AD-11 Questionnaire Library &amp; Multi-Channel Distribution ($49/month)</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4</w:t>
      </w:r>
    </w:p>
    <w:p>
      <w:pPr>
        <w:pStyle w:val="Heading1"/>
      </w:pPr>
      <w:r>
        <w:t>4.  Integration Catalog</w:t>
      </w:r>
    </w:p>
    <w:p>
      <w:pPr>
        <w:spacing w:after="120"/>
        <w:jc w:val="both"/>
      </w:pPr>
      <w:r>
        <w:rPr>
          <w:rFonts w:ascii="Times New Roman" w:hAnsi="Times New Roman" w:cs="Times New Roman" w:eastAsia="Times New Roman"/>
          <w:b w:val="0"/>
          <w:i w:val="0"/>
          <w:color w:val="58595B"/>
        </w:rPr>
        <w:t>Integrations connect CortexSkills to the customer's existing systems. They are grouped in seven families. SSO (INT-SSO-01) is included in all packs.</w:t>
      </w:r>
    </w:p>
    <w:p>
      <w:pPr>
        <w:pStyle w:val="Heading2"/>
      </w:pPr>
      <w:r>
        <w:t>4.0  Integration-to-Pack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375"/>
        <w:gridCol w:w="2411"/>
        <w:gridCol w:w="745"/>
        <w:gridCol w:w="745"/>
        <w:gridCol w:w="745"/>
        <w:gridCol w:w="745"/>
        <w:gridCol w:w="745"/>
        <w:gridCol w:w="745"/>
        <w:gridCol w:w="745"/>
        <w:gridCol w:w="745"/>
      </w:tblGrid>
      <w:tr>
        <w:trPr>
          <w:cantSplit/>
          <w:tblHeader/>
        </w:trPr>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241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PK-01</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PK-02</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PK-03</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PK-04</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PK-05</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PK-06</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PK-07</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INT-HR-01</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HRIS/HCM 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INT-FIN-01</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ERP/Finance System 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INT-CRM-01</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CRM 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INT-TM-01</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Performance Management 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INT-TM-02</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Talent Management / Succession Planning 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INT-TM-03</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Skills Intelligence / Talent Marketplace</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INT-REC-01</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Recruitment / ATS 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INT-CON-01</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Content Provider Aggregation</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INT-LMS-01</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LMS/LXP 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INT-ASM-01</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Assessment &amp; Certification Systems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INT-VC-01</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Virtual Classroom &amp; Webinar Tools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INT-COM-01</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Communication &amp; Collaboration Platforms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INT-PROD-01</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Productivity &amp; Workflow Tools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INT-BI-01</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Business Intelligence (BI) Tools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INT-DATA-01</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Data Warehouses &amp; Data Lakes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INT-SSO-01</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Identity &amp; Access Management (IAM) / SSO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INT-PAY-01</w:t>
            </w:r>
          </w:p>
        </w:tc>
        <w:tc>
          <w:tcPr>
            <w:tcW w:type="dxa" w:w="241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E-Commerce &amp; Payment Gateways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INT-SUR-01</w:t>
            </w:r>
          </w:p>
        </w:tc>
        <w:tc>
          <w:tcPr>
            <w:tcW w:type="dxa" w:w="241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Survey / Questionnaire Platform Integration</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4.0 — Which packs benefit from each integration (● = related pack).</w:t>
      </w:r>
    </w:p>
    <w:p>
      <w:pPr>
        <w:pStyle w:val="Heading2"/>
      </w:pPr>
      <w:r>
        <w:t>4.1  Enterprise Systems</w:t>
      </w:r>
    </w:p>
    <w:p>
      <w:pPr>
        <w:keepNext/>
        <w:spacing w:before="80" w:after="40" w:line="240" w:lineRule="auto"/>
      </w:pPr>
      <w:r>
        <w:rPr>
          <w:rFonts w:ascii="Times New Roman" w:hAnsi="Times New Roman" w:cs="Times New Roman" w:eastAsia="Times New Roman"/>
          <w:b/>
          <w:color w:val="E07B00"/>
          <w:spacing w:val="24"/>
          <w:sz w:val="18"/>
        </w:rPr>
        <w:t>INTEGRATION · INT-HR-01</w:t>
      </w:r>
    </w:p>
    <w:p>
      <w:pPr>
        <w:pStyle w:val="Heading3"/>
      </w:pPr>
      <w:r>
        <w:t>INT-HR-01: HRIS/HCM Integration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Synchronize employee data (profiles, roles, org charts, hierarchies) automatically; ensure user provisioning/deprovisioning is seamless and accurate.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Workday, SAP SuccessFactors, Oracle HCM, ADP, BambooHR, Personio, DarwinBox</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PK-01, PK-02, PK-05, PK-08</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and L&amp;D work in silos with manual data transfers.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Constant battle to keep user lists updated; error-prone reporting; security risks from former employees retaining access.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single source of truth where employee changes in the HRIS automatically update the learning platform, freeing L&amp;D to focus on strategy.</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INT-FIN-01</w:t>
      </w:r>
    </w:p>
    <w:p>
      <w:pPr>
        <w:pStyle w:val="Heading3"/>
      </w:pPr>
      <w:r>
        <w:t>INT-FIN-01: ERP/Finance System Integration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Automate budget tracking, cost allocation, and vendor invoice processing related to training activities.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SAP ERP, Oracle Financials, Microsoft Dynamics 365, NetSuite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PK-01, PK-03, PK-06, PK-08</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leaders manage training budgets with complex, static spreadsheets.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Nearly impossible to get a real-time view of spending vs. budget; reconciling vendor invoices is a major headache.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Real-time financial visibility and automated reconciliation, enabling data-driven budget decisions.</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INT-CRM-01</w:t>
      </w:r>
    </w:p>
    <w:p>
      <w:pPr>
        <w:pStyle w:val="Heading3"/>
      </w:pPr>
      <w:r>
        <w:t>INT-CRM-01: CRM Integration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 and track training programs for customers, partners, and resellers; connect sales performance data to training outcomes.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Salesforce, HubSpot, Microsoft Dynamics CRM</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PK-06</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Sales and training teams operate independently.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Company invests in partner/customer training but cannot correlate it with improved sales, satisfaction, or reduced churn.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Direct line of sight from training completion to revenue generated, proving the business value of extended enterprise training.</w:t>
            </w:r>
          </w:p>
        </w:tc>
      </w:tr>
    </w:tbl>
    <w:p>
      <w:pPr>
        <w:spacing w:before="0" w:after="80" w:line="240" w:lineRule="auto"/>
      </w:pPr>
    </w:p>
    <w:p>
      <w:pPr>
        <w:pStyle w:val="Heading2"/>
      </w:pPr>
      <w:r>
        <w:t>4.2  Talent &amp; Performance Management</w:t>
      </w:r>
    </w:p>
    <w:p>
      <w:pPr>
        <w:keepNext/>
        <w:spacing w:before="80" w:after="40" w:line="240" w:lineRule="auto"/>
      </w:pPr>
      <w:r>
        <w:rPr>
          <w:rFonts w:ascii="Times New Roman" w:hAnsi="Times New Roman" w:cs="Times New Roman" w:eastAsia="Times New Roman"/>
          <w:b/>
          <w:color w:val="E07B00"/>
          <w:spacing w:val="24"/>
          <w:sz w:val="18"/>
        </w:rPr>
        <w:t>INTEGRATION · INT-TM-01</w:t>
      </w:r>
    </w:p>
    <w:p>
      <w:pPr>
        <w:pStyle w:val="Heading3"/>
      </w:pPr>
      <w:r>
        <w:t>INT-TM-01: Performance Management Integration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Pull performance review data (ratings, manager feedback, goal progress) to trigger training needs analysis, personalize learning paths, and measure training impact on performance.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Cornerstone Performance, Lattice, 15Five, ClearCompany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PK-01, PK-03, PK-05</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reviews identify skill gaps, but follow-up training is disconnected and manual.</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feels disconnected from performance outcomes; managers struggle to use learning as an improvement tool.</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closed-loop system where a performance improvement plan automatically triggers a targeted learning path, and subsequent performance gains are measured.</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INT-TM-02</w:t>
      </w:r>
    </w:p>
    <w:p>
      <w:pPr>
        <w:pStyle w:val="Heading3"/>
      </w:pPr>
      <w:r>
        <w:t>INT-TM-02: Talent Management / Succession Planning Integration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Align training and development with career paths, succession plans, and internal mobility opportunities.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Workday Talent &amp; Succession, SAP SuccessFactors Succession, 365Talents, Fuel50</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PK-05, PK-08</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Career pathing and succession planning are often theoretical exercises.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 feel they lack clear development paths; managers have no ready pipeline for critical roles.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dynamic talent marketplace where employees see skills required for their desired next role and are automatically recommended the training to get there.</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INT-TM-03</w:t>
      </w:r>
    </w:p>
    <w:p>
      <w:pPr>
        <w:pStyle w:val="Heading3"/>
      </w:pPr>
      <w:r>
        <w:t>INT-TM-03: Skills Intelligence / Talent Marketplace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Enrich the platform's skills ontology with real-time data from the market; power internal talent matching.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Degreed (Skills Intelligence), Gloat, 365Talents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PK-03, PK-05, PK-08</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is disconnected from the real-time skills landscape of the business and external market.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Skills taxonomy becomes stale quickly; training is designed based on outdated assumptions.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self-updating skills database that reflects current business needs and market trends, ensuring training investments are always relevant.</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INT-REC-01</w:t>
      </w:r>
    </w:p>
    <w:p>
      <w:pPr>
        <w:pStyle w:val="Heading3"/>
      </w:pPr>
      <w:r>
        <w:t>INT-REC-01: Recruitment / ATS Integration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Connect job requisitions to the skills framework; enable "build vs. buy" analysis; align onboarding with pre-hire expectations.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SAP SuccessFactors Recruiting, Oracle Taleo, Workday Recruiting, Greenhouse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PK-05, PK-08</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Recruitment and L&amp;D teams do not communicate, leading to hiring for skills that could have been developed internally.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Organization spends heavily on external hiring when a more cost-effective option could be reskilling an internal candidate.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Ability to instantly see if skills for a new job opening exist internally, prompting a reskilling initiative instead of an external hire.</w:t>
            </w:r>
          </w:p>
        </w:tc>
      </w:tr>
    </w:tbl>
    <w:p>
      <w:pPr>
        <w:spacing w:before="0" w:after="80" w:line="240" w:lineRule="auto"/>
      </w:pPr>
    </w:p>
    <w:p>
      <w:pPr>
        <w:pStyle w:val="Heading2"/>
      </w:pPr>
      <w:r>
        <w:t>4.3  Learning Content &amp; Ecosystem</w:t>
      </w:r>
    </w:p>
    <w:p>
      <w:pPr>
        <w:keepNext/>
        <w:spacing w:before="80" w:after="40" w:line="240" w:lineRule="auto"/>
      </w:pPr>
      <w:r>
        <w:rPr>
          <w:rFonts w:ascii="Times New Roman" w:hAnsi="Times New Roman" w:cs="Times New Roman" w:eastAsia="Times New Roman"/>
          <w:b/>
          <w:color w:val="E07B00"/>
          <w:spacing w:val="24"/>
          <w:sz w:val="18"/>
        </w:rPr>
        <w:t>INTEGRATION · INT-CON-01</w:t>
      </w:r>
    </w:p>
    <w:p>
      <w:pPr>
        <w:pStyle w:val="Heading3"/>
      </w:pPr>
      <w:r>
        <w:t>INT-CON-01: Content Provider Aggregation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Seamlessly integrate external content libraries directly into the learning platform, providing a vast and diverse catalog without manual import.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LinkedIn Learning, Coursera, Udemy Business, Pluralsight, Skillsoft, O'Reilly, OpenSesame, getAbstract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PK-02, PK-06</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teams struggle to find and curate high-quality external content, often resulting in outdated or unengaging courses.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Purchasing individual courses is expensive; managing multiple vendor platforms is chaotic.</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single, unified search experience that pulls content from multiple world-class providers, giving learners choice and L&amp;D powerful curation tools.</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INT-LMS-01</w:t>
      </w:r>
    </w:p>
    <w:p>
      <w:pPr>
        <w:pStyle w:val="Heading3"/>
      </w:pPr>
      <w:r>
        <w:t>INT-LMS-01: LMS/LXP Integration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Act as an operational layer for scheduling, resource planning, and reporting for training activities managed in another LMS, or vice versa.</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Docebo, Cornerstone OnDemand, 360Learning, Absorb LMS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PK-01, PK-02, PK-06</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Many organizations have multiple learning platforms, creating a fragmented experience.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Learner data and completion records are scattered across systems, making it impossible to get a holistic view.</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single operational hub that orchestrates all training, regardless of where content is hosted, creating a seamless experience for learners and admins.</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INT-ASM-01</w:t>
      </w:r>
    </w:p>
    <w:p>
      <w:pPr>
        <w:pStyle w:val="Heading3"/>
      </w:pPr>
      <w:r>
        <w:t>INT-ASM-01: Assessment &amp; Certification Systems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Integrate advanced assessment engines and issue verifiable digital badges and certifications.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Questionmark, Credly, ProctorU, PSI</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PK-03, PK-04, PK-06</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is often a basic quiz function within an LMS.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Inability to conduct high-stakes or remotely proctored exams; lack of standardized way to issue and track credentials.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Ability to deliver robust, secure assessments and issue digital badges that employees can share on LinkedIn, enhancing the value of the certification.</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INT-VC-01</w:t>
      </w:r>
    </w:p>
    <w:p>
      <w:pPr>
        <w:pStyle w:val="Heading3"/>
      </w:pPr>
      <w:r>
        <w:t>INT-VC-01: Virtual Classroom &amp; Webinar Tools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Schedule, launch, and track attendance for live instructor-led training sessions (ILT/VILT) directly from the platform.</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Zoom, Microsoft Teams, Google Meet, Webex, GoToMeeting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PK-02, PK-06</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administrators manually schedule sessions in a separate tool and share links via email.</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Easy to make mistakes in scheduling and communication, leading to low attendance and frustrating experiences.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one-click workflow where scheduling a VILT session in the platform automatically creates the Zoom/Teams meeting, invites all learners, and syncs attendance data back.</w:t>
            </w:r>
          </w:p>
        </w:tc>
      </w:tr>
    </w:tbl>
    <w:p>
      <w:pPr>
        <w:spacing w:before="0" w:after="80" w:line="240" w:lineRule="auto"/>
      </w:pPr>
    </w:p>
    <w:p>
      <w:pPr>
        <w:pStyle w:val="Heading2"/>
      </w:pPr>
      <w:r>
        <w:t>4.4  Learning in the Flow of Work</w:t>
      </w:r>
    </w:p>
    <w:p>
      <w:pPr>
        <w:keepNext/>
        <w:spacing w:before="80" w:after="40" w:line="240" w:lineRule="auto"/>
      </w:pPr>
      <w:r>
        <w:rPr>
          <w:rFonts w:ascii="Times New Roman" w:hAnsi="Times New Roman" w:cs="Times New Roman" w:eastAsia="Times New Roman"/>
          <w:b/>
          <w:color w:val="E07B00"/>
          <w:spacing w:val="24"/>
          <w:sz w:val="18"/>
        </w:rPr>
        <w:t>INTEGRATION · INT-COM-01</w:t>
      </w:r>
    </w:p>
    <w:p>
      <w:pPr>
        <w:pStyle w:val="Heading3"/>
      </w:pPr>
      <w:r>
        <w:t>INT-COM-01: Communication &amp; Collaboration Platforms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Deliver contextual microlearning, notifications, and AI-powered learning recommendations directly within the tools employees use daily.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Slack, Microsoft Teams, WhatsApp</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PK-02, PK-05</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 are often too busy to log into a separate learning portal.</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is perceived as a separate activity from "real work," leading to low engagement and forgotten knowledge.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becomes an integrated part of the workflow. An employee can get a quick answer or a relevant learning nudge without leaving their communication tool.</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INT-PROD-01</w:t>
      </w:r>
    </w:p>
    <w:p>
      <w:pPr>
        <w:pStyle w:val="Heading3"/>
      </w:pPr>
      <w:r>
        <w:t>INT-PROD-01: Productivity &amp; Workflow Tools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Provide just-in-time performance support and microlearning within the applications where tasks are executed.</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Microsoft 365, Google Workspace, Salesforce, Jira</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PK-02, PK-05</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 often struggle with a specific feature in software they are using.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Searching for help externally is slow and disruptive.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learning sidebar or integration that provides relevant, bite-sized tutorials or guidance directly within the software, solving the problem in the moment and improving productivity.</w:t>
            </w:r>
          </w:p>
        </w:tc>
      </w:tr>
    </w:tbl>
    <w:p>
      <w:pPr>
        <w:spacing w:before="0" w:after="80" w:line="240" w:lineRule="auto"/>
      </w:pPr>
    </w:p>
    <w:p>
      <w:pPr>
        <w:pStyle w:val="Heading2"/>
      </w:pPr>
      <w:r>
        <w:t>4.5  Data &amp; Analytics</w:t>
      </w:r>
    </w:p>
    <w:p>
      <w:pPr>
        <w:keepNext/>
        <w:spacing w:before="80" w:after="40" w:line="240" w:lineRule="auto"/>
      </w:pPr>
      <w:r>
        <w:rPr>
          <w:rFonts w:ascii="Times New Roman" w:hAnsi="Times New Roman" w:cs="Times New Roman" w:eastAsia="Times New Roman"/>
          <w:b/>
          <w:color w:val="E07B00"/>
          <w:spacing w:val="24"/>
          <w:sz w:val="18"/>
        </w:rPr>
        <w:t>INTEGRATION · INT-BI-01</w:t>
      </w:r>
    </w:p>
    <w:p>
      <w:pPr>
        <w:pStyle w:val="Heading3"/>
      </w:pPr>
      <w:r>
        <w:t>INT-BI-01: Business Intelligence (BI) Tools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Export rich, structured learning and skills data to enterprise BI platforms for advanced analytics, custom reporting, and correlation with business KPIs.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Tableau, Microsoft Power BI, Looker, Qlik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PK-03, PK-08</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reports are often basic and siloed within the LMS, disconnected from business metrics.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Inability to answer critical questions like "What is the correlation between this sales training and our quarterly revenue?"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Ability to combine learning data with business data in a single dashboard, providing undeniable proof of L&amp;D's strategic impact and ROI.</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INT-DATA-01</w:t>
      </w:r>
    </w:p>
    <w:p>
      <w:pPr>
        <w:pStyle w:val="Heading3"/>
      </w:pPr>
      <w:r>
        <w:t>INT-DATA-01: Data Warehouses &amp; Data Lakes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Create a centralized, scalable repository of all learning and talent data for advanced AI/ML modeling and long-term trend analysis.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Snowflake, Databricks, Google BigQuery, Amazon Redshift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PK-03, PK-08</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Data is stuck in operational systems and difficult to access for advanced data science projects.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Organization wants to build predictive models for attrition or future skills needs but lacks a unified data foundation.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future-proof data architecture where all people data can be aggregated and analyzed, unlocking powerful predictive capabilities for strategic workforce planning.</w:t>
            </w:r>
          </w:p>
        </w:tc>
      </w:tr>
    </w:tbl>
    <w:p>
      <w:pPr>
        <w:spacing w:before="0" w:after="80" w:line="240" w:lineRule="auto"/>
      </w:pPr>
    </w:p>
    <w:p>
      <w:pPr>
        <w:pStyle w:val="Heading2"/>
      </w:pPr>
      <w:r>
        <w:t>4.6  Core Platform &amp; Security</w:t>
      </w:r>
    </w:p>
    <w:p>
      <w:pPr>
        <w:keepNext/>
        <w:spacing w:before="80" w:after="40" w:line="240" w:lineRule="auto"/>
      </w:pPr>
      <w:r>
        <w:rPr>
          <w:rFonts w:ascii="Times New Roman" w:hAnsi="Times New Roman" w:cs="Times New Roman" w:eastAsia="Times New Roman"/>
          <w:b/>
          <w:color w:val="E07B00"/>
          <w:spacing w:val="24"/>
          <w:sz w:val="18"/>
        </w:rPr>
        <w:t>INTEGRATION · INT-SSO-01</w:t>
      </w:r>
    </w:p>
    <w:p>
      <w:pPr>
        <w:pStyle w:val="Heading3"/>
      </w:pPr>
      <w:r>
        <w:t>INT-SSO-01: Identity &amp; Access Management (IAM) / SSO</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Provide secure, streamlined login and automated user provisioning/deprovisioning (SCIM) for all employees.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Okta, Microsoft Entra ID (formerly Azure AD), Ping Identity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PK-01 to PK-08 (all packs)</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Users manage multiple passwords; IT administers accounts manually across systems.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Poor user experience with forgotten passwords; security vulnerabilities from orphaned accounts.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seamless, secure login experience where users can access all applications with a single set of credentials, and user access is automatically managed based on HR status.</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INTEGRATION · INT-PAY-01</w:t>
      </w:r>
    </w:p>
    <w:p>
      <w:pPr>
        <w:pStyle w:val="Heading3"/>
      </w:pPr>
      <w:r>
        <w:t>INT-PAY-01: E-Commerce &amp; Payment Gateways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Enable monetization of training for external audiences (partners, customers) by providing secure payment processing.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Stripe, PayPal, Adyen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PK-06</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Company wants to sell its training programs to external partners but lacks a secure way to collect payments.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Managing payments, invoices, and sales tax manually is a massive barrier to scaling an extended enterprise training business.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fully integrated e-commerce capability that makes selling training as simple as selling any other product, opening up a new revenue stream.</w:t>
            </w:r>
          </w:p>
        </w:tc>
      </w:tr>
    </w:tbl>
    <w:p>
      <w:pPr>
        <w:spacing w:before="0" w:after="80" w:line="240" w:lineRule="auto"/>
      </w:pPr>
    </w:p>
    <w:p>
      <w:pPr>
        <w:pStyle w:val="Heading2"/>
      </w:pPr>
      <w:r>
        <w:t>4.7  Survey &amp; Feedback</w:t>
      </w:r>
    </w:p>
    <w:p>
      <w:pPr>
        <w:keepNext/>
        <w:spacing w:before="80" w:after="40" w:line="240" w:lineRule="auto"/>
      </w:pPr>
      <w:r>
        <w:rPr>
          <w:rFonts w:ascii="Times New Roman" w:hAnsi="Times New Roman" w:cs="Times New Roman" w:eastAsia="Times New Roman"/>
          <w:b/>
          <w:color w:val="E07B00"/>
          <w:spacing w:val="24"/>
          <w:sz w:val="18"/>
        </w:rPr>
        <w:t>INTEGRATION · INT-SUR-01</w:t>
      </w:r>
    </w:p>
    <w:p>
      <w:pPr>
        <w:pStyle w:val="Heading3"/>
      </w:pPr>
      <w:r>
        <w:t>INT-SUR-01: Survey / Questionnaire Platform Integration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Connect CortexSkills to external survey tools for questionnaire distribution, response collection and analytics, so that responses flow back into the needs analysis, diagnostic and Training Engineering Report.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Example applications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Qualtrics, SurveyMonkey, Microsoft Forms, Google Forms, LimeSurvey, Typeform</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PK-01, PK-03, PK-07, PK-08</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teams and consultants build questionnaires in a separate survey tool, export the responses to spreadsheets and re-key them into the needs analysis.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Responses are scattered across tools and channels, consolidation is manual and slow, consent is hard to prove, and results reach the needs analysis late.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Questionnaires dispatched and collected through the survey tool the organization already uses, with responses flowing back automatically into CortexSkills — traced to the Scope of Work and ready for analysis.</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5</w:t>
      </w:r>
    </w:p>
    <w:p>
      <w:pPr>
        <w:pStyle w:val="Heading1"/>
      </w:pPr>
      <w:r>
        <w:t>5.  Add-On Catalog</w:t>
      </w:r>
    </w:p>
    <w:p>
      <w:pPr>
        <w:spacing w:after="120"/>
        <w:jc w:val="both"/>
      </w:pPr>
      <w:r>
        <w:rPr>
          <w:rFonts w:ascii="Times New Roman" w:hAnsi="Times New Roman" w:cs="Times New Roman" w:eastAsia="Times New Roman"/>
          <w:b w:val="0"/>
          <w:i w:val="0"/>
          <w:color w:val="58595B"/>
        </w:rPr>
        <w:t>Add-Ons are optional modules that can be purchased on top of any Pack to extend capabilities. They are designed for customers who need specialized functionality without upgrading to a higher-tier pack.</w:t>
      </w:r>
    </w:p>
    <w:p>
      <w:pPr>
        <w:pStyle w:val="Heading2"/>
      </w:pPr>
      <w:r>
        <w:t>5.0  Add-On-to-Pack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745"/>
        <w:gridCol w:w="3041"/>
        <w:gridCol w:w="745"/>
        <w:gridCol w:w="745"/>
        <w:gridCol w:w="745"/>
        <w:gridCol w:w="745"/>
        <w:gridCol w:w="745"/>
        <w:gridCol w:w="745"/>
        <w:gridCol w:w="745"/>
        <w:gridCol w:w="745"/>
      </w:tblGrid>
      <w:tr>
        <w:trPr>
          <w:cantSplit/>
          <w:tblHeader/>
        </w:trPr>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304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Add-on (price/month)</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PK-01</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PK-02</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PK-03</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PK-04</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PK-05</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PK-06</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PK-07</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PK-08</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AD-01</w:t>
            </w:r>
          </w:p>
        </w:tc>
        <w:tc>
          <w:tcPr>
            <w:tcW w:type="dxa" w:w="304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Immersive Learning (VR/AR/Simulation) ($49)</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AD-02</w:t>
            </w:r>
          </w:p>
        </w:tc>
        <w:tc>
          <w:tcPr>
            <w:tcW w:type="dxa" w:w="304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AI Personalization Engine ($59)</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AD-03</w:t>
            </w:r>
          </w:p>
        </w:tc>
        <w:tc>
          <w:tcPr>
            <w:tcW w:type="dxa" w:w="304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Predictive Analytics ($69)</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AD-04</w:t>
            </w:r>
          </w:p>
        </w:tc>
        <w:tc>
          <w:tcPr>
            <w:tcW w:type="dxa" w:w="304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Social &amp; Collaborative Learning ($40)</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AD-05</w:t>
            </w:r>
          </w:p>
        </w:tc>
        <w:tc>
          <w:tcPr>
            <w:tcW w:type="dxa" w:w="304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Gamification Engine ($40)</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AD-06</w:t>
            </w:r>
          </w:p>
        </w:tc>
        <w:tc>
          <w:tcPr>
            <w:tcW w:type="dxa" w:w="304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Content Curation &amp; Aggregation Engine ($49)</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AD-07</w:t>
            </w:r>
          </w:p>
        </w:tc>
        <w:tc>
          <w:tcPr>
            <w:tcW w:type="dxa" w:w="304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Expert Knowledge Capture &amp; Transfer ($45)</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AD-08</w:t>
            </w:r>
          </w:p>
        </w:tc>
        <w:tc>
          <w:tcPr>
            <w:tcW w:type="dxa" w:w="304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Multi-Site / Multi-Entity Deployment ($55)</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AD-09</w:t>
            </w:r>
          </w:p>
        </w:tc>
        <w:tc>
          <w:tcPr>
            <w:tcW w:type="dxa" w:w="304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External Training Plan Validation (Regulatory) ($45)</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AD-10</w:t>
            </w:r>
          </w:p>
        </w:tc>
        <w:tc>
          <w:tcPr>
            <w:tcW w:type="dxa" w:w="304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Leadership Maturity Assessment &amp; Development ($69)</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jc w:val="center"/>
            </w:pPr>
            <w:r/>
            <w:r>
              <w:rPr>
                <w:rFonts w:ascii="Times New Roman" w:hAnsi="Times New Roman" w:cs="Times New Roman" w:eastAsia="Times New Roman"/>
                <w:color w:val="F8931D"/>
                <w:sz w:val="22"/>
              </w:rPr>
              <w:t>●</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AD-11</w:t>
            </w:r>
          </w:p>
        </w:tc>
        <w:tc>
          <w:tcPr>
            <w:tcW w:type="dxa" w:w="304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 Library &amp; Multi-Channel Distribution ($49)</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jc w:val="center"/>
            </w:pPr>
            <w:r/>
            <w:r>
              <w:rPr>
                <w:rFonts w:ascii="Times New Roman" w:hAnsi="Times New Roman" w:cs="Times New Roman" w:eastAsia="Times New Roman"/>
                <w:color w:val="F8931D"/>
                <w:sz w:val="22"/>
              </w:rPr>
              <w: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5.0 — Packs that benefit most from each add-on (● = related pack). Add-ons can be bought with any pack.</w:t>
      </w:r>
    </w:p>
    <w:p>
      <w:pPr>
        <w:pStyle w:val="Heading2"/>
      </w:pPr>
      <w:r>
        <w:t>5.1  Add-On Details</w:t>
      </w:r>
    </w:p>
    <w:p>
      <w:pPr>
        <w:keepNext/>
        <w:spacing w:before="80" w:after="40" w:line="240" w:lineRule="auto"/>
      </w:pPr>
      <w:r>
        <w:rPr>
          <w:rFonts w:ascii="Times New Roman" w:hAnsi="Times New Roman" w:cs="Times New Roman" w:eastAsia="Times New Roman"/>
          <w:b/>
          <w:color w:val="E07B00"/>
          <w:spacing w:val="24"/>
          <w:sz w:val="18"/>
        </w:rPr>
        <w:t>ADD-ON · AD-01</w:t>
      </w:r>
    </w:p>
    <w:p>
      <w:pPr>
        <w:pStyle w:val="Heading3"/>
      </w:pPr>
      <w:r>
        <w:t>AD-01: Immersive Learning (VR/AR/Simulation)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Create experiential, safe-to-fail learning environments using VR, AR, and simulation technologies.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PK-02, PK-07</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$49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Learners need hands-on practice in high-risk or high-cost environments but cannot practice on real equipment.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is theoretical; learners cannot safely practice dangerous or expensive tasks.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realistic, safe environment where learners can practice, fail, and improve without risk — accelerating mastery and reducing on-the-job errors.</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AD-02</w:t>
      </w:r>
    </w:p>
    <w:p>
      <w:pPr>
        <w:pStyle w:val="Heading3"/>
      </w:pPr>
      <w:r>
        <w:t>AD-02: AI Personalization Engine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Deliver real-time adaptation to individual learner needs using AI; personalize content, pace, and pathways at scale.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PK-02, PK-03, PK-05</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$59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Learners receive generic, one-size-fits-all training that does not match their skill level or role.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Low engagement and wasted time on irrelevant content.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personalized learning experience that adapts to each learner's knowledge, pace, and goals — maximizing engagement and time-to-competency.</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AD-03</w:t>
      </w:r>
    </w:p>
    <w:p>
      <w:pPr>
        <w:pStyle w:val="Heading3"/>
      </w:pPr>
      <w:r>
        <w:t>AD-03: Predictive Analytics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Forecast skill gaps before they materialize; use predictive models to anticipate future learning needs.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PK-03, PK-08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$69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reacts to current skill gaps but cannot anticipate future ones.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Constant firefighting; training investments are always behind business needs.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forward-looking capability that predicts which skills will be needed in 6–18 months, enabling proactive training investments.</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AD-04</w:t>
      </w:r>
    </w:p>
    <w:p>
      <w:pPr>
        <w:pStyle w:val="Heading3"/>
      </w:pPr>
      <w:r>
        <w:t>AD-04: Social &amp; Collaborative Learning</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Build peer-to-peer knowledge ecosystems that enable social learning and collaboration.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PK-02, PK-05</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$40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 learn in isolation; knowledge stays trapped in silos.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No easy way to share expertise, ask questions, or learn from peers.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vibrant community where employees help each other, share best practices, and collectively solve problems — accelerating learning and reducing dependence on formal training.</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AD-05</w:t>
      </w:r>
    </w:p>
    <w:p>
      <w:pPr>
        <w:pStyle w:val="Heading3"/>
      </w:pPr>
      <w:r>
        <w:t>AD-05: Gamification Engine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Apply behavioral science-driven motivation to increase learner engagement and completion.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PK-02, PK-04</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$40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Learners lack motivation; training feels like a chore.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Low completion rates, especially for mandatory or compliance training.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gamified experience with points, badges, leaderboards, and challenges that makes learning engaging, competitive, and fun — boosting completion and retention.</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AD-06</w:t>
      </w:r>
    </w:p>
    <w:p>
      <w:pPr>
        <w:pStyle w:val="Heading3"/>
      </w:pPr>
      <w:r>
        <w:t>AD-06: Content Curation &amp; Aggregation Engine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AI-driven discovery and curation of internal and external content to build a rich learning ecosystem.</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PK-02, PK-06</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$49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spends hours manually searching for and curating content.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Content library is either too small or cluttered with low-quality resources.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 intelligent engine that automatically discovers, classifies, and curates the best internal and external content — building a world-class learning library without manual effort.</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AD-07</w:t>
      </w:r>
    </w:p>
    <w:p>
      <w:pPr>
        <w:pStyle w:val="Heading3"/>
      </w:pPr>
      <w:r>
        <w:t>AD-07: Expert Knowledge Capture &amp; Transfer</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Preserve institutional knowledge before it walks out the door; capture and transfer expert knowledge.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PK-05, PK-07</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$45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When experts leave or retire, critical knowledge is lost forever.</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New employees take months to become productive; repeated mistakes due to lost know-how.</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structured process to capture expert knowledge, document it, and transfer it to successors — preserving institutional memory and accelerating onboarding.</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AD-08</w:t>
      </w:r>
    </w:p>
    <w:p>
      <w:pPr>
        <w:pStyle w:val="Heading3"/>
      </w:pPr>
      <w:r>
        <w:t>AD-08: Multi-Site / Multi-Entity Deployment</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Adapt and deploy training plans across multiple sites, entities, or business units, ensuring local relevance while maintaining strategic alignment.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PK-01, PK-06, PK-08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$55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Organizations with multiple sites struggle to deploy consistent training while respecting local needs.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Different sites use different processes, leading to inconsistency and compliance risks.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centralized platform with site-specific customization, enabling consistent strategic alignment while respecting local context.</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AD-09</w:t>
      </w:r>
    </w:p>
    <w:p>
      <w:pPr>
        <w:pStyle w:val="Heading3"/>
      </w:pPr>
      <w:r>
        <w:t>AD-09: External Training Plan Validation (Regulatory)</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 external validation and regulatory compliance for training plans, including submission to regulatory bodies (e.g., OFPPT, GIAC-Agro).</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PK-04, PK-07</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$45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Compliance teams manage regulatory submissions manually, with high risk of errors and delays.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Audit failures, rejected submissions, and wasted time on administrative back-and-forth.</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 automated regulatory submission workflow with templates, status tracking, and audit trails — ensuring compliance and reducing administrative burden.</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AD-10</w:t>
      </w:r>
    </w:p>
    <w:p>
      <w:pPr>
        <w:pStyle w:val="Heading3"/>
      </w:pPr>
      <w:r>
        <w:t>AD-10: Leadership Maturity Assessment &amp; Development</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 and develop leadership maturity across five levels: Personal Productivity → Personal Leadership → Team Leadership → Organizational Unit Leadership → Whole Organization Leadership.</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PK-05, PK-07, PK-08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$69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Leadership development is ad-hoc, with no clear framework for assessing or developing leaders.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High-potential leaders are promoted without the skills to lead effectively; leadership pipeline is weak.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structured leadership maturity framework that assesses current leaders, identifies development gaps, and delivers targeted development — building a strong leadership pipeline.</w:t>
            </w:r>
          </w:p>
        </w:tc>
      </w:tr>
    </w:tbl>
    <w:p>
      <w:pPr>
        <w:spacing w:before="0" w:after="80" w:line="240" w:lineRule="auto"/>
      </w:pPr>
    </w:p>
    <w:p>
      <w:pPr>
        <w:keepNext/>
        <w:spacing w:before="80" w:after="40" w:line="240" w:lineRule="auto"/>
      </w:pPr>
      <w:r>
        <w:rPr>
          <w:rFonts w:ascii="Times New Roman" w:hAnsi="Times New Roman" w:cs="Times New Roman" w:eastAsia="Times New Roman"/>
          <w:b/>
          <w:color w:val="E07B00"/>
          <w:spacing w:val="24"/>
          <w:sz w:val="18"/>
        </w:rPr>
        <w:t>ADD-ON · AD-11</w:t>
      </w:r>
    </w:p>
    <w:p>
      <w:pPr>
        <w:pStyle w:val="Heading3"/>
      </w:pPr>
      <w:r>
        <w:t>AD-11: Questionnaire Library &amp; Multi-Channel Distribution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Provide pre-built questionnaire templates tailored to Focus (All training needs, Digital, AI, Custom) and sector, with multi-channel distribution (Face-to-Face, Email, WhatsApp, Application, or a Combination played in sequence), RACSI allocation per section and structured response collection. Lifts the per-Pack questionnaire volume limit.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pack(s)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PK-01, PK-07, PK-08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Suggested price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$49 USD/month</w:t>
            </w:r>
          </w:p>
        </w:tc>
      </w:tr>
    </w:tbl>
    <w:p>
      <w:pPr>
        <w:spacing w:before="0" w:after="80" w:line="240" w:lineRule="auto"/>
      </w:pP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Behavior</w:t>
            </w:r>
          </w:p>
          <w:p>
            <w:pPr>
              <w:spacing w:after="0" w:line="240" w:lineRule="auto"/>
            </w:pPr>
            <w:r>
              <w:rPr>
                <w:rFonts w:ascii="Times New Roman" w:hAnsi="Times New Roman" w:cs="Times New Roman" w:eastAsia="Times New Roman"/>
                <w:b w:val="0"/>
                <w:i/>
                <w:color w:val="808184"/>
                <w:sz w:val="19"/>
              </w:rPr>
              <w:t>What customers do today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Teams rewrite questionnaires from scratch for every engagement and send them by e-mail only, missing shop-floor and field staff.</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Pain point</w:t>
            </w:r>
          </w:p>
          <w:p>
            <w:pPr>
              <w:spacing w:after="0" w:line="240" w:lineRule="auto"/>
            </w:pPr>
            <w:r>
              <w:rPr>
                <w:rFonts w:ascii="Times New Roman" w:hAnsi="Times New Roman" w:cs="Times New Roman" w:eastAsia="Times New Roman"/>
                <w:b w:val="0"/>
                <w:i/>
                <w:color w:val="808184"/>
                <w:sz w:val="19"/>
              </w:rPr>
              <w:t>What hurts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Inconsistent questions across sites and sectors, low response rates from operational levels, and no clear ownership of each questionnaire section.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Hope</w:t>
            </w:r>
          </w:p>
          <w:p>
            <w:pPr>
              <w:spacing w:after="0" w:line="240" w:lineRule="auto"/>
            </w:pPr>
            <w:r>
              <w:rPr>
                <w:rFonts w:ascii="Times New Roman" w:hAnsi="Times New Roman" w:cs="Times New Roman" w:eastAsia="Times New Roman"/>
                <w:b w:val="0"/>
                <w:i/>
                <w:color w:val="808184"/>
                <w:sz w:val="19"/>
              </w:rPr>
              <w:t>What they want</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ready-to-use library of sector- and focus-specific questionnaires, distributed through the channel each respondent actually uses, with clear RACSI ownership and higher, comparable response rates.</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6</w:t>
      </w:r>
    </w:p>
    <w:p>
      <w:pPr>
        <w:pStyle w:val="Heading1"/>
      </w:pPr>
      <w:r>
        <w:t>6.  Pricing Summary &amp; Packaging Rules</w:t>
      </w:r>
    </w:p>
    <w:p>
      <w:pPr>
        <w:pStyle w:val="Heading2"/>
      </w:pPr>
      <w:r>
        <w:t>6.1  Pack Pricing</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745"/>
        <w:gridCol w:w="3897"/>
        <w:gridCol w:w="1375"/>
        <w:gridCol w:w="1375"/>
        <w:gridCol w:w="2354"/>
      </w:tblGrid>
      <w:tr>
        <w:trPr>
          <w:cantSplit/>
          <w:tblHeader/>
        </w:trPr>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Pack ID</w:t>
            </w:r>
          </w:p>
        </w:tc>
        <w:tc>
          <w:tcPr>
            <w:tcW w:type="dxa" w:w="389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Pack name</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Price (USD/month)</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Included</w:t>
            </w:r>
          </w:p>
        </w:tc>
        <w:tc>
          <w:tcPr>
            <w:tcW w:type="dxa" w:w="235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Overage (USD/month)</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PK-01</w:t>
            </w:r>
          </w:p>
        </w:tc>
        <w:tc>
          <w:tcPr>
            <w:tcW w:type="dxa" w:w="3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Core Training Engineering Pack</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$99</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100</w:t>
            </w:r>
          </w:p>
        </w:tc>
        <w:tc>
          <w:tcPr>
            <w:tcW w:type="dxa" w:w="23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$0.75 per user</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PK-02</w:t>
            </w:r>
          </w:p>
        </w:tc>
        <w:tc>
          <w:tcPr>
            <w:tcW w:type="dxa" w:w="3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 Delivery &amp; Experience Pack</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$149</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250</w:t>
            </w:r>
          </w:p>
        </w:tc>
        <w:tc>
          <w:tcPr>
            <w:tcW w:type="dxa" w:w="23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$0.60 per user</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PK-03</w:t>
            </w:r>
          </w:p>
        </w:tc>
        <w:tc>
          <w:tcPr>
            <w:tcW w:type="dxa" w:w="3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Analytics &amp; ROI Pack</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$129</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500</w:t>
            </w:r>
          </w:p>
        </w:tc>
        <w:tc>
          <w:tcPr>
            <w:tcW w:type="dxa" w:w="23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$0.50 per user</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PK-04</w:t>
            </w:r>
          </w:p>
        </w:tc>
        <w:tc>
          <w:tcPr>
            <w:tcW w:type="dxa" w:w="3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Compliance &amp; Certification Pack</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$99</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300</w:t>
            </w:r>
          </w:p>
        </w:tc>
        <w:tc>
          <w:tcPr>
            <w:tcW w:type="dxa" w:w="23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$0.55 per user</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PK-05</w:t>
            </w:r>
          </w:p>
        </w:tc>
        <w:tc>
          <w:tcPr>
            <w:tcW w:type="dxa" w:w="3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Talent &amp; Mobility Pack</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$119</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300</w:t>
            </w:r>
          </w:p>
        </w:tc>
        <w:tc>
          <w:tcPr>
            <w:tcW w:type="dxa" w:w="23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$0.65 per user</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PK-06</w:t>
            </w:r>
          </w:p>
        </w:tc>
        <w:tc>
          <w:tcPr>
            <w:tcW w:type="dxa" w:w="3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Extended Enterprise Pack</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$109</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200 external users</w:t>
            </w:r>
          </w:p>
        </w:tc>
        <w:tc>
          <w:tcPr>
            <w:tcW w:type="dxa" w:w="23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$0.80 per external user</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PK-07</w:t>
            </w:r>
          </w:p>
        </w:tc>
        <w:tc>
          <w:tcPr>
            <w:tcW w:type="dxa" w:w="389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 &amp; Diagnostic Pack</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$249</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50 engagements</w:t>
            </w:r>
          </w:p>
        </w:tc>
        <w:tc>
          <w:tcPr>
            <w:tcW w:type="dxa" w:w="235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$5.00 per engagement</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PK-08</w:t>
            </w:r>
          </w:p>
        </w:tc>
        <w:tc>
          <w:tcPr>
            <w:tcW w:type="dxa" w:w="389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Strategic Workforce &amp; Governance Pack</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$199</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500</w:t>
            </w:r>
          </w:p>
        </w:tc>
        <w:tc>
          <w:tcPr>
            <w:tcW w:type="dxa" w:w="235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$0.45 per user</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6.1 — Base price, included users (or engagements) and overage per pack.</w:t>
      </w: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Note on version 2.0</w:t>
            </w:r>
          </w:p>
          <w:p>
            <w:pPr>
              <w:spacing w:after="0" w:line="276" w:lineRule="auto"/>
              <w:jc w:val="both"/>
            </w:pPr>
            <w:r>
              <w:rPr>
                <w:rFonts w:ascii="Times New Roman" w:hAnsi="Times New Roman" w:cs="Times New Roman" w:eastAsia="Times New Roman"/>
                <w:b w:val="0"/>
                <w:i w:val="0"/>
                <w:color w:val="3A3A3C"/>
                <w:sz w:val="22"/>
              </w:rPr>
              <w:t>No base price changes. M53 Scope of Work Studio and M54 Questionnaire Studio are included in PK-01, PK-07 and PK-08. Questionnaire volume limits per Pack apply (100 questionnaires per month per tenant); Add-On AD-11 removes the limit on any Pack.</w:t>
            </w:r>
          </w:p>
        </w:tc>
      </w:tr>
    </w:tbl>
    <w:p>
      <w:pPr>
        <w:spacing w:after="80"/>
      </w:pPr>
    </w:p>
    <w:p>
      <w:pPr>
        <w:pStyle w:val="Heading2"/>
      </w:pPr>
      <w:r>
        <w:t>6.2  Add-On Pricing</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891"/>
        <w:gridCol w:w="7179"/>
        <w:gridCol w:w="1676"/>
      </w:tblGrid>
      <w:tr>
        <w:trPr>
          <w:cantSplit/>
          <w:tblHeader/>
        </w:trPr>
        <w:tc>
          <w:tcPr>
            <w:tcW w:type="dxa" w:w="89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717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Add-on</w:t>
            </w:r>
          </w:p>
        </w:tc>
        <w:tc>
          <w:tcPr>
            <w:tcW w:type="dxa" w:w="167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Price (USD/month)</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AD-01</w:t>
            </w:r>
          </w:p>
        </w:tc>
        <w:tc>
          <w:tcPr>
            <w:tcW w:type="dxa" w:w="71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Immersive Learning (VR/AR/Simulation)</w:t>
            </w:r>
          </w:p>
        </w:tc>
        <w:tc>
          <w:tcPr>
            <w:tcW w:type="dxa" w:w="16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$49</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AD-02</w:t>
            </w:r>
          </w:p>
        </w:tc>
        <w:tc>
          <w:tcPr>
            <w:tcW w:type="dxa" w:w="71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AI Personalization Engine</w:t>
            </w:r>
          </w:p>
        </w:tc>
        <w:tc>
          <w:tcPr>
            <w:tcW w:type="dxa" w:w="16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$59</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AD-03</w:t>
            </w:r>
          </w:p>
        </w:tc>
        <w:tc>
          <w:tcPr>
            <w:tcW w:type="dxa" w:w="71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Predictive Analytics</w:t>
            </w:r>
          </w:p>
        </w:tc>
        <w:tc>
          <w:tcPr>
            <w:tcW w:type="dxa" w:w="16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$69</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AD-04</w:t>
            </w:r>
          </w:p>
        </w:tc>
        <w:tc>
          <w:tcPr>
            <w:tcW w:type="dxa" w:w="71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Social &amp; Collaborative Learning</w:t>
            </w:r>
          </w:p>
        </w:tc>
        <w:tc>
          <w:tcPr>
            <w:tcW w:type="dxa" w:w="16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$40</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AD-05</w:t>
            </w:r>
          </w:p>
        </w:tc>
        <w:tc>
          <w:tcPr>
            <w:tcW w:type="dxa" w:w="71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Gamification Engine</w:t>
            </w:r>
          </w:p>
        </w:tc>
        <w:tc>
          <w:tcPr>
            <w:tcW w:type="dxa" w:w="16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$40</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AD-06</w:t>
            </w:r>
          </w:p>
        </w:tc>
        <w:tc>
          <w:tcPr>
            <w:tcW w:type="dxa" w:w="71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Content Curation &amp; Aggregation Engine</w:t>
            </w:r>
          </w:p>
        </w:tc>
        <w:tc>
          <w:tcPr>
            <w:tcW w:type="dxa" w:w="16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$49</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AD-07</w:t>
            </w:r>
          </w:p>
        </w:tc>
        <w:tc>
          <w:tcPr>
            <w:tcW w:type="dxa" w:w="71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Expert Knowledge Capture &amp; Transfer</w:t>
            </w:r>
          </w:p>
        </w:tc>
        <w:tc>
          <w:tcPr>
            <w:tcW w:type="dxa" w:w="16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$45</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AD-08</w:t>
            </w:r>
          </w:p>
        </w:tc>
        <w:tc>
          <w:tcPr>
            <w:tcW w:type="dxa" w:w="71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Multi-Site / Multi-Entity Deployment</w:t>
            </w:r>
          </w:p>
        </w:tc>
        <w:tc>
          <w:tcPr>
            <w:tcW w:type="dxa" w:w="16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$55</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AD-09</w:t>
            </w:r>
          </w:p>
        </w:tc>
        <w:tc>
          <w:tcPr>
            <w:tcW w:type="dxa" w:w="71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External Training Plan Validation (Regulatory)</w:t>
            </w:r>
          </w:p>
        </w:tc>
        <w:tc>
          <w:tcPr>
            <w:tcW w:type="dxa" w:w="16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$45</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AD-10</w:t>
            </w:r>
          </w:p>
        </w:tc>
        <w:tc>
          <w:tcPr>
            <w:tcW w:type="dxa" w:w="71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Leadership Maturity Assessment &amp; Development</w:t>
            </w:r>
          </w:p>
        </w:tc>
        <w:tc>
          <w:tcPr>
            <w:tcW w:type="dxa" w:w="16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$69</w:t>
            </w:r>
          </w:p>
        </w:tc>
      </w:tr>
      <w:tr>
        <w:trPr>
          <w:cantSplit/>
        </w:trPr>
        <w:tc>
          <w:tcPr>
            <w:tcW w:type="dxa" w:w="8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AD-11</w:t>
            </w:r>
          </w:p>
        </w:tc>
        <w:tc>
          <w:tcPr>
            <w:tcW w:type="dxa" w:w="71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 Library &amp; Multi-Channel Distribution</w:t>
            </w:r>
          </w:p>
        </w:tc>
        <w:tc>
          <w:tcPr>
            <w:tcW w:type="dxa" w:w="16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$49</w:t>
            </w:r>
          </w:p>
        </w:tc>
      </w:tr>
    </w:tbl>
    <w:p>
      <w:pPr>
        <w:spacing w:before="0" w:after="80" w:line="240" w:lineRule="auto"/>
      </w:pPr>
    </w:p>
    <w:p>
      <w:pPr>
        <w:pStyle w:val="Heading2"/>
      </w:pPr>
      <w:r>
        <w:t>6.3  Packaging Rules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3078"/>
        <w:gridCol w:w="6668"/>
      </w:tblGrid>
      <w:tr>
        <w:trPr>
          <w:cantSplit/>
          <w:tblHeader/>
        </w:trPr>
        <w:tc>
          <w:tcPr>
            <w:tcW w:type="dxa" w:w="307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Rule</w:t>
            </w:r>
          </w:p>
        </w:tc>
        <w:tc>
          <w:tcPr>
            <w:tcW w:type="dxa" w:w="666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30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Optimized number of packs</w:t>
            </w:r>
          </w:p>
        </w:tc>
        <w:tc>
          <w:tcPr>
            <w:tcW w:type="dxa" w:w="66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 packs cover the full spectrum of customer needs — from SMB to Enterprise, from operational to strategic, from internal to extended enterprise.</w:t>
            </w:r>
          </w:p>
        </w:tc>
      </w:tr>
      <w:tr>
        <w:trPr>
          <w:cantSplit/>
        </w:trPr>
        <w:tc>
          <w:tcPr>
            <w:tcW w:type="dxa" w:w="30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Minimum price</w:t>
            </w:r>
          </w:p>
        </w:tc>
        <w:tc>
          <w:tcPr>
            <w:tcW w:type="dxa" w:w="66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Every pack and add-on is priced at or above $40 USD/month, ensuring tangible value delivery.</w:t>
            </w:r>
          </w:p>
        </w:tc>
      </w:tr>
      <w:tr>
        <w:trPr>
          <w:cantSplit/>
        </w:trPr>
        <w:tc>
          <w:tcPr>
            <w:tcW w:type="dxa" w:w="30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Scalability</w:t>
            </w:r>
          </w:p>
        </w:tc>
        <w:tc>
          <w:tcPr>
            <w:tcW w:type="dxa" w:w="66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Each pack has a base user limit and a per-user overage price, enabling growth without friction.</w:t>
            </w:r>
          </w:p>
        </w:tc>
      </w:tr>
      <w:tr>
        <w:trPr>
          <w:cantSplit/>
        </w:trPr>
        <w:tc>
          <w:tcPr>
            <w:tcW w:type="dxa" w:w="30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Modularity</w:t>
            </w:r>
          </w:p>
        </w:tc>
        <w:tc>
          <w:tcPr>
            <w:tcW w:type="dxa" w:w="66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Add-Ons allow customers to extend capabilities without upgrading packs.</w:t>
            </w:r>
          </w:p>
        </w:tc>
      </w:tr>
      <w:tr>
        <w:trPr>
          <w:cantSplit/>
        </w:trPr>
        <w:tc>
          <w:tcPr>
            <w:tcW w:type="dxa" w:w="30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Integration accessibility</w:t>
            </w:r>
          </w:p>
        </w:tc>
        <w:tc>
          <w:tcPr>
            <w:tcW w:type="dxa" w:w="66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All integrations are available across relevant packs, with SSO included in all packs.</w:t>
            </w:r>
          </w:p>
        </w:tc>
      </w:tr>
      <w:tr>
        <w:trPr>
          <w:cantSplit/>
        </w:trPr>
        <w:tc>
          <w:tcPr>
            <w:tcW w:type="dxa" w:w="30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Consulting-specific pricing</w:t>
            </w:r>
          </w:p>
        </w:tc>
        <w:tc>
          <w:tcPr>
            <w:tcW w:type="dxa" w:w="66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PK-07 uses engagement-based pricing to align with consulting firms' business models.</w:t>
            </w:r>
          </w:p>
        </w:tc>
      </w:tr>
      <w:tr>
        <w:trPr>
          <w:cantSplit/>
        </w:trPr>
        <w:tc>
          <w:tcPr>
            <w:tcW w:type="dxa" w:w="30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Extended enterprise pricing</w:t>
            </w:r>
          </w:p>
        </w:tc>
        <w:tc>
          <w:tcPr>
            <w:tcW w:type="dxa" w:w="66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PK-06 prices based on external users to align with monetization potential.</w:t>
            </w:r>
          </w:p>
        </w:tc>
      </w:tr>
    </w:tbl>
    <w:p>
      <w:pPr>
        <w:spacing w:before="0" w:after="80" w:line="240" w:lineRule="auto"/>
      </w:pPr>
    </w:p>
    <w:p>
      <w:pPr>
        <w:pStyle w:val="Heading2"/>
      </w:pPr>
      <w:r>
        <w:t>6.4  Bundle Discounts (Optional)</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468"/>
        <w:gridCol w:w="3188"/>
        <w:gridCol w:w="1289"/>
        <w:gridCol w:w="1227"/>
        <w:gridCol w:w="1574"/>
      </w:tblGrid>
      <w:tr>
        <w:trPr>
          <w:cantSplit/>
          <w:tblHeader/>
        </w:trPr>
        <w:tc>
          <w:tcPr>
            <w:tcW w:type="dxa" w:w="246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Bundle</w:t>
            </w:r>
          </w:p>
        </w:tc>
        <w:tc>
          <w:tcPr>
            <w:tcW w:type="dxa" w:w="318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Packs included</w:t>
            </w:r>
          </w:p>
        </w:tc>
        <w:tc>
          <w:tcPr>
            <w:tcW w:type="dxa" w:w="128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Discount</w:t>
            </w:r>
          </w:p>
        </w:tc>
        <w:tc>
          <w:tcPr>
            <w:tcW w:type="dxa" w:w="122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List price</w:t>
            </w:r>
          </w:p>
        </w:tc>
        <w:tc>
          <w:tcPr>
            <w:tcW w:type="dxa" w:w="157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Bundle price</w:t>
            </w:r>
          </w:p>
        </w:tc>
      </w:tr>
      <w:tr>
        <w:trPr>
          <w:cantSplit/>
        </w:trPr>
        <w:tc>
          <w:tcPr>
            <w:tcW w:type="dxa" w:w="24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Starter Bundle</w:t>
            </w:r>
          </w:p>
        </w:tc>
        <w:tc>
          <w:tcPr>
            <w:tcW w:type="dxa" w:w="318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PK-01 + PK-02</w:t>
            </w:r>
          </w:p>
        </w:tc>
        <w:tc>
          <w:tcPr>
            <w:tcW w:type="dxa" w:w="12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10% off</w:t>
            </w:r>
          </w:p>
        </w:tc>
        <w:tc>
          <w:tcPr>
            <w:tcW w:type="dxa" w:w="122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$248</w:t>
            </w:r>
          </w:p>
        </w:tc>
        <w:tc>
          <w:tcPr>
            <w:tcW w:type="dxa" w:w="157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$223.20</w:t>
            </w:r>
          </w:p>
        </w:tc>
      </w:tr>
      <w:tr>
        <w:trPr>
          <w:cantSplit/>
        </w:trPr>
        <w:tc>
          <w:tcPr>
            <w:tcW w:type="dxa" w:w="24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Growth Bundle</w:t>
            </w:r>
          </w:p>
        </w:tc>
        <w:tc>
          <w:tcPr>
            <w:tcW w:type="dxa" w:w="318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PK-01 + PK-02 + PK-03</w:t>
            </w:r>
          </w:p>
        </w:tc>
        <w:tc>
          <w:tcPr>
            <w:tcW w:type="dxa" w:w="12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15% off</w:t>
            </w:r>
          </w:p>
        </w:tc>
        <w:tc>
          <w:tcPr>
            <w:tcW w:type="dxa" w:w="122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$377</w:t>
            </w:r>
          </w:p>
        </w:tc>
        <w:tc>
          <w:tcPr>
            <w:tcW w:type="dxa" w:w="157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$320.45</w:t>
            </w:r>
          </w:p>
        </w:tc>
      </w:tr>
      <w:tr>
        <w:trPr>
          <w:cantSplit/>
        </w:trPr>
        <w:tc>
          <w:tcPr>
            <w:tcW w:type="dxa" w:w="24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Enterprise Bundle</w:t>
            </w:r>
          </w:p>
        </w:tc>
        <w:tc>
          <w:tcPr>
            <w:tcW w:type="dxa" w:w="318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PK-01 to PK-05</w:t>
            </w:r>
          </w:p>
        </w:tc>
        <w:tc>
          <w:tcPr>
            <w:tcW w:type="dxa" w:w="12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20% off</w:t>
            </w:r>
          </w:p>
        </w:tc>
        <w:tc>
          <w:tcPr>
            <w:tcW w:type="dxa" w:w="122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$595</w:t>
            </w:r>
          </w:p>
        </w:tc>
        <w:tc>
          <w:tcPr>
            <w:tcW w:type="dxa" w:w="157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$476</w:t>
            </w:r>
          </w:p>
        </w:tc>
      </w:tr>
      <w:tr>
        <w:trPr>
          <w:cantSplit/>
        </w:trPr>
        <w:tc>
          <w:tcPr>
            <w:tcW w:type="dxa" w:w="24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Strategic Bundle</w:t>
            </w:r>
          </w:p>
        </w:tc>
        <w:tc>
          <w:tcPr>
            <w:tcW w:type="dxa" w:w="318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PK-01 to PK-06 + PK-08</w:t>
            </w:r>
          </w:p>
        </w:tc>
        <w:tc>
          <w:tcPr>
            <w:tcW w:type="dxa" w:w="12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25% off</w:t>
            </w:r>
          </w:p>
        </w:tc>
        <w:tc>
          <w:tcPr>
            <w:tcW w:type="dxa" w:w="122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$903</w:t>
            </w:r>
          </w:p>
        </w:tc>
        <w:tc>
          <w:tcPr>
            <w:tcW w:type="dxa" w:w="157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$677.25</w:t>
            </w:r>
          </w:p>
        </w:tc>
      </w:tr>
      <w:tr>
        <w:trPr>
          <w:cantSplit/>
        </w:trPr>
        <w:tc>
          <w:tcPr>
            <w:tcW w:type="dxa" w:w="24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Full Suite</w:t>
            </w:r>
          </w:p>
        </w:tc>
        <w:tc>
          <w:tcPr>
            <w:tcW w:type="dxa" w:w="318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PK-01 to PK-08</w:t>
            </w:r>
          </w:p>
        </w:tc>
        <w:tc>
          <w:tcPr>
            <w:tcW w:type="dxa" w:w="12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30% off</w:t>
            </w:r>
          </w:p>
        </w:tc>
        <w:tc>
          <w:tcPr>
            <w:tcW w:type="dxa" w:w="122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$1,152</w:t>
            </w:r>
          </w:p>
        </w:tc>
        <w:tc>
          <w:tcPr>
            <w:tcW w:type="dxa" w:w="157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$806.40</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6.4 — Bundle discounts. List and bundle prices are calculated from base monthly prices (before overage) for illustration.</w:t>
      </w:r>
    </w:p>
    <w:p>
      <w:pPr>
        <w:spacing w:after="120"/>
        <w:jc w:val="both"/>
      </w:pPr>
      <w:r>
        <w:rPr>
          <w:rFonts w:ascii="Times New Roman" w:hAnsi="Times New Roman" w:cs="Times New Roman" w:eastAsia="Times New Roman"/>
          <w:b w:val="0"/>
          <w:i w:val="0"/>
          <w:color w:val="58595B"/>
        </w:rPr>
        <w:t xml:space="preserve">Each bundle includes 500 users, with $0.45 per additional user per month. The Full Suite opens every module of the platform.</w:t>
      </w:r>
    </w:p>
    <w:p>
      <w:pPr>
        <w:pStyle w:val="Heading2"/>
      </w:pPr>
      <w:r>
        <w:t xml:space="preserve">6.5  SME Packs</w:t>
      </w:r>
    </w:p>
    <w:p>
      <w:pPr>
        <w:spacing w:after="120"/>
        <w:jc w:val="both"/>
      </w:pPr>
      <w:r>
        <w:rPr>
          <w:rFonts w:ascii="Times New Roman" w:hAnsi="Times New Roman" w:cs="Times New Roman" w:eastAsia="Times New Roman"/>
          <w:b w:val="0"/>
          <w:i w:val="0"/>
          <w:color w:val="58595B"/>
        </w:rPr>
        <w:t xml:space="preserve">Three packs priced for small and medium enterprises combine packs at a single price. They run the SME tracks of the application (Essential, Standard, Advanced), with fewer gates and a shorter duration than the full Training Engineering cycle.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50"/>
        <w:gridCol w:w="1850"/>
        <w:gridCol w:w="1996"/>
        <w:gridCol w:w="1300"/>
        <w:gridCol w:w="1100"/>
        <w:gridCol w:w="1300"/>
        <w:gridCol w:w="1050"/>
      </w:tblGrid>
      <w:tr>
        <w:trPr>
          <w:cantSplit/>
          <w:tblHeader/>
        </w:trPr>
        <w:tc>
          <w:tcPr>
            <w:tcW w:type="dxa" w:w="115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ID</w:t>
            </w:r>
          </w:p>
        </w:tc>
        <w:tc>
          <w:tcPr>
            <w:tcW w:type="dxa" w:w="185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SME pack</w:t>
            </w:r>
          </w:p>
        </w:tc>
        <w:tc>
          <w:tcPr>
            <w:tcW w:type="dxa" w:w="199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Contents</w:t>
            </w:r>
          </w:p>
        </w:tc>
        <w:tc>
          <w:tcPr>
            <w:tcW w:type="dxa" w:w="13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Price (USD/month)</w:t>
            </w:r>
          </w:p>
        </w:tc>
        <w:tc>
          <w:tcPr>
            <w:tcW w:type="dxa" w:w="11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Included users</w:t>
            </w:r>
          </w:p>
        </w:tc>
        <w:tc>
          <w:tcPr>
            <w:tcW w:type="dxa" w:w="13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Overage</w:t>
            </w:r>
          </w:p>
        </w:tc>
        <w:tc>
          <w:tcPr>
            <w:tcW w:type="dxa" w:w="105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Segment</w:t>
            </w:r>
          </w:p>
        </w:tc>
      </w:tr>
      <w:tr>
        <w:trPr>
          <w:cantSplit/>
        </w:trPr>
        <w:tc>
          <w:tcPr>
            <w:tcW w:type="dxa" w:w="11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SME-ESS</w:t>
            </w:r>
          </w:p>
        </w:tc>
        <w:tc>
          <w:tcPr>
            <w:tcW w:type="dxa" w:w="1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SME Essentials Pack</w:t>
            </w:r>
          </w:p>
        </w:tc>
        <w:tc>
          <w:tcPr>
            <w:tcW w:type="dxa" w:w="199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PK-01 + AD-11</w:t>
            </w:r>
          </w:p>
        </w:tc>
        <w:tc>
          <w:tcPr>
            <w:tcW w:type="dxa" w:w="13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$49</w:t>
            </w:r>
          </w:p>
        </w:tc>
        <w:tc>
          <w:tcPr>
            <w:tcW w:type="dxa" w:w="1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25</w:t>
            </w:r>
          </w:p>
        </w:tc>
        <w:tc>
          <w:tcPr>
            <w:tcW w:type="dxa" w:w="13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$1.20 per user</w:t>
            </w:r>
          </w:p>
        </w:tc>
        <w:tc>
          <w:tcPr>
            <w:tcW w:type="dxa" w:w="10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Micro, Small</w:t>
            </w:r>
          </w:p>
        </w:tc>
      </w:tr>
      <w:tr>
        <w:trPr>
          <w:cantSplit/>
        </w:trPr>
        <w:tc>
          <w:tcPr>
            <w:tcW w:type="dxa" w:w="11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SME-GRO</w:t>
            </w:r>
          </w:p>
        </w:tc>
        <w:tc>
          <w:tcPr>
            <w:tcW w:type="dxa" w:w="1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SME Growth Pack</w:t>
            </w:r>
          </w:p>
        </w:tc>
        <w:tc>
          <w:tcPr>
            <w:tcW w:type="dxa" w:w="199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PK-01, PK-02, PK-03</w:t>
            </w:r>
          </w:p>
        </w:tc>
        <w:tc>
          <w:tcPr>
            <w:tcW w:type="dxa" w:w="13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$129</w:t>
            </w:r>
          </w:p>
        </w:tc>
        <w:tc>
          <w:tcPr>
            <w:tcW w:type="dxa" w:w="1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50</w:t>
            </w:r>
          </w:p>
        </w:tc>
        <w:tc>
          <w:tcPr>
            <w:tcW w:type="dxa" w:w="13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$1.00 per user</w:t>
            </w:r>
          </w:p>
        </w:tc>
        <w:tc>
          <w:tcPr>
            <w:tcW w:type="dxa" w:w="10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Small, Medium</w:t>
            </w:r>
          </w:p>
        </w:tc>
      </w:tr>
      <w:tr>
        <w:trPr>
          <w:cantSplit/>
        </w:trPr>
        <w:tc>
          <w:tcPr>
            <w:tcW w:type="dxa" w:w="11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SME-CMP</w:t>
            </w:r>
          </w:p>
        </w:tc>
        <w:tc>
          <w:tcPr>
            <w:tcW w:type="dxa" w:w="1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SME Complete Pack</w:t>
            </w:r>
          </w:p>
        </w:tc>
        <w:tc>
          <w:tcPr>
            <w:tcW w:type="dxa" w:w="199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PK-01 to PK-08 (every module)</w:t>
            </w:r>
          </w:p>
        </w:tc>
        <w:tc>
          <w:tcPr>
            <w:tcW w:type="dxa" w:w="13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$249</w:t>
            </w:r>
          </w:p>
        </w:tc>
        <w:tc>
          <w:tcPr>
            <w:tcW w:type="dxa" w:w="1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3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$0.90 per user</w:t>
            </w:r>
          </w:p>
        </w:tc>
        <w:tc>
          <w:tcPr>
            <w:tcW w:type="dxa" w:w="10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Medium</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6.5 — SME packs. Prices respect the $40 minimum; a minimum of 5 users applies.</w:t>
      </w:r>
    </w:p>
    <w:p>
      <w:pPr>
        <w:pStyle w:val="Heading2"/>
      </w:pPr>
      <w:r>
        <w:t xml:space="preserve">6.6  Compliance &amp; Security Standards</w:t>
      </w:r>
    </w:p>
    <w:p>
      <w:pPr>
        <w:spacing w:after="120"/>
        <w:jc w:val="both"/>
      </w:pPr>
      <w:r>
        <w:rPr>
          <w:rFonts w:ascii="Times New Roman" w:hAnsi="Times New Roman" w:cs="Times New Roman" w:eastAsia="Times New Roman"/>
          <w:b w:val="0"/>
          <w:i w:val="0"/>
          <w:color w:val="58595B"/>
        </w:rPr>
        <w:t xml:space="preserve">Compliance and security standards are switched on one by one, independently of the pack (module M52). Switching a standard on requires accepting its disclosure and adds its controls to the organization’s control register, each mapped to a COSO component. Standards are priced per standard on quotation; they are not part of the price list.</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00"/>
        <w:gridCol w:w="1400"/>
        <w:gridCol w:w="5746"/>
      </w:tblGrid>
      <w:tr>
        <w:trPr>
          <w:cantSplit/>
          <w:tblHeader/>
        </w:trPr>
        <w:tc>
          <w:tcPr>
            <w:tcW w:type="dxa" w:w="26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Standard</w:t>
            </w:r>
          </w:p>
        </w:tc>
        <w:tc>
          <w:tcPr>
            <w:tcW w:type="dxa" w:w="14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Controls added</w:t>
            </w:r>
          </w:p>
        </w:tc>
        <w:tc>
          <w:tcPr>
            <w:tcW w:type="dxa" w:w="57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Examples</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GDPR</w:t>
            </w:r>
          </w:p>
        </w:tc>
        <w:tc>
          <w:tcPr>
            <w:tcW w:type="dxa" w:w="1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4</w:t>
            </w:r>
          </w:p>
        </w:tc>
        <w:tc>
          <w:tcPr>
            <w:tcW w:type="dxa" w:w="57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Records of processing activities; data-subject rights; breach notification within 72 hours; impact assessment</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ISO/IEC 27001</w:t>
            </w:r>
          </w:p>
        </w:tc>
        <w:tc>
          <w:tcPr>
            <w:tcW w:type="dxa" w:w="1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4</w:t>
            </w:r>
          </w:p>
        </w:tc>
        <w:tc>
          <w:tcPr>
            <w:tcW w:type="dxa" w:w="57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Information security policy; access control review; supplier security; security risk assessment</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SOC 2</w:t>
            </w:r>
          </w:p>
        </w:tc>
        <w:tc>
          <w:tcPr>
            <w:tcW w:type="dxa" w:w="1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4</w:t>
            </w:r>
          </w:p>
        </w:tc>
        <w:tc>
          <w:tcPr>
            <w:tcW w:type="dxa" w:w="57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Change management; logical access; system monitoring; incident communication</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ISO/IEC 27701</w:t>
            </w:r>
          </w:p>
        </w:tc>
        <w:tc>
          <w:tcPr>
            <w:tcW w:type="dxa" w:w="1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2</w:t>
            </w:r>
          </w:p>
        </w:tc>
        <w:tc>
          <w:tcPr>
            <w:tcW w:type="dxa" w:w="57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Privacy information management roles; privacy by design</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ISO 9001</w:t>
            </w:r>
          </w:p>
        </w:tc>
        <w:tc>
          <w:tcPr>
            <w:tcW w:type="dxa" w:w="1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3</w:t>
            </w:r>
          </w:p>
        </w:tc>
        <w:tc>
          <w:tcPr>
            <w:tcW w:type="dxa" w:w="57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Competence and awareness (clause 7.2); internal audit programme; corrective action</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Law 09-08 (CNDP, Morocco)</w:t>
            </w:r>
          </w:p>
        </w:tc>
        <w:tc>
          <w:tcPr>
            <w:tcW w:type="dxa" w:w="1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3</w:t>
            </w:r>
          </w:p>
        </w:tc>
        <w:tc>
          <w:tcPr>
            <w:tcW w:type="dxa" w:w="57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Prior declaration to the CNDP; consent of data subjects; cross-border transfer authorisation</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6.6 — Compliance and security standards available in the application.</w:t>
      </w:r>
    </w:p>
    <w:p>
      <w:pPr>
        <w:pStyle w:val="Heading2"/>
      </w:pPr>
      <w:r>
        <w:t xml:space="preserve">6.7  Entitlements, Quotas &amp; AI Tiers</w:t>
      </w:r>
    </w:p>
    <w:p>
      <w:pPr>
        <w:spacing w:after="120"/>
        <w:jc w:val="both"/>
      </w:pPr>
      <w:r>
        <w:rPr>
          <w:rFonts w:ascii="Times New Roman" w:hAnsi="Times New Roman" w:cs="Times New Roman" w:eastAsia="Times New Roman"/>
          <w:b w:val="0"/>
          <w:i w:val="0"/>
          <w:color w:val="58595B"/>
        </w:rPr>
        <w:t xml:space="preserve">The offer an organization subscribes to decides the modules it can open, its quotas and its AI tier. The Platform Shell (M00) and the Configuration &amp; Licensing Console (M51) are included in every offer. A creation beyond a quota is refused with a message naming the limit.</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3046"/>
        <w:gridCol w:w="1000"/>
        <w:gridCol w:w="1100"/>
        <w:gridCol w:w="1500"/>
        <w:gridCol w:w="1500"/>
        <w:gridCol w:w="1600"/>
      </w:tblGrid>
      <w:tr>
        <w:trPr>
          <w:cantSplit/>
          <w:tblHeader/>
        </w:trPr>
        <w:tc>
          <w:tcPr>
            <w:tcW w:type="dxa" w:w="30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Offer</w:t>
            </w:r>
          </w:p>
        </w:tc>
        <w:tc>
          <w:tcPr>
            <w:tcW w:type="dxa" w:w="10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Projects</w:t>
            </w:r>
          </w:p>
        </w:tc>
        <w:tc>
          <w:tcPr>
            <w:tcW w:type="dxa" w:w="11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OBS nodes</w:t>
            </w:r>
          </w:p>
        </w:tc>
        <w:tc>
          <w:tcPr>
            <w:tcW w:type="dxa" w:w="15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Custom AI use cases</w:t>
            </w:r>
          </w:p>
        </w:tc>
        <w:tc>
          <w:tcPr>
            <w:tcW w:type="dxa" w:w="15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Questionnaires / month</w:t>
            </w:r>
          </w:p>
        </w:tc>
        <w:tc>
          <w:tcPr>
            <w:tcW w:type="dxa" w:w="16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AI tier</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PK-01, PK-02, PK-04, PK-05, PK-06</w:t>
            </w:r>
          </w:p>
        </w:tc>
        <w:tc>
          <w:tcPr>
            <w:tcW w:type="dxa" w:w="10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25</w:t>
            </w:r>
          </w:p>
        </w:tc>
        <w:tc>
          <w:tcPr>
            <w:tcW w:type="dxa" w:w="1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200</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5</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Assistive</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PK-03, PK-08</w:t>
            </w:r>
          </w:p>
        </w:tc>
        <w:tc>
          <w:tcPr>
            <w:tcW w:type="dxa" w:w="10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25</w:t>
            </w:r>
          </w:p>
        </w:tc>
        <w:tc>
          <w:tcPr>
            <w:tcW w:type="dxa" w:w="1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200</w:t>
            </w:r>
          </w:p>
        </w:tc>
        <w:tc>
          <w:tcPr>
            <w:tcW w:type="dxa" w:w="15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5</w:t>
            </w:r>
          </w:p>
        </w:tc>
        <w:tc>
          <w:tcPr>
            <w:tcW w:type="dxa" w:w="15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Assistive + Augmented</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PK-07</w:t>
            </w:r>
          </w:p>
        </w:tc>
        <w:tc>
          <w:tcPr>
            <w:tcW w:type="dxa" w:w="10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50</w:t>
            </w:r>
          </w:p>
        </w:tc>
        <w:tc>
          <w:tcPr>
            <w:tcW w:type="dxa" w:w="1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200</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5</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Assistive + Augmented</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Starter Bundle</w:t>
            </w:r>
          </w:p>
        </w:tc>
        <w:tc>
          <w:tcPr>
            <w:tcW w:type="dxa" w:w="10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1,000</w:t>
            </w:r>
          </w:p>
        </w:tc>
        <w:tc>
          <w:tcPr>
            <w:tcW w:type="dxa" w:w="15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20</w:t>
            </w:r>
          </w:p>
        </w:tc>
        <w:tc>
          <w:tcPr>
            <w:tcW w:type="dxa" w:w="15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Assistive</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Growth, Enterprise and Strategic Bundles</w:t>
            </w:r>
          </w:p>
        </w:tc>
        <w:tc>
          <w:tcPr>
            <w:tcW w:type="dxa" w:w="10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1,000</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20</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Assistive + Augmented</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Full Suite</w:t>
            </w:r>
          </w:p>
        </w:tc>
        <w:tc>
          <w:tcPr>
            <w:tcW w:type="dxa" w:w="10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200</w:t>
            </w:r>
          </w:p>
        </w:tc>
        <w:tc>
          <w:tcPr>
            <w:tcW w:type="dxa" w:w="1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1,000</w:t>
            </w:r>
          </w:p>
        </w:tc>
        <w:tc>
          <w:tcPr>
            <w:tcW w:type="dxa" w:w="15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20</w:t>
            </w:r>
          </w:p>
        </w:tc>
        <w:tc>
          <w:tcPr>
            <w:tcW w:type="dxa" w:w="15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Assistive + Augmented</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SME-ESS</w:t>
            </w:r>
          </w:p>
        </w:tc>
        <w:tc>
          <w:tcPr>
            <w:tcW w:type="dxa" w:w="10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5</w:t>
            </w:r>
          </w:p>
        </w:tc>
        <w:tc>
          <w:tcPr>
            <w:tcW w:type="dxa" w:w="1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60</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3</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Assistive</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SME-GRO</w:t>
            </w:r>
          </w:p>
        </w:tc>
        <w:tc>
          <w:tcPr>
            <w:tcW w:type="dxa" w:w="10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20</w:t>
            </w:r>
          </w:p>
        </w:tc>
        <w:tc>
          <w:tcPr>
            <w:tcW w:type="dxa" w:w="1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60</w:t>
            </w:r>
          </w:p>
        </w:tc>
        <w:tc>
          <w:tcPr>
            <w:tcW w:type="dxa" w:w="15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3</w:t>
            </w:r>
          </w:p>
        </w:tc>
        <w:tc>
          <w:tcPr>
            <w:tcW w:type="dxa" w:w="15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Assistive + Augmented</w:t>
            </w:r>
          </w:p>
        </w:tc>
      </w:tr>
      <w:tr>
        <w:trPr>
          <w:cantSplit/>
        </w:trPr>
        <w:tc>
          <w:tcPr>
            <w:tcW w:type="dxa" w:w="30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SME-CMP</w:t>
            </w:r>
          </w:p>
        </w:tc>
        <w:tc>
          <w:tcPr>
            <w:tcW w:type="dxa" w:w="10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20</w:t>
            </w:r>
          </w:p>
        </w:tc>
        <w:tc>
          <w:tcPr>
            <w:tcW w:type="dxa" w:w="1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60</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w:t>
            </w:r>
          </w:p>
        </w:tc>
        <w:tc>
          <w:tcPr>
            <w:tcW w:type="dxa" w:w="15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100</w:t>
            </w:r>
          </w:p>
        </w:tc>
        <w:tc>
          <w:tcPr>
            <w:tcW w:type="dxa" w:w="1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Assistive + Augmented</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6.7 — Quotas and AI tier per offer. AD-11 removes the questionnaire limit; the number of users is set by the licence.</w:t>
      </w:r>
    </w:p>
    <w:p>
      <w:pPr>
        <w:pStyle w:val="ListBullet"/>
        <w:spacing w:after="80"/>
        <w:jc w:val="both"/>
      </w:pPr>
      <w:r>
        <w:rPr>
          <w:rFonts w:ascii="Times New Roman" w:hAnsi="Times New Roman" w:cs="Times New Roman" w:eastAsia="Times New Roman"/>
          <w:b/>
          <w:i w:val="0"/>
          <w:color w:val="3A3A3C"/>
        </w:rPr>
        <w:t xml:space="preserve">Assistive: </w:t>
      </w:r>
      <w:r>
        <w:rPr>
          <w:rFonts w:ascii="Times New Roman" w:hAnsi="Times New Roman" w:cs="Times New Roman" w:eastAsia="Times New Roman"/>
          <w:b w:val="0"/>
          <w:i w:val="0"/>
          <w:color w:val="58595B"/>
        </w:rPr>
        <w:t xml:space="preserve">AI proposes content — questions, step entries, report sections — that a person reviews and validates before it is saved.</w:t>
      </w:r>
    </w:p>
    <w:p>
      <w:pPr>
        <w:pStyle w:val="ListBullet"/>
        <w:spacing w:after="80"/>
        <w:jc w:val="both"/>
      </w:pPr>
      <w:r>
        <w:rPr>
          <w:rFonts w:ascii="Times New Roman" w:hAnsi="Times New Roman" w:cs="Times New Roman" w:eastAsia="Times New Roman"/>
          <w:b/>
          <w:i w:val="0"/>
          <w:color w:val="3A3A3C"/>
        </w:rPr>
        <w:t xml:space="preserve">Assistive + Augmented: </w:t>
      </w:r>
      <w:r>
        <w:rPr>
          <w:rFonts w:ascii="Times New Roman" w:hAnsi="Times New Roman" w:cs="Times New Roman" w:eastAsia="Times New Roman"/>
          <w:b w:val="0"/>
          <w:i w:val="0"/>
          <w:color w:val="58595B"/>
        </w:rPr>
        <w:t xml:space="preserve">also opens the AI use cases classed Augmented, which analyse the organization’s data; their results are validated by a person in the same way. No AI use case acts autonomously.</w:t>
      </w:r>
    </w:p>
    <w:p>
      <w:pPr>
        <w:pStyle w:val="ListBullet"/>
        <w:spacing w:after="80"/>
        <w:jc w:val="both"/>
      </w:pPr>
      <w:r>
        <w:rPr>
          <w:rFonts w:ascii="Times New Roman" w:hAnsi="Times New Roman" w:cs="Times New Roman" w:eastAsia="Times New Roman"/>
          <w:b/>
          <w:i w:val="0"/>
          <w:color w:val="3A3A3C"/>
        </w:rPr>
        <w:t xml:space="preserve">Platform limits (every offer): </w:t>
      </w:r>
      <w:r>
        <w:rPr>
          <w:rFonts w:ascii="Times New Roman" w:hAnsi="Times New Roman" w:cs="Times New Roman" w:eastAsia="Times New Roman"/>
          <w:b w:val="0"/>
          <w:i w:val="0"/>
          <w:color w:val="58595B"/>
        </w:rPr>
        <w:t xml:space="preserve">600 API requests per minute and 100 concurrent users per organization; 30 AI Assistant questions per minute per user.</w:t>
      </w:r>
    </w:p>
    <w:p>
      <w:pPr>
        <w:pStyle w:val="Heading2"/>
      </w:pPr>
      <w:r>
        <w:t xml:space="preserve">6.8  Deployment, Licensing &amp; Customer Edition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00"/>
        <w:gridCol w:w="7146"/>
      </w:tblGrid>
      <w:tr>
        <w:trPr>
          <w:cantSplit/>
          <w:tblHeader/>
        </w:trPr>
        <w:tc>
          <w:tcPr>
            <w:tcW w:type="dxa" w:w="26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Topic</w:t>
            </w:r>
          </w:p>
        </w:tc>
        <w:tc>
          <w:tcPr>
            <w:tcW w:type="dxa" w:w="71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Rule</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Deployment models</w:t>
            </w:r>
          </w:p>
        </w:tc>
        <w:tc>
          <w:tcPr>
            <w:tcW w:type="dxa" w:w="71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Private cloud or on-premises: the customer runs the CortexSkills package (Docker) on its own server. SaaS is not offered at this stage.</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Licence</w:t>
            </w:r>
          </w:p>
        </w:tc>
        <w:tc>
          <w:tcPr>
            <w:tcW w:type="dxa" w:w="71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A licence file signed by POWERACT and bound to the customer’s organization. It carries the offer (pack, bundle or SME pack), the maximum number of users, the add-ons and the end date.</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Changes</w:t>
            </w:r>
          </w:p>
        </w:tc>
        <w:tc>
          <w:tcPr>
            <w:tcW w:type="dxa" w:w="71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In an installation, the offer, the users and the add-ons cannot be changed locally. An upgrade, a renewal or an extra add-on is a new licence version issued by POWERACT and installed by the customer.</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End date and revocation</w:t>
            </w:r>
          </w:p>
        </w:tc>
        <w:tc>
          <w:tcPr>
            <w:tcW w:type="dxa" w:w="71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After the end date the installation switches to read-only until a renewed licence is installed. A licence revoked by POWERACT (for example on contract termination) is removed from the installation.</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Customer edition</w:t>
            </w:r>
          </w:p>
        </w:tc>
        <w:tc>
          <w:tcPr>
            <w:tcW w:type="dxa" w:w="71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The package delivered to customers shows no price and no commercial information: no price list, no quotation screen, no price in the catalog. The runtime is delivered without source code.</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Quotation (POWERACT)</w:t>
            </w:r>
          </w:p>
        </w:tc>
        <w:tc>
          <w:tcPr>
            <w:tcW w:type="dxa" w:w="71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Monthly total = base price + (users beyond the included users × overage price). Bundles: list price minus the bundle discount.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6.8 — Deployment and licensing rules.</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7</w:t>
      </w:r>
    </w:p>
    <w:p>
      <w:pPr>
        <w:pStyle w:val="Heading1"/>
      </w:pPr>
      <w:r>
        <w:t>7.  Strategic Conclusion</w:t>
      </w:r>
    </w:p>
    <w:p>
      <w:pPr>
        <w:spacing w:after="120"/>
        <w:jc w:val="both"/>
      </w:pPr>
      <w:r>
        <w:rPr>
          <w:rFonts w:ascii="Times New Roman" w:hAnsi="Times New Roman" w:cs="Times New Roman" w:eastAsia="Times New Roman"/>
          <w:b w:val="0"/>
          <w:i w:val="0"/>
          <w:color w:val="58595B"/>
        </w:rPr>
        <w:t>This commercial architecture positions CortexSkills as the most comprehensive, flexible, and value-driven Training Engineering solution on the market. The 8 optimized packs cover every segment from SMB to Enterprise, the integration catalog ensures the platform is the central nervous system of the customer's L&amp;D ecosystem, and the add-on catalog provides endless extensibility.</w:t>
      </w:r>
    </w:p>
    <w:p>
      <w:pPr>
        <w:keepNext/>
        <w:spacing w:before="160" w:after="60"/>
      </w:pPr>
      <w:r>
        <w:rPr>
          <w:rFonts w:ascii="Times New Roman" w:hAnsi="Times New Roman" w:cs="Times New Roman" w:eastAsia="Times New Roman"/>
          <w:b/>
          <w:i w:val="0"/>
          <w:color w:val="3A3A3C"/>
          <w:sz w:val="23"/>
        </w:rPr>
        <w:t>Key differentiators</w:t>
      </w:r>
    </w:p>
    <w:p>
      <w:pPr>
        <w:pStyle w:val="ListBullet"/>
        <w:spacing w:after="80"/>
        <w:jc w:val="both"/>
      </w:pPr>
      <w:r>
        <w:rPr>
          <w:rFonts w:ascii="Times New Roman" w:hAnsi="Times New Roman" w:cs="Times New Roman" w:eastAsia="Times New Roman"/>
          <w:b/>
          <w:i w:val="0"/>
          <w:color w:val="3A3A3C"/>
        </w:rPr>
        <w:t xml:space="preserve">PK-01 </w:t>
      </w:r>
      <w:r>
        <w:rPr>
          <w:rFonts w:ascii="Times New Roman" w:hAnsi="Times New Roman" w:cs="Times New Roman" w:eastAsia="Times New Roman"/>
          <w:b w:val="0"/>
          <w:i w:val="0"/>
          <w:color w:val="58595B"/>
        </w:rPr>
        <w:t>delivers the flagship Training Engineering Report — no competitor owns this as a first-class capability.</w:t>
      </w:r>
    </w:p>
    <w:p>
      <w:pPr>
        <w:pStyle w:val="ListBullet"/>
        <w:spacing w:after="80"/>
        <w:jc w:val="both"/>
      </w:pPr>
      <w:r>
        <w:rPr>
          <w:rFonts w:ascii="Times New Roman" w:hAnsi="Times New Roman" w:cs="Times New Roman" w:eastAsia="Times New Roman"/>
          <w:b/>
          <w:i w:val="0"/>
          <w:color w:val="3A3A3C"/>
        </w:rPr>
        <w:t xml:space="preserve">PK-07 </w:t>
      </w:r>
      <w:r>
        <w:rPr>
          <w:rFonts w:ascii="Times New Roman" w:hAnsi="Times New Roman" w:cs="Times New Roman" w:eastAsia="Times New Roman"/>
          <w:b w:val="0"/>
          <w:i w:val="0"/>
          <w:color w:val="58595B"/>
        </w:rPr>
        <w:t>is the only consulting-grade Training Engineering platform on the market.</w:t>
      </w:r>
    </w:p>
    <w:p>
      <w:pPr>
        <w:pStyle w:val="ListBullet"/>
        <w:spacing w:after="80"/>
        <w:jc w:val="both"/>
      </w:pPr>
      <w:r>
        <w:rPr>
          <w:rFonts w:ascii="Times New Roman" w:hAnsi="Times New Roman" w:cs="Times New Roman" w:eastAsia="Times New Roman"/>
          <w:b/>
          <w:i w:val="0"/>
          <w:color w:val="3A3A3C"/>
        </w:rPr>
        <w:t xml:space="preserve">PK-08 </w:t>
      </w:r>
      <w:r>
        <w:rPr>
          <w:rFonts w:ascii="Times New Roman" w:hAnsi="Times New Roman" w:cs="Times New Roman" w:eastAsia="Times New Roman"/>
          <w:b w:val="0"/>
          <w:i w:val="0"/>
          <w:color w:val="58595B"/>
        </w:rPr>
        <w:t>integrates GPEC (Forward Planning of Jobs and Skills), job architecture, and strategic workforce planning — capabilities no LMS or LXP currently offers.</w:t>
      </w:r>
    </w:p>
    <w:p>
      <w:pPr>
        <w:pStyle w:val="ListBullet"/>
        <w:spacing w:after="80"/>
        <w:jc w:val="both"/>
      </w:pPr>
      <w:r>
        <w:rPr>
          <w:rFonts w:ascii="Times New Roman" w:hAnsi="Times New Roman" w:cs="Times New Roman" w:eastAsia="Times New Roman"/>
          <w:b/>
          <w:i w:val="0"/>
          <w:color w:val="3A3A3C"/>
        </w:rPr>
        <w:t xml:space="preserve">PK-01 </w:t>
      </w:r>
      <w:r>
        <w:rPr>
          <w:rFonts w:ascii="Times New Roman" w:hAnsi="Times New Roman" w:cs="Times New Roman" w:eastAsia="Times New Roman"/>
          <w:b w:val="0"/>
          <w:i w:val="0"/>
          <w:color w:val="58595B"/>
        </w:rPr>
        <w:t>now includes structured Scope of Work definition and multi-channel questionnaire management.</w:t>
      </w:r>
    </w:p>
    <w:p>
      <w:pPr>
        <w:pStyle w:val="ListBullet"/>
        <w:spacing w:after="80"/>
        <w:jc w:val="both"/>
      </w:pPr>
      <w:r>
        <w:rPr>
          <w:rFonts w:ascii="Times New Roman" w:hAnsi="Times New Roman" w:cs="Times New Roman" w:eastAsia="Times New Roman"/>
          <w:b/>
          <w:i w:val="0"/>
          <w:color w:val="3A3A3C"/>
        </w:rPr>
        <w:t xml:space="preserve">PK-07 </w:t>
      </w:r>
      <w:r>
        <w:rPr>
          <w:rFonts w:ascii="Times New Roman" w:hAnsi="Times New Roman" w:cs="Times New Roman" w:eastAsia="Times New Roman"/>
          <w:b w:val="0"/>
          <w:i w:val="0"/>
          <w:color w:val="58595B"/>
        </w:rPr>
        <w:t>adds consulting-grade questionnaire libraries by sector and focus.</w:t>
      </w:r>
    </w:p>
    <w:p>
      <w:pPr>
        <w:pStyle w:val="ListBullet"/>
        <w:spacing w:after="80"/>
        <w:jc w:val="both"/>
      </w:pPr>
      <w:r>
        <w:rPr>
          <w:rFonts w:ascii="Times New Roman" w:hAnsi="Times New Roman" w:cs="Times New Roman" w:eastAsia="Times New Roman"/>
          <w:b/>
          <w:i w:val="0"/>
          <w:color w:val="3A3A3C"/>
        </w:rPr>
        <w:t xml:space="preserve">AD-11 </w:t>
      </w:r>
      <w:r>
        <w:rPr>
          <w:rFonts w:ascii="Times New Roman" w:hAnsi="Times New Roman" w:cs="Times New Roman" w:eastAsia="Times New Roman"/>
          <w:b w:val="0"/>
          <w:i w:val="0"/>
          <w:color w:val="58595B"/>
        </w:rPr>
        <w:t>removes the monthly questionnaire limit on any Pack.</w:t>
      </w:r>
    </w:p>
    <w:p>
      <w:pPr>
        <w:pStyle w:val="ListBullet"/>
        <w:spacing w:after="80"/>
        <w:jc w:val="both"/>
      </w:pPr>
      <w:r>
        <w:rPr>
          <w:rFonts w:ascii="Times New Roman" w:hAnsi="Times New Roman" w:cs="Times New Roman" w:eastAsia="Times New Roman"/>
          <w:b/>
          <w:i w:val="0"/>
          <w:color w:val="3A3A3C"/>
        </w:rPr>
        <w:t xml:space="preserve">Three SME packs </w:t>
      </w:r>
      <w:r>
        <w:rPr>
          <w:rFonts w:ascii="Times New Roman" w:hAnsi="Times New Roman" w:cs="Times New Roman" w:eastAsia="Times New Roman"/>
          <w:b w:val="0"/>
          <w:i w:val="0"/>
          <w:color w:val="58595B"/>
        </w:rPr>
        <w:t xml:space="preserve">from $49 per month bring the Training Engineering cycle to micro, small and medium enterprises.</w:t>
      </w:r>
    </w:p>
    <w:p>
      <w:pPr>
        <w:pStyle w:val="ListBullet"/>
        <w:spacing w:after="80"/>
        <w:jc w:val="both"/>
      </w:pPr>
      <w:r>
        <w:rPr>
          <w:rFonts w:ascii="Times New Roman" w:hAnsi="Times New Roman" w:cs="Times New Roman" w:eastAsia="Times New Roman"/>
          <w:b/>
          <w:i w:val="0"/>
          <w:color w:val="3A3A3C"/>
        </w:rPr>
        <w:t xml:space="preserve">Private-cloud and on-premises installations </w:t>
      </w:r>
      <w:r>
        <w:rPr>
          <w:rFonts w:ascii="Times New Roman" w:hAnsi="Times New Roman" w:cs="Times New Roman" w:eastAsia="Times New Roman"/>
          <w:b w:val="0"/>
          <w:i w:val="0"/>
          <w:color w:val="58595B"/>
        </w:rPr>
        <w:t xml:space="preserve">run under a licence signed by POWERACT, with a customer edition free of prices and source code.</w:t>
      </w:r>
    </w:p>
    <w:p>
      <w:pPr>
        <w:pStyle w:val="ListBullet"/>
        <w:spacing w:after="80"/>
        <w:jc w:val="both"/>
      </w:pPr>
      <w:r>
        <w:rPr>
          <w:rFonts w:ascii="Times New Roman" w:hAnsi="Times New Roman" w:cs="Times New Roman" w:eastAsia="Times New Roman"/>
          <w:b/>
          <w:i w:val="0"/>
          <w:color w:val="3A3A3C"/>
        </w:rPr>
        <w:t xml:space="preserve">Integrations </w:t>
      </w:r>
      <w:r>
        <w:rPr>
          <w:rFonts w:ascii="Times New Roman" w:hAnsi="Times New Roman" w:cs="Times New Roman" w:eastAsia="Times New Roman"/>
          <w:b w:val="0"/>
          <w:i w:val="0"/>
          <w:color w:val="58595B"/>
        </w:rPr>
        <w:t>are mapped to specific packs, making the value proposition crystal clear for each customer segment.</w:t>
      </w:r>
    </w:p>
    <w:p>
      <w:pPr>
        <w:pStyle w:val="ListBullet"/>
        <w:spacing w:after="80"/>
        <w:jc w:val="both"/>
      </w:pPr>
      <w:r>
        <w:rPr>
          <w:rFonts w:ascii="Times New Roman" w:hAnsi="Times New Roman" w:cs="Times New Roman" w:eastAsia="Times New Roman"/>
          <w:b/>
          <w:i w:val="0"/>
          <w:color w:val="3A3A3C"/>
        </w:rPr>
        <w:t xml:space="preserve">Add-Ons </w:t>
      </w:r>
      <w:r>
        <w:rPr>
          <w:rFonts w:ascii="Times New Roman" w:hAnsi="Times New Roman" w:cs="Times New Roman" w:eastAsia="Times New Roman"/>
          <w:b w:val="0"/>
          <w:i w:val="0"/>
          <w:color w:val="58595B"/>
        </w:rPr>
        <w:t>enable customers to grow without friction.</w:t>
      </w: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In one sentence</w:t>
            </w:r>
          </w:p>
          <w:p>
            <w:pPr>
              <w:spacing w:after="0" w:line="276" w:lineRule="auto"/>
              <w:jc w:val="both"/>
            </w:pPr>
            <w:r>
              <w:rPr>
                <w:rFonts w:ascii="Times New Roman" w:hAnsi="Times New Roman" w:cs="Times New Roman" w:eastAsia="Times New Roman"/>
                <w:b w:val="0"/>
                <w:i w:val="0"/>
                <w:color w:val="3A3A3C"/>
                <w:sz w:val="22"/>
              </w:rPr>
              <w:t>This is the commercial blueprint for CortexSkills, the #1 Training Engineering application in the market.</w:t>
            </w:r>
          </w:p>
        </w:tc>
      </w:tr>
    </w:tbl>
    <w:p>
      <w:pPr>
        <w:spacing w:after="80"/>
      </w:pPr>
    </w:p>
    <w:sectPr w:rsidR="00FC693F" w:rsidRPr="0006063C" w:rsidSect="00034616">
      <w:headerReference w:type="default" r:id="rId9"/>
      <w:footerReference w:type="default" r:id="rId10"/>
      <w:headerReference w:type="first" r:id="rId14"/>
      <w:footerReference w:type="first" r:id="rId15"/>
      <w:pgSz w:w="11906" w:h="16838"/>
      <w:pgMar w:top="1080" w:right="1080" w:bottom="1080" w:left="1080" w:header="500" w:footer="50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rFonts w:ascii="Times New Roman" w:hAnsi="Times New Roman" w:cs="Times New Roman" w:eastAsia="Times New Roman"/>
        <w:color w:val="808184"/>
        <w:sz w:val="17"/>
      </w:rPr>
      <w:t xml:space="preserve">POWERACT Consulting  ·  Confidential  ·  Page </w:t>
    </w:r>
    <w:r>
      <w:rPr>
        <w:rFonts w:ascii="Times New Roman" w:hAnsi="Times New Roman" w:cs="Times New Roman" w:eastAsia="Times New Roman"/>
        <w:color w:val="808184"/>
        <w:sz w:val="17"/>
      </w:rPr>
      <w:fldChar w:fldCharType="begin"/>
    </w:r>
    <w:r>
      <w:rPr>
        <w:rFonts w:ascii="Times New Roman" w:hAnsi="Times New Roman" w:cs="Times New Roman" w:eastAsia="Times New Roman"/>
        <w:color w:val="808184"/>
        <w:sz w:val="17"/>
      </w:rPr>
      <w:instrText xml:space="preserve"> PAGE </w:instrText>
    </w:r>
    <w:r>
      <w:rPr>
        <w:rFonts w:ascii="Times New Roman" w:hAnsi="Times New Roman" w:cs="Times New Roman" w:eastAsia="Times New Roman"/>
        <w:color w:val="808184"/>
        <w:sz w:val="17"/>
      </w:rPr>
      <w:fldChar w:fldCharType="separate"/>
    </w:r>
    <w:r>
      <w:rPr>
        <w:rFonts w:ascii="Times New Roman" w:hAnsi="Times New Roman" w:cs="Times New Roman" w:eastAsia="Times New Roman"/>
        <w:color w:val="808184"/>
        <w:sz w:val="17"/>
      </w:rPr>
      <w:t>1</w:t>
    </w:r>
    <w:r>
      <w:rPr>
        <w:rFonts w:ascii="Times New Roman" w:hAnsi="Times New Roman" w:cs="Times New Roman" w:eastAsia="Times New Roman"/>
        <w:color w:val="808184"/>
        <w:sz w:val="17"/>
      </w:rPr>
      <w:fldChar w:fldCharType="end"/>
    </w:r>
    <w:r>
      <w:rPr>
        <w:rFonts w:ascii="Times New Roman" w:hAnsi="Times New Roman" w:cs="Times New Roman" w:eastAsia="Times New Roman"/>
        <w:color w:val="808184"/>
        <w:sz w:val="17"/>
      </w:rPr>
      <w:t xml:space="preserve"> of </w:t>
    </w:r>
    <w:r>
      <w:rPr>
        <w:rFonts w:ascii="Times New Roman" w:hAnsi="Times New Roman" w:cs="Times New Roman" w:eastAsia="Times New Roman"/>
        <w:color w:val="808184"/>
        <w:sz w:val="17"/>
      </w:rPr>
      <w:fldChar w:fldCharType="begin"/>
    </w:r>
    <w:r>
      <w:rPr>
        <w:rFonts w:ascii="Times New Roman" w:hAnsi="Times New Roman" w:cs="Times New Roman" w:eastAsia="Times New Roman"/>
        <w:color w:val="808184"/>
        <w:sz w:val="17"/>
      </w:rPr>
      <w:instrText xml:space="preserve"> NUMPAGES </w:instrText>
    </w:r>
    <w:r>
      <w:rPr>
        <w:rFonts w:ascii="Times New Roman" w:hAnsi="Times New Roman" w:cs="Times New Roman" w:eastAsia="Times New Roman"/>
        <w:color w:val="808184"/>
        <w:sz w:val="17"/>
      </w:rPr>
      <w:fldChar w:fldCharType="separate"/>
    </w:r>
    <w:r>
      <w:rPr>
        <w:rFonts w:ascii="Times New Roman" w:hAnsi="Times New Roman" w:cs="Times New Roman" w:eastAsia="Times New Roman"/>
        <w:color w:val="808184"/>
        <w:sz w:val="17"/>
      </w:rPr>
      <w:t>1</w:t>
    </w:r>
    <w:r>
      <w:rPr>
        <w:rFonts w:ascii="Times New Roman" w:hAnsi="Times New Roman" w:cs="Times New Roman" w:eastAsia="Times New Roman"/>
        <w:color w:val="808184"/>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3E3E4"/>
      </w:pBdr>
      <w:spacing w:after="0"/>
      <w:jc w:val="right"/>
    </w:pPr>
    <w:r/>
    <w:r>
      <w:rPr>
        <w:rFonts w:ascii="Times New Roman" w:hAnsi="Times New Roman" w:cs="Times New Roman" w:eastAsia="Times New Roman"/>
        <w:b/>
        <w:color w:val="F8931D"/>
        <w:sz w:val="17"/>
      </w:rPr>
      <w:t>POWERACT Consulting</w:t>
    </w:r>
    <w:r>
      <w:rPr>
        <w:rFonts w:ascii="Times New Roman" w:hAnsi="Times New Roman" w:cs="Times New Roman" w:eastAsia="Times New Roman"/>
        <w:b w:val="0"/>
        <w:color w:val="808184"/>
        <w:sz w:val="17"/>
      </w:rPr>
      <w:t xml:space="preserve">  ·  CortexSkills Packs, Integrations &amp; Add-Ons  ·  v3.0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58595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4" w:color="F8931D"/>
      </w:pBdr>
      <w:spacing w:before="120" w:after="200"/>
      <w:outlineLvl w:val="0"/>
    </w:pPr>
    <w:rPr>
      <w:rFonts w:ascii="Times New Roman" w:hAnsi="Times New Roman" w:cs="Times New Roman" w:eastAsia="Times New Roman"/>
      <w:b/>
      <w:bCs/>
      <w:i w:val="0"/>
      <w:color w:val="E07B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3A3A3C"/>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i w:val="0"/>
      <w:color w:val="E07B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746" w:val="right" w:leader="dot"/>
      </w:tabs>
      <w:spacing w:after="80" w:before="120"/>
      <w:ind w:left="0"/>
    </w:pPr>
    <w:rPr>
      <w:rFonts w:ascii="Times New Roman" w:hAnsi="Times New Roman"/>
      <w:b/>
      <w:color w:val="3A3A3C"/>
      <w:sz w:val="22"/>
    </w:rPr>
  </w:style>
  <w:style w:type="paragraph" w:customStyle="1" w:styleId="TOC2">
    <w:name w:val="TOC 2"/>
    <w:basedOn w:val="Normal"/>
    <w:pPr>
      <w:tabs>
        <w:tab w:pos="9746" w:val="right" w:leader="dot"/>
      </w:tabs>
      <w:spacing w:after="40" w:before="0"/>
      <w:ind w:left="240"/>
    </w:pPr>
    <w:rPr>
      <w:rFonts w:ascii="Times New Roman" w:hAnsi="Times New Roman"/>
      <w:b w:val="0"/>
      <w:color w:val="3A3A3C"/>
      <w:sz w:val="20"/>
    </w:rPr>
  </w:style>
  <w:style w:type="paragraph" w:customStyle="1" w:styleId="TOC3">
    <w:name w:val="TOC 3"/>
    <w:basedOn w:val="Normal"/>
    <w:pPr>
      <w:tabs>
        <w:tab w:pos="9746" w:val="right" w:leader="dot"/>
      </w:tabs>
      <w:spacing w:after="40" w:before="0"/>
      <w:ind w:left="480"/>
    </w:pPr>
    <w:rPr>
      <w:rFonts w:ascii="Times New Roman" w:hAnsi="Times New Roman"/>
      <w:b w:val="0"/>
      <w:color w:val="5859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Packs, Integrations &amp; Add-Ons</dc:title>
  <dc:subject>CortexSkills — Version 2.0</dc:subject>
  <dc:creator>POWERACT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