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i w:val="false"/>
          <w:color w:val="1F4B45"/>
          <w:sz w:val="60"/>
        </w:rPr>
        <w:t>journi</w:t>
      </w:r>
    </w:p>
    <w:p>
      <w:pPr>
        <w:pStyle w:val="BodyText"/>
        <w:jc w:val="center"/>
        <w:rPr/>
      </w:pPr>
      <w:r>
        <w:rPr>
          <w:b w:val="false"/>
          <w:i w:val="false"/>
          <w:color w:val="333333"/>
          <w:sz w:val="30"/>
        </w:rPr>
        <w:t>Change Management Frameworks</w:t>
      </w:r>
    </w:p>
    <w:p>
      <w:pPr>
        <w:pStyle w:val="BodyText"/>
        <w:jc w:val="center"/>
        <w:rPr/>
      </w:pPr>
      <w:r>
        <w:rPr>
          <w:b w:val="false"/>
          <w:i/>
          <w:iCs/>
          <w:color w:val="333333"/>
          <w:sz w:val="23"/>
        </w:rPr>
        <w:t>Lewin · Prosci ADKAR · Bridges’ Transition Model · Kübler-Ross Change Curve</w:t>
      </w:r>
    </w:p>
    <w:p>
      <w:pPr>
        <w:pStyle w:val="BodyText"/>
        <w:jc w:val="center"/>
        <w:rPr/>
      </w:pPr>
      <w:r>
        <w:rPr>
          <w:b w:val="false"/>
          <w:i/>
          <w:iCs/>
          <w:color w:val="333333"/>
          <w:sz w:val="23"/>
        </w:rPr>
        <w:t>Definitions · Interaction · Signals, Decision Matrix &amp; Exceptions · KPI/Index Formula Reference</w:t>
      </w:r>
    </w:p>
    <w:p>
      <w:pPr>
        <w:pStyle w:val="BodyText"/>
        <w:jc w:val="center"/>
        <w:rPr/>
      </w:pPr>
      <w:r>
        <w:rPr>
          <w:b w:val="false"/>
          <w:i w:val="false"/>
          <w:color w:val="333333"/>
          <w:sz w:val="22"/>
        </w:rPr>
        <w:t>Version 1.1 · August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"1-4" \u \h</w:instrText>
          </w:r>
          <w:r>
            <w:rPr>
              <w:webHidden/>
              <w:rStyle w:val="IndexLink"/>
            </w:rPr>
            <w:fldChar w:fldCharType="separate"/>
          </w:r>
          <w:hyperlink w:anchor="__RefHeading___Toc4850_1235152635">
            <w:r>
              <w:rPr>
                <w:webHidden/>
                <w:rStyle w:val="IndexLink"/>
              </w:rPr>
              <w:t>Part 0 — Purpose and Scope</w:t>
              <w:tab/>
              <w:t>4</w:t>
            </w:r>
          </w:hyperlink>
        </w:p>
        <w:p>
          <w:pPr>
            <w:pStyle w:val="TOC2"/>
            <w:tabs>
              <w:tab w:val="clear" w:pos="10229"/>
              <w:tab w:val="right" w:pos="10511" w:leader="dot"/>
            </w:tabs>
            <w:rPr/>
          </w:pPr>
          <w:hyperlink w:anchor="__RefHeading___Toc4852_1235152635">
            <w:r>
              <w:rPr>
                <w:webHidden/>
                <w:rStyle w:val="IndexLink"/>
              </w:rPr>
              <w:t>Part 1 — The Four Frameworks, in Detail</w:t>
              <w:tab/>
              <w:t>4</w:t>
            </w:r>
          </w:hyperlink>
        </w:p>
        <w:p>
          <w:pPr>
            <w:pStyle w:val="TOC3"/>
            <w:tabs>
              <w:tab w:val="clear" w:pos="9945"/>
              <w:tab w:val="right" w:pos="10511" w:leader="dot"/>
            </w:tabs>
            <w:rPr/>
          </w:pPr>
          <w:hyperlink w:anchor="__RefHeading___Toc4854_1235152635">
            <w:r>
              <w:rPr>
                <w:webHidden/>
                <w:rStyle w:val="IndexLink"/>
              </w:rPr>
              <w:t>1.1 Lewin’s Change Management Model</w:t>
              <w:tab/>
              <w:t>5</w:t>
            </w:r>
          </w:hyperlink>
        </w:p>
        <w:p>
          <w:pPr>
            <w:pStyle w:val="TOC3"/>
            <w:tabs>
              <w:tab w:val="clear" w:pos="9945"/>
              <w:tab w:val="right" w:pos="10511" w:leader="dot"/>
            </w:tabs>
            <w:rPr/>
          </w:pPr>
          <w:hyperlink w:anchor="__RefHeading___Toc4856_1235152635">
            <w:r>
              <w:rPr>
                <w:webHidden/>
                <w:rStyle w:val="IndexLink"/>
              </w:rPr>
              <w:t>1.2 Prosci ADKAR Model</w:t>
              <w:tab/>
              <w:t>7</w:t>
            </w:r>
          </w:hyperlink>
        </w:p>
        <w:p>
          <w:pPr>
            <w:pStyle w:val="TOC3"/>
            <w:tabs>
              <w:tab w:val="clear" w:pos="9945"/>
              <w:tab w:val="right" w:pos="10511" w:leader="dot"/>
            </w:tabs>
            <w:rPr/>
          </w:pPr>
          <w:hyperlink w:anchor="__RefHeading___Toc4858_1235152635">
            <w:r>
              <w:rPr>
                <w:webHidden/>
                <w:rStyle w:val="IndexLink"/>
              </w:rPr>
              <w:t>1.3 Bridges’ Transition Model</w:t>
              <w:tab/>
              <w:t>8</w:t>
            </w:r>
          </w:hyperlink>
        </w:p>
        <w:p>
          <w:pPr>
            <w:pStyle w:val="TOC3"/>
            <w:tabs>
              <w:tab w:val="clear" w:pos="9945"/>
              <w:tab w:val="right" w:pos="10511" w:leader="dot"/>
            </w:tabs>
            <w:rPr/>
          </w:pPr>
          <w:hyperlink w:anchor="__RefHeading___Toc4860_1235152635">
            <w:r>
              <w:rPr>
                <w:webHidden/>
                <w:rStyle w:val="IndexLink"/>
              </w:rPr>
              <w:t>1.4 Kübler-Ross Change Curve</w:t>
              <w:tab/>
              <w:t>10</w:t>
            </w:r>
          </w:hyperlink>
        </w:p>
        <w:p>
          <w:pPr>
            <w:pStyle w:val="TOC2"/>
            <w:tabs>
              <w:tab w:val="clear" w:pos="10229"/>
              <w:tab w:val="right" w:pos="10511" w:leader="dot"/>
            </w:tabs>
            <w:rPr/>
          </w:pPr>
          <w:hyperlink w:anchor="__RefHeading___Toc4862_1235152635">
            <w:r>
              <w:rPr>
                <w:webHidden/>
                <w:rStyle w:val="IndexLink"/>
              </w:rPr>
              <w:t>Part 2 — How the Four Frameworks Interact</w:t>
              <w:tab/>
              <w:t>11</w:t>
            </w:r>
          </w:hyperlink>
        </w:p>
        <w:p>
          <w:pPr>
            <w:pStyle w:val="TOC3"/>
            <w:tabs>
              <w:tab w:val="clear" w:pos="9945"/>
              <w:tab w:val="right" w:pos="10511" w:leader="dot"/>
            </w:tabs>
            <w:rPr/>
          </w:pPr>
          <w:hyperlink w:anchor="__RefHeading___Toc4864_1235152635">
            <w:r>
              <w:rPr>
                <w:webHidden/>
                <w:rStyle w:val="IndexLink"/>
              </w:rPr>
              <w:t>2.1 Three Altitudes, One Program</w:t>
              <w:tab/>
              <w:t>12</w:t>
            </w:r>
          </w:hyperlink>
        </w:p>
        <w:p>
          <w:pPr>
            <w:pStyle w:val="TOC3"/>
            <w:tabs>
              <w:tab w:val="clear" w:pos="9945"/>
              <w:tab w:val="right" w:pos="10511" w:leader="dot"/>
            </w:tabs>
            <w:rPr/>
          </w:pPr>
          <w:hyperlink w:anchor="__RefHeading___Toc4866_1235152635">
            <w:r>
              <w:rPr>
                <w:webHidden/>
                <w:rStyle w:val="IndexLink"/>
              </w:rPr>
              <w:t>2.2 The Interaction Map</w:t>
              <w:tab/>
              <w:t>12</w:t>
            </w:r>
          </w:hyperlink>
        </w:p>
        <w:p>
          <w:pPr>
            <w:pStyle w:val="TOC3"/>
            <w:tabs>
              <w:tab w:val="clear" w:pos="9945"/>
              <w:tab w:val="right" w:pos="10511" w:leader="dot"/>
            </w:tabs>
            <w:rPr/>
          </w:pPr>
          <w:hyperlink w:anchor="__RefHeading___Toc4868_1235152635">
            <w:r>
              <w:rPr>
                <w:webHidden/>
                <w:rStyle w:val="IndexLink"/>
              </w:rPr>
              <w:t>2.3 Worked Example — An ERP Platform Rollout</w:t>
              <w:tab/>
              <w:t>14</w:t>
            </w:r>
          </w:hyperlink>
        </w:p>
        <w:p>
          <w:pPr>
            <w:pStyle w:val="TOC3"/>
            <w:tabs>
              <w:tab w:val="clear" w:pos="9945"/>
              <w:tab w:val="right" w:pos="10511" w:leader="dot"/>
            </w:tabs>
            <w:rPr/>
          </w:pPr>
          <w:hyperlink w:anchor="__RefHeading___Toc4870_1235152635">
            <w:r>
              <w:rPr>
                <w:webHidden/>
                <w:rStyle w:val="IndexLink"/>
              </w:rPr>
              <w:t>2.4 The Divergence Pattern — The Interaction’s Signature Failure Mode</w:t>
              <w:tab/>
              <w:t>15</w:t>
            </w:r>
          </w:hyperlink>
        </w:p>
        <w:p>
          <w:pPr>
            <w:pStyle w:val="TOC3"/>
            <w:tabs>
              <w:tab w:val="clear" w:pos="9945"/>
              <w:tab w:val="right" w:pos="10511" w:leader="dot"/>
            </w:tabs>
            <w:rPr/>
          </w:pPr>
          <w:hyperlink w:anchor="__RefHeading___Toc4872_1235152635">
            <w:r>
              <w:rPr>
                <w:webHidden/>
                <w:rStyle w:val="IndexLink"/>
              </w:rPr>
              <w:t>2.5 Exceptions to the Normal Interaction Pattern</w:t>
              <w:tab/>
              <w:t>16</w:t>
            </w:r>
          </w:hyperlink>
        </w:p>
        <w:p>
          <w:pPr>
            <w:pStyle w:val="TOC2"/>
            <w:tabs>
              <w:tab w:val="clear" w:pos="10229"/>
              <w:tab w:val="right" w:pos="10511" w:leader="dot"/>
            </w:tabs>
            <w:rPr/>
          </w:pPr>
          <w:hyperlink w:anchor="__RefHeading___Toc4874_1235152635">
            <w:r>
              <w:rPr>
                <w:webHidden/>
                <w:rStyle w:val="IndexLink"/>
              </w:rPr>
              <w:t>Part 3 — Signals Catalog and Decision Matrix</w:t>
              <w:tab/>
              <w:t>18</w:t>
            </w:r>
          </w:hyperlink>
        </w:p>
        <w:p>
          <w:pPr>
            <w:pStyle w:val="TOC3"/>
            <w:tabs>
              <w:tab w:val="clear" w:pos="9945"/>
              <w:tab w:val="right" w:pos="10511" w:leader="dot"/>
            </w:tabs>
            <w:rPr/>
          </w:pPr>
          <w:hyperlink w:anchor="__RefHeading___Toc4876_1235152635">
            <w:r>
              <w:rPr>
                <w:webHidden/>
                <w:rStyle w:val="IndexLink"/>
              </w:rPr>
              <w:t>3.1 How to Read This Catalog</w:t>
              <w:tab/>
              <w:t>18</w:t>
            </w:r>
          </w:hyperlink>
        </w:p>
        <w:p>
          <w:pPr>
            <w:pStyle w:val="TOC3"/>
            <w:tabs>
              <w:tab w:val="clear" w:pos="9945"/>
              <w:tab w:val="right" w:pos="10511" w:leader="dot"/>
            </w:tabs>
            <w:rPr/>
          </w:pPr>
          <w:hyperlink w:anchor="__RefHeading___Toc4878_1235152635">
            <w:r>
              <w:rPr>
                <w:webHidden/>
                <w:rStyle w:val="IndexLink"/>
              </w:rPr>
              <w:t>3.2 Lewin Signals</w:t>
              <w:tab/>
              <w:t>18</w:t>
            </w:r>
          </w:hyperlink>
        </w:p>
        <w:p>
          <w:pPr>
            <w:pStyle w:val="TOC3"/>
            <w:tabs>
              <w:tab w:val="clear" w:pos="9945"/>
              <w:tab w:val="right" w:pos="10511" w:leader="dot"/>
            </w:tabs>
            <w:rPr/>
          </w:pPr>
          <w:hyperlink w:anchor="__RefHeading___Toc4880_1235152635">
            <w:r>
              <w:rPr>
                <w:webHidden/>
                <w:rStyle w:val="IndexLink"/>
              </w:rPr>
              <w:t>3.3 ADKAR Signals</w:t>
              <w:tab/>
              <w:t>21</w:t>
            </w:r>
          </w:hyperlink>
        </w:p>
        <w:p>
          <w:pPr>
            <w:pStyle w:val="TOC3"/>
            <w:tabs>
              <w:tab w:val="clear" w:pos="9945"/>
              <w:tab w:val="right" w:pos="10511" w:leader="dot"/>
            </w:tabs>
            <w:rPr/>
          </w:pPr>
          <w:hyperlink w:anchor="__RefHeading___Toc4882_1235152635">
            <w:r>
              <w:rPr>
                <w:webHidden/>
                <w:rStyle w:val="IndexLink"/>
              </w:rPr>
              <w:t>3.4 Bridges Signals</w:t>
              <w:tab/>
              <w:t>22</w:t>
            </w:r>
          </w:hyperlink>
        </w:p>
        <w:p>
          <w:pPr>
            <w:pStyle w:val="TOC3"/>
            <w:tabs>
              <w:tab w:val="clear" w:pos="9945"/>
              <w:tab w:val="right" w:pos="10511" w:leader="dot"/>
            </w:tabs>
            <w:rPr/>
          </w:pPr>
          <w:hyperlink w:anchor="__RefHeading___Toc4884_1235152635">
            <w:r>
              <w:rPr>
                <w:webHidden/>
                <w:rStyle w:val="IndexLink"/>
              </w:rPr>
              <w:t>3.5 Kübler-Ross Signals</w:t>
              <w:tab/>
              <w:t>23</w:t>
            </w:r>
          </w:hyperlink>
        </w:p>
        <w:p>
          <w:pPr>
            <w:pStyle w:val="TOC3"/>
            <w:tabs>
              <w:tab w:val="clear" w:pos="9945"/>
              <w:tab w:val="right" w:pos="10511" w:leader="dot"/>
            </w:tabs>
            <w:rPr/>
          </w:pPr>
          <w:hyperlink w:anchor="__RefHeading___Toc4886_1235152635">
            <w:r>
              <w:rPr>
                <w:webHidden/>
                <w:rStyle w:val="IndexLink"/>
              </w:rPr>
              <w:t>3.6 Master Decision Matrix</w:t>
              <w:tab/>
              <w:t>25</w:t>
            </w:r>
          </w:hyperlink>
        </w:p>
        <w:p>
          <w:pPr>
            <w:pStyle w:val="TOC3"/>
            <w:tabs>
              <w:tab w:val="clear" w:pos="9945"/>
              <w:tab w:val="right" w:pos="10511" w:leader="dot"/>
            </w:tabs>
            <w:rPr/>
          </w:pPr>
          <w:hyperlink w:anchor="__RefHeading___Toc4888_1235152635">
            <w:r>
              <w:rPr>
                <w:webHidden/>
                <w:rStyle w:val="IndexLink"/>
              </w:rPr>
              <w:t>3.7 Exceptions to the Decision Matrix</w:t>
              <w:tab/>
              <w:t>27</w:t>
            </w:r>
          </w:hyperlink>
        </w:p>
        <w:p>
          <w:pPr>
            <w:pStyle w:val="TOC2"/>
            <w:tabs>
              <w:tab w:val="clear" w:pos="10229"/>
              <w:tab w:val="right" w:pos="10511" w:leader="dot"/>
            </w:tabs>
            <w:rPr/>
          </w:pPr>
          <w:hyperlink w:anchor="__RefHeading___Toc4890_1235152635">
            <w:r>
              <w:rPr>
                <w:webHidden/>
                <w:rStyle w:val="IndexLink"/>
              </w:rPr>
              <w:t>Part 4 — KPI and Index Formula Reference</w:t>
              <w:tab/>
              <w:t>29</w:t>
            </w:r>
          </w:hyperlink>
        </w:p>
        <w:p>
          <w:pPr>
            <w:pStyle w:val="TOC3"/>
            <w:tabs>
              <w:tab w:val="clear" w:pos="9945"/>
              <w:tab w:val="right" w:pos="10511" w:leader="dot"/>
            </w:tabs>
            <w:rPr/>
          </w:pPr>
          <w:hyperlink w:anchor="__RefHeading___Toc4892_1235152635">
            <w:r>
              <w:rPr>
                <w:webHidden/>
                <w:rStyle w:val="IndexLink"/>
              </w:rPr>
              <w:t>4.1 Composite Readiness Index</w:t>
              <w:tab/>
              <w:t>29</w:t>
            </w:r>
          </w:hyperlink>
        </w:p>
        <w:p>
          <w:pPr>
            <w:pStyle w:val="TOC3"/>
            <w:tabs>
              <w:tab w:val="clear" w:pos="9945"/>
              <w:tab w:val="right" w:pos="10511" w:leader="dot"/>
            </w:tabs>
            <w:rPr/>
          </w:pPr>
          <w:hyperlink w:anchor="__RefHeading___Toc4894_1235152635">
            <w:r>
              <w:rPr>
                <w:webHidden/>
                <w:rStyle w:val="IndexLink"/>
              </w:rPr>
              <w:t>4.2 Divergence Pattern Detector</w:t>
              <w:tab/>
              <w:t>30</w:t>
            </w:r>
          </w:hyperlink>
        </w:p>
        <w:p>
          <w:pPr>
            <w:pStyle w:val="TOC3"/>
            <w:tabs>
              <w:tab w:val="clear" w:pos="9945"/>
              <w:tab w:val="right" w:pos="10511" w:leader="dot"/>
            </w:tabs>
            <w:rPr/>
          </w:pPr>
          <w:hyperlink w:anchor="__RefHeading___Toc4896_1235152635">
            <w:r>
              <w:rPr>
                <w:webHidden/>
                <w:rStyle w:val="IndexLink"/>
              </w:rPr>
              <w:t>4.3 ADKAR Block Stall Flag</w:t>
              <w:tab/>
              <w:t>31</w:t>
            </w:r>
          </w:hyperlink>
        </w:p>
        <w:p>
          <w:pPr>
            <w:pStyle w:val="TOC3"/>
            <w:tabs>
              <w:tab w:val="clear" w:pos="9945"/>
              <w:tab w:val="right" w:pos="10511" w:leader="dot"/>
            </w:tabs>
            <w:rPr/>
          </w:pPr>
          <w:hyperlink w:anchor="__RefHeading___Toc4898_1235152635">
            <w:r>
              <w:rPr>
                <w:webHidden/>
                <w:rStyle w:val="IndexLink"/>
              </w:rPr>
              <w:t>4.4 Risk Severity Score</w:t>
              <w:tab/>
              <w:t>31</w:t>
            </w:r>
          </w:hyperlink>
        </w:p>
        <w:p>
          <w:pPr>
            <w:pStyle w:val="TOC3"/>
            <w:tabs>
              <w:tab w:val="clear" w:pos="9945"/>
              <w:tab w:val="right" w:pos="10511" w:leader="dot"/>
            </w:tabs>
            <w:rPr/>
          </w:pPr>
          <w:hyperlink w:anchor="__RefHeading___Toc4900_1235152635">
            <w:r>
              <w:rPr>
                <w:webHidden/>
                <w:rStyle w:val="IndexLink"/>
              </w:rPr>
              <w:t>4.5 High-Impact / Low-Influence Stakeholder Flag</w:t>
              <w:tab/>
              <w:t>32</w:t>
            </w:r>
          </w:hyperlink>
        </w:p>
        <w:p>
          <w:pPr>
            <w:pStyle w:val="TOC3"/>
            <w:tabs>
              <w:tab w:val="clear" w:pos="9945"/>
              <w:tab w:val="right" w:pos="10511" w:leader="dot"/>
            </w:tabs>
            <w:rPr/>
          </w:pPr>
          <w:hyperlink w:anchor="__RefHeading___Toc4902_1235152635">
            <w:r>
              <w:rPr>
                <w:webHidden/>
                <w:rStyle w:val="IndexLink"/>
              </w:rPr>
              <w:t>4.6 Training Completion Average</w:t>
              <w:tab/>
              <w:t>32</w:t>
            </w:r>
          </w:hyperlink>
        </w:p>
        <w:p>
          <w:pPr>
            <w:pStyle w:val="TOC3"/>
            <w:tabs>
              <w:tab w:val="clear" w:pos="9945"/>
              <w:tab w:val="right" w:pos="10511" w:leader="dot"/>
            </w:tabs>
            <w:rPr/>
          </w:pPr>
          <w:hyperlink w:anchor="__RefHeading___Toc4904_1235152635">
            <w:r>
              <w:rPr>
                <w:webHidden/>
                <w:rStyle w:val="IndexLink"/>
              </w:rPr>
              <w:t>4.7 Sentiment Stage Inference (internal helper)</w:t>
              <w:tab/>
              <w:t>33</w:t>
            </w:r>
          </w:hyperlink>
        </w:p>
        <w:p>
          <w:pPr>
            <w:pStyle w:val="TOC2"/>
            <w:tabs>
              <w:tab w:val="clear" w:pos="10229"/>
              <w:tab w:val="right" w:pos="10511" w:leader="dot"/>
            </w:tabs>
            <w:rPr/>
          </w:pPr>
          <w:hyperlink w:anchor="__RefHeading___Toc4906_1235152635">
            <w:r>
              <w:rPr>
                <w:webHidden/>
                <w:rStyle w:val="IndexLink"/>
              </w:rPr>
              <w:t>Appendix — Quick ID Index</w:t>
              <w:tab/>
              <w:t>34</w:t>
            </w:r>
          </w:hyperlink>
          <w:r>
            <w:rPr>
              <w:rStyle w:val="IndexLink"/>
            </w:rPr>
            <w:fldChar w:fldCharType="end"/>
          </w:r>
        </w:p>
      </w:sdtContent>
    </w:sdt>
    <w:p>
      <w:pPr>
        <w:pStyle w:val="Normal"/>
        <w:rPr/>
      </w:pPr>
      <w:r>
        <w:rPr/>
      </w:r>
      <w:r>
        <w:br w:type="page"/>
      </w:r>
    </w:p>
    <w:p>
      <w:pPr>
        <w:pStyle w:val="Normal"/>
        <w:spacing w:before="0" w:after="200"/>
        <w:rPr/>
      </w:pPr>
      <w:r>
        <w:rPr/>
        <mc:AlternateContent>
          <mc:Choice Requires="wps">
            <w:drawing>
              <wp:inline distT="0" distB="0" distL="0" distR="0">
                <wp:extent cx="66751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6751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25.5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p>
    <w:p>
      <w:pPr>
        <w:pStyle w:val="Heading2"/>
        <w:rPr/>
      </w:pPr>
      <w:bookmarkStart w:id="0" w:name="__RefHeading___Toc4850_1235152635"/>
      <w:bookmarkStart w:id="1" w:name="part-0-purpose-and-scope"/>
      <w:bookmarkEnd w:id="0"/>
      <w:bookmarkEnd w:id="1"/>
      <w:r>
        <w:rPr>
          <w:b/>
          <w:color w:val="275650"/>
          <w:sz w:val="34"/>
        </w:rPr>
        <w:t>Part 0 — Purpose and Scope</w:t>
      </w:r>
    </w:p>
    <w:p>
      <w:pPr>
        <w:pStyle w:val="FirstParagraph"/>
        <w:rPr/>
      </w:pPr>
      <w:r>
        <w:rPr>
          <w:sz w:val="26"/>
        </w:rPr>
        <w:t>This document is journi’s standalone reference for the four Change Management frameworks the platform tracks. It answers five questions in order: what each framework actually measures, in depth; how the four interact across a real program rather than in isolation, and in what specific, realistic ways that interaction deviates from the clean case; what concrete, observable signals justify moving from one state to the next, sorted into what a Change Manager must have in hand versus what merely helps, and when the normal decision-matrix bar is legitimately overridden; and exactly how journi’s two auto-computed metrics are calculated, field by field, so a reader can reproduce or audit them without opening the source code.</w:t>
      </w:r>
    </w:p>
    <w:p>
      <w:pPr>
        <w:pStyle w:val="BodyText"/>
        <w:rPr/>
      </w:pPr>
      <w:r>
        <w:rPr>
          <w:sz w:val="26"/>
        </w:rPr>
        <w:t>Everything here is checked against journi’s actual implementation, not assumed from a textbook description of the four frameworks. Where journi’s own reading of a framework is a deliberate simplification of the textbook version — as it is for Kübler-Ross — this document says so explicitly rather than silently presenting the simplification as the standard model. Where a normal reading legitimately breaks down — a mandated deadline, a parallel-run period, a restructuring running alongside the change, a cohort too small or too quiet to read normally — this document names the exception explicitly and states what a Change Manager should do instead, rather than leaving the gap implicit.</w:t>
      </w:r>
    </w:p>
    <w:p>
      <w:pPr>
        <w:pStyle w:val="BodyText"/>
        <w:rPr/>
      </w:pPr>
      <w:r>
        <w:rPr>
          <w:b/>
          <w:bCs/>
          <w:sz w:val="26"/>
        </w:rPr>
        <w:t>A note on the worked example.</w:t>
      </w:r>
      <w:r>
        <w:rPr>
          <w:sz w:val="26"/>
        </w:rPr>
        <w:t xml:space="preserve"> Part 2’s illustration uses a generic Enterprise Resource Planning (ERP) platform rollout at a fictional mid-sized manufacturer. No commercial ERP product is named or implied — the example is written to be true of any ERP implementation, on any vendor’s platform, because the interaction pattern between the four frameworks does not depend on which system is being deployed.</w:t>
      </w:r>
    </w:p>
    <w:p>
      <w:pPr>
        <w:pStyle w:val="BodyText"/>
        <w:rPr/>
      </w:pPr>
      <w:r>
        <w:rPr/>
      </w:r>
      <w:bookmarkStart w:id="2" w:name="part-0-purpose-and-scope"/>
      <w:bookmarkStart w:id="3" w:name="part-0-purpose-and-scope"/>
      <w:bookmarkEnd w:id="3"/>
    </w:p>
    <w:p>
      <w:pPr>
        <w:pStyle w:val="Heading2"/>
        <w:rPr/>
      </w:pPr>
      <w:bookmarkStart w:id="4" w:name="__RefHeading___Toc4852_1235152635"/>
      <w:bookmarkStart w:id="5" w:name="part-1-the-four-frameworks-in-detail"/>
      <w:bookmarkEnd w:id="4"/>
      <w:bookmarkEnd w:id="5"/>
      <w:r>
        <w:rPr>
          <w:b/>
          <w:color w:val="275650"/>
          <w:sz w:val="34"/>
        </w:rPr>
        <w:t>Part 1 — The Four Frameworks, in Detail</w:t>
      </w:r>
    </w:p>
    <w:p>
      <w:pPr>
        <w:pStyle w:val="FirstParagraph"/>
        <w:rPr/>
      </w:pPr>
      <w:r>
        <w:rPr>
          <w:sz w:val="26"/>
        </w:rPr>
        <w:t>journi tracks four frameworks side by side, each answering a different question at a different altitude: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3154"/>
        <w:gridCol w:w="3154"/>
        <w:gridCol w:w="2522"/>
      </w:tblGrid>
      <w:tr>
        <w:trPr>
          <w:tblHeader w:val="true"/>
          <w:cantSplit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Framework</w:t>
            </w:r>
          </w:p>
        </w:tc>
        <w:tc>
          <w:tcPr>
            <w:tcW w:w="315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Altitude</w:t>
            </w:r>
          </w:p>
        </w:tc>
        <w:tc>
          <w:tcPr>
            <w:tcW w:w="315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Question it answers</w:t>
            </w:r>
          </w:p>
        </w:tc>
        <w:tc>
          <w:tcPr>
            <w:tcW w:w="252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Logged on</w:t>
            </w:r>
          </w:p>
        </w:tc>
      </w:tr>
      <w:tr>
        <w:trPr>
          <w:cantSplit w:val="true"/>
        </w:trPr>
        <w:tc>
          <w:tcPr>
            <w:tcW w:w="168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Organizational — one reading per project</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Has the organization actually changed?</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M3 (Initiative Registry)</w:t>
            </w:r>
          </w:p>
        </w:tc>
      </w:tr>
      <w:tr>
        <w:trPr>
          <w:cantSplit w:val="true"/>
        </w:trPr>
        <w:tc>
          <w:tcPr>
            <w:tcW w:w="168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Prosci ADKAR</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Individual / cohort — five scored blocks</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Is each person capable of changing?</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M5 (ADKAR Engine)</w:t>
            </w:r>
          </w:p>
        </w:tc>
      </w:tr>
      <w:tr>
        <w:trPr>
          <w:cantSplit w:val="true"/>
        </w:trPr>
        <w:tc>
          <w:tcPr>
            <w:tcW w:w="168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Transition Model</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Individual / cohort — emotional position</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What is each person letting go of, and have they?</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M6 (Emotional &amp; Transition Layer)</w:t>
            </w:r>
          </w:p>
        </w:tc>
      </w:tr>
      <w:tr>
        <w:trPr>
          <w:cantSplit w:val="true"/>
        </w:trPr>
        <w:tc>
          <w:tcPr>
            <w:tcW w:w="168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Change Curve</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Individual / cohort — sentiment</w:t>
            </w:r>
          </w:p>
        </w:tc>
        <w:tc>
          <w:tcPr>
            <w:tcW w:w="315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How does each person feel about the change right now?</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M6 (Emotional &amp; Transition Layer)</w:t>
            </w:r>
          </w:p>
        </w:tc>
      </w:tr>
    </w:tbl>
    <w:p>
      <w:pPr>
        <w:pStyle w:val="BodyText"/>
        <w:rPr/>
      </w:pPr>
      <w:r>
        <w:rPr>
          <w:sz w:val="26"/>
        </w:rPr>
        <w:t xml:space="preserve">A design choice that shapes everything downstream in this document is worth stating once, plainly: </w:t>
      </w:r>
      <w:r>
        <w:rPr>
          <w:b/>
          <w:bCs/>
          <w:sz w:val="26"/>
        </w:rPr>
        <w:t>journi never auto-computes a Lewin, Bridges, or Kübler-Ross reading.</w:t>
      </w:r>
      <w:r>
        <w:rPr>
          <w:sz w:val="26"/>
        </w:rPr>
        <w:t xml:space="preserve"> All three are a Change Manager’s evidence-based judgment call, entered directly (not inferred), and — when Governance Settings requires it (Part 1, Step 5 of the Complete User Guide) — accompanied by a written justification that is preserved in the project’s change log. journi computes exactly two things automatically: the Composite Readiness Index and the Divergence Pattern Detector, both covered in full in Part 4. Every other reading in this document is a human call, logged, not derived.</w:t>
      </w:r>
    </w:p>
    <w:p>
      <w:pPr>
        <w:pStyle w:val="BodyText"/>
        <w:rPr/>
      </w:pPr>
      <w:r>
        <w:rPr/>
      </w:r>
    </w:p>
    <w:p>
      <w:pPr>
        <w:pStyle w:val="Heading3"/>
        <w:rPr/>
      </w:pPr>
      <w:bookmarkStart w:id="6" w:name="__RefHeading___Toc4854_1235152635"/>
      <w:bookmarkStart w:id="7" w:name="lewins-change-management-model"/>
      <w:bookmarkEnd w:id="6"/>
      <w:bookmarkEnd w:id="7"/>
      <w:r>
        <w:rPr>
          <w:b/>
          <w:color w:val="3F827B"/>
          <w:sz w:val="29"/>
        </w:rPr>
        <w:t>1.1 Lewin’s Change Management Model</w:t>
      </w:r>
    </w:p>
    <w:p>
      <w:pPr>
        <w:pStyle w:val="FirstParagraph"/>
        <w:rPr/>
      </w:pPr>
      <w:r>
        <w:rPr>
          <w:b/>
          <w:bCs/>
          <w:sz w:val="26"/>
        </w:rPr>
        <w:t>What it measures.</w:t>
      </w:r>
      <w:r>
        <w:rPr>
          <w:sz w:val="26"/>
        </w:rPr>
        <w:t xml:space="preserve"> A single, organization-wide reading of where the change effort stands as a whole — the “headline” state of the project, not any one person’s experience of it.</w:t>
      </w:r>
    </w:p>
    <w:p>
      <w:pPr>
        <w:pStyle w:val="BodyText"/>
        <w:rPr/>
      </w:pPr>
      <w:r>
        <w:rPr>
          <w:b/>
          <w:bCs/>
          <w:sz w:val="26"/>
        </w:rPr>
        <w:t>Why journi keeps a decades-old three-stage model at all.</w:t>
      </w:r>
      <w:r>
        <w:rPr>
          <w:sz w:val="26"/>
        </w:rPr>
        <w:t xml:space="preserve"> Lewin’s model (1947) predates every other framework in this document by decades, and it survives in journi for a specific reason: it is the one reading that compresses cleanly into a single word a Steering Committee member can hold in their head between meetings. ADKAR, Bridges, and Kübler-Ross are all deliberately granular — that granularity is their value at the working level, and their weakness at the boardroom level, where a five-block score sheet per cohort is more detail than a fifteen-minute governance update can use. Lewin’s job is not to be the most precise reading in the platform; it is to be the most </w:t>
      </w:r>
      <w:r>
        <w:rPr>
          <w:i/>
          <w:iCs/>
          <w:sz w:val="26"/>
        </w:rPr>
        <w:t>legible</w:t>
      </w:r>
      <w:r>
        <w:rPr>
          <w:sz w:val="26"/>
        </w:rPr>
        <w:t xml:space="preserve"> one.</w:t>
      </w:r>
    </w:p>
    <w:p>
      <w:pPr>
        <w:pStyle w:val="BodyText"/>
        <w:rPr/>
      </w:pPr>
      <w:r>
        <w:rPr>
          <w:b/>
          <w:bCs/>
          <w:sz w:val="26"/>
        </w:rPr>
        <w:t>The three stages, as journi implements them:</w:t>
      </w:r>
    </w:p>
    <w:p>
      <w:pPr>
        <w:pStyle w:val="Compact"/>
        <w:numPr>
          <w:ilvl w:val="0"/>
          <w:numId w:val="1"/>
        </w:numPr>
        <w:rPr/>
      </w:pPr>
      <w:r>
        <w:rPr>
          <w:b/>
          <w:bCs/>
          <w:sz w:val="26"/>
        </w:rPr>
        <w:t>Unfreeze.</w:t>
      </w:r>
      <w:r>
        <w:rPr>
          <w:sz w:val="26"/>
        </w:rPr>
        <w:t xml:space="preserve"> The organization has accepted that the current state is not sustainable and mobilized to change it. In practice this means a business case exists and has been approved, the people affected have been identified and mapped, and a baseline understanding of “why now” is established — not that anyone has started doing anything differently yet.</w:t>
      </w:r>
    </w:p>
    <w:p>
      <w:pPr>
        <w:pStyle w:val="Compact"/>
        <w:numPr>
          <w:ilvl w:val="0"/>
          <w:numId w:val="1"/>
        </w:numPr>
        <w:rPr/>
      </w:pPr>
      <w:r>
        <w:rPr>
          <w:b/>
          <w:bCs/>
          <w:sz w:val="26"/>
        </w:rPr>
        <w:t>Change.</w:t>
      </w:r>
      <w:r>
        <w:rPr>
          <w:sz w:val="26"/>
        </w:rPr>
        <w:t xml:space="preserve"> The organization is actively transitioning — new processes, systems, or structures are being built and adopted, and the evidence for this state is technical and behavioral progress happening in parallel, not a calendar date being reached.</w:t>
      </w:r>
    </w:p>
    <w:p>
      <w:pPr>
        <w:pStyle w:val="Compact"/>
        <w:numPr>
          <w:ilvl w:val="0"/>
          <w:numId w:val="1"/>
        </w:numPr>
        <w:rPr/>
      </w:pPr>
      <w:r>
        <w:rPr>
          <w:b/>
          <w:bCs/>
          <w:sz w:val="26"/>
        </w:rPr>
        <w:t>Refreeze.</w:t>
      </w:r>
      <w:r>
        <w:rPr>
          <w:sz w:val="26"/>
        </w:rPr>
        <w:t xml:space="preserve"> The new state has stabilized and become “how things are done here” rather than a project still in motion — support has tapered from elevated to standard, the new process shows up in ordinary performance management, and there is no longer a meaningful population still operating the old way.</w:t>
      </w:r>
    </w:p>
    <w:p>
      <w:pPr>
        <w:pStyle w:val="FirstParagraph"/>
        <w:rPr/>
      </w:pPr>
      <w:r>
        <w:rPr>
          <w:b/>
          <w:bCs/>
          <w:sz w:val="26"/>
        </w:rPr>
        <w:t>How it is logged in journi.</w:t>
      </w:r>
      <w:r>
        <w:rPr>
          <w:sz w:val="26"/>
        </w:rPr>
        <w:t xml:space="preserve"> A single field on M3 (Initiative Registry), set directly by the Change Manager from a fixed set of three values. There is no scoring, no sub-components, and no auto-advance: the CM selects the new stage and (when required) writes a justification naming the specific evidence behind the call. That justification is preserved permanently in the project’s change log alongside the old value, the new value, the date, and who made the call — so a Lewin reading is always auditable after the fact, not just a label that silently changed.</w:t>
      </w:r>
    </w:p>
    <w:p>
      <w:pPr>
        <w:pStyle w:val="BodyText"/>
        <w:rPr/>
      </w:pPr>
      <w:r>
        <w:rPr>
          <w:b/>
          <w:bCs/>
          <w:sz w:val="26"/>
        </w:rPr>
        <w:t>Why a single organizational reading, when ADKAR/Bridges/Kübler-Ross are all individual-level?</w:t>
      </w:r>
      <w:r>
        <w:rPr>
          <w:sz w:val="26"/>
        </w:rPr>
        <w:t xml:space="preserve"> Lewin is deliberately the one reading a Steering Committee can see at a glance without reading a cohort breakdown — the “is this program on track, broadly” signal. The individual-level frameworks exist precisely because a single organizational headline can look fine while specific cohorts are actually struggling; Part 2 covers exactly how that gap shows up and gets caught.</w:t>
      </w:r>
    </w:p>
    <w:p>
      <w:pPr>
        <w:pStyle w:val="BodyText"/>
        <w:rPr/>
      </w:pPr>
      <w:r>
        <w:rPr>
          <w:b/>
          <w:bCs/>
          <w:sz w:val="26"/>
        </w:rPr>
        <w:t>Common misapplications to avoid.</w:t>
      </w:r>
    </w:p>
    <w:p>
      <w:pPr>
        <w:pStyle w:val="Compact"/>
        <w:numPr>
          <w:ilvl w:val="0"/>
          <w:numId w:val="11"/>
        </w:numPr>
        <w:rPr/>
      </w:pPr>
      <w:r>
        <w:rPr>
          <w:sz w:val="26"/>
        </w:rPr>
        <w:t>Treating the three stages as equal-length or calendar-scheduled phases rather than evidence-gated states — Lewin has no built-in pacing, and a program that assumes “Unfreeze takes about a month” is substituting a calendar assumption for the actual signals in Part 3.2.</w:t>
      </w:r>
    </w:p>
    <w:p>
      <w:pPr>
        <w:pStyle w:val="Compact"/>
        <w:numPr>
          <w:ilvl w:val="0"/>
          <w:numId w:val="12"/>
        </w:numPr>
        <w:rPr/>
      </w:pPr>
      <w:r>
        <w:rPr>
          <w:sz w:val="26"/>
        </w:rPr>
        <w:t>Calling Refreeze from a technical go-live date rather than post-cutover emotional and behavioral evidence — Part 2.2 and 2.3 walk through exactly why this is the single most common way the Lewin reading goes wrong in practice.</w:t>
      </w:r>
    </w:p>
    <w:p>
      <w:pPr>
        <w:pStyle w:val="Compact"/>
        <w:numPr>
          <w:ilvl w:val="0"/>
          <w:numId w:val="13"/>
        </w:numPr>
        <w:rPr/>
      </w:pPr>
      <w:r>
        <w:rPr>
          <w:sz w:val="26"/>
        </w:rPr>
        <w:t>Reading Unfreeze as complete once a business case exists, without the stakeholder map and named sponsor also being in place — Part 3.2’s Must-Have signals require all three together, and a program that jumps to Change on the business case alone is missing two-thirds of the evidence bar.</w:t>
      </w:r>
    </w:p>
    <w:p>
      <w:pPr>
        <w:pStyle w:val="FirstParagraph"/>
        <w:rPr/>
      </w:pPr>
      <w:r>
        <w:rPr>
          <w:b/>
          <w:bCs/>
          <w:sz w:val="26"/>
        </w:rPr>
        <w:t>Where this reading can legitimately break down.</w:t>
      </w:r>
      <w:r>
        <w:rPr>
          <w:sz w:val="26"/>
        </w:rPr>
        <w:t xml:space="preserve"> Not every program gets an organic Unfreeze — a regulatory deadline or an urgent security requirement can force Lewin toward Change before the normal Unfreeze evidence exists. Part 2.5 and Part 3.7 cover this (Exception EXC-01, and the compressed-timeline case, EXC-07) in full, including exactly what compensates for the missing evidence rather than simply waiving the bar.</w:t>
      </w:r>
    </w:p>
    <w:p>
      <w:pPr>
        <w:pStyle w:val="BodyText"/>
        <w:rPr/>
      </w:pPr>
      <w:r>
        <w:rPr/>
      </w:r>
      <w:bookmarkStart w:id="8" w:name="lewins-change-management-model"/>
      <w:bookmarkStart w:id="9" w:name="lewins-change-management-model"/>
      <w:bookmarkEnd w:id="9"/>
    </w:p>
    <w:p>
      <w:pPr>
        <w:pStyle w:val="Heading3"/>
        <w:rPr/>
      </w:pPr>
      <w:bookmarkStart w:id="10" w:name="__RefHeading___Toc4856_1235152635"/>
      <w:bookmarkStart w:id="11" w:name="prosci-adkar-model"/>
      <w:bookmarkEnd w:id="10"/>
      <w:bookmarkEnd w:id="11"/>
      <w:r>
        <w:rPr>
          <w:b/>
          <w:color w:val="3F827B"/>
          <w:sz w:val="29"/>
        </w:rPr>
        <w:t>1.2 Prosci ADKAR Model</w:t>
      </w:r>
    </w:p>
    <w:p>
      <w:pPr>
        <w:pStyle w:val="FirstParagraph"/>
        <w:rPr/>
      </w:pPr>
      <w:r>
        <w:rPr>
          <w:b/>
          <w:bCs/>
          <w:sz w:val="26"/>
        </w:rPr>
        <w:t>What it measures.</w:t>
      </w:r>
      <w:r>
        <w:rPr>
          <w:sz w:val="26"/>
        </w:rPr>
        <w:t xml:space="preserve"> Five independently-scored blocks, each a distinct precondition for an individual (or cohort) to actually change, on a 1–5 scale:</w:t>
      </w:r>
    </w:p>
    <w:p>
      <w:pPr>
        <w:pStyle w:val="Compact"/>
        <w:numPr>
          <w:ilvl w:val="0"/>
          <w:numId w:val="14"/>
        </w:numPr>
        <w:rPr/>
      </w:pPr>
      <w:r>
        <w:rPr>
          <w:b/>
          <w:bCs/>
          <w:sz w:val="26"/>
        </w:rPr>
        <w:t>Awareness</w:t>
      </w:r>
      <w:r>
        <w:rPr>
          <w:sz w:val="26"/>
        </w:rPr>
        <w:t xml:space="preserve"> — does the person understand why the change is happening?</w:t>
      </w:r>
    </w:p>
    <w:p>
      <w:pPr>
        <w:pStyle w:val="Compact"/>
        <w:numPr>
          <w:ilvl w:val="0"/>
          <w:numId w:val="15"/>
        </w:numPr>
        <w:rPr/>
      </w:pPr>
      <w:r>
        <w:rPr>
          <w:b/>
          <w:bCs/>
          <w:sz w:val="26"/>
        </w:rPr>
        <w:t>Desire</w:t>
      </w:r>
      <w:r>
        <w:rPr>
          <w:sz w:val="26"/>
        </w:rPr>
        <w:t xml:space="preserve"> — do they personally want to participate and support it?</w:t>
      </w:r>
    </w:p>
    <w:p>
      <w:pPr>
        <w:pStyle w:val="Compact"/>
        <w:numPr>
          <w:ilvl w:val="0"/>
          <w:numId w:val="16"/>
        </w:numPr>
        <w:rPr/>
      </w:pPr>
      <w:r>
        <w:rPr>
          <w:b/>
          <w:bCs/>
          <w:sz w:val="26"/>
        </w:rPr>
        <w:t>Knowledge</w:t>
      </w:r>
      <w:r>
        <w:rPr>
          <w:sz w:val="26"/>
        </w:rPr>
        <w:t xml:space="preserve"> — do they know how to change (the training, the new process)?</w:t>
      </w:r>
    </w:p>
    <w:p>
      <w:pPr>
        <w:pStyle w:val="Compact"/>
        <w:numPr>
          <w:ilvl w:val="0"/>
          <w:numId w:val="17"/>
        </w:numPr>
        <w:rPr/>
      </w:pPr>
      <w:r>
        <w:rPr>
          <w:b/>
          <w:bCs/>
          <w:sz w:val="26"/>
        </w:rPr>
        <w:t>Ability</w:t>
      </w:r>
      <w:r>
        <w:rPr>
          <w:sz w:val="26"/>
        </w:rPr>
        <w:t xml:space="preserve"> — can they actually demonstrate the new skills or behaviors in practice, not just describe them?</w:t>
      </w:r>
    </w:p>
    <w:p>
      <w:pPr>
        <w:pStyle w:val="Compact"/>
        <w:numPr>
          <w:ilvl w:val="0"/>
          <w:numId w:val="18"/>
        </w:numPr>
        <w:rPr/>
      </w:pPr>
      <w:r>
        <w:rPr>
          <w:b/>
          <w:bCs/>
          <w:sz w:val="26"/>
        </w:rPr>
        <w:t>Reinforcement</w:t>
      </w:r>
      <w:r>
        <w:rPr>
          <w:sz w:val="26"/>
        </w:rPr>
        <w:t xml:space="preserve"> — are there mechanisms in place (recognition, corrected metrics, manager check-ins) that make the new way stick rather than erode back to the old one?</w:t>
      </w:r>
    </w:p>
    <w:p>
      <w:pPr>
        <w:pStyle w:val="FirstParagraph"/>
        <w:rPr/>
      </w:pPr>
      <w:r>
        <w:rPr>
          <w:b/>
          <w:bCs/>
          <w:sz w:val="26"/>
        </w:rPr>
        <w:t>Why five separate blocks instead of one score.</w:t>
      </w:r>
      <w:r>
        <w:rPr>
          <w:sz w:val="26"/>
        </w:rPr>
        <w:t xml:space="preserve"> ADKAR’s whole premise is that these five are independent barriers, not stages of the same thing — a cohort can be high on Awareness and Desire while stuck on Knowledge (they want to change but haven’t been trained yet), or high on Knowledge and Ability while low on Desire (they know how, but don’t want to). Averaging them into one number would erase exactly the diagnostic information ADKAR exists to surface, which is why journi scores and displays all five independently rather than collapsing them (the </w:t>
      </w:r>
      <w:r>
        <w:rPr>
          <w:i/>
          <w:iCs/>
          <w:sz w:val="26"/>
        </w:rPr>
        <w:t>average</w:t>
      </w:r>
      <w:r>
        <w:rPr>
          <w:sz w:val="26"/>
        </w:rPr>
        <w:t xml:space="preserve"> is still computed, but only as one input to the Composite Readiness Index in Part 4 — never as the primary way ADKAR itself is read).</w:t>
      </w:r>
    </w:p>
    <w:p>
      <w:pPr>
        <w:pStyle w:val="BodyText"/>
        <w:rPr/>
      </w:pPr>
      <w:r>
        <w:rPr>
          <w:b/>
          <w:bCs/>
          <w:sz w:val="26"/>
        </w:rPr>
        <w:t>A worked scoring example.</w:t>
      </w:r>
      <w:r>
        <w:rPr>
          <w:sz w:val="26"/>
        </w:rPr>
        <w:t xml:space="preserve"> A plant-floor cohort scores Awareness 4, Desire 2, Knowledge 4, Ability 3, Reinforcement 2. Read as a single average (3.0), this looks like an unremarkable, middling cohort. Read block by block, it is not: Awareness and Knowledge are healthy, which rules out “they don’t understand what’s happening” or “they haven’t been trained” as explanations for slow adoption. Desire at 2 is the block that actually explains this cohort’s behavior — they understand the change and know how to do it, and are choosing not to fully engage anyway. The correct intervention targets Desire specifically (a listening session to surface what’s actually driving the resistance — often something adjacent to the change itself, like a role-security concern), not a second training pass, which would address a barrier this cohort doesn’t have.</w:t>
      </w:r>
    </w:p>
    <w:p>
      <w:pPr>
        <w:pStyle w:val="BodyText"/>
        <w:rPr/>
      </w:pPr>
      <w:r>
        <w:rPr>
          <w:b/>
          <w:bCs/>
          <w:sz w:val="26"/>
        </w:rPr>
        <w:t>How it is logged in journi.</w:t>
      </w:r>
      <w:r>
        <w:rPr>
          <w:sz w:val="26"/>
        </w:rPr>
        <w:t xml:space="preserve"> Each of the five blocks is scored 1–5 per cohort on M5 (ADKAR Engine), with a barrier-reason note. </w:t>
      </w:r>
      <w:r>
        <w:rPr>
          <w:b/>
          <w:bCs/>
          <w:sz w:val="26"/>
        </w:rPr>
        <w:t>A score of 2 or below on any block auto-escalates</w:t>
      </w:r>
      <w:r>
        <w:rPr>
          <w:sz w:val="26"/>
        </w:rPr>
        <w:t xml:space="preserve"> — journi flags it for the Change Manager without waiting for a human to notice, and (per journi’s governance rule) the barrier-reason note becomes mandatory at that point, not optional, so the record captures </w:t>
      </w:r>
      <w:r>
        <w:rPr>
          <w:i/>
          <w:iCs/>
          <w:sz w:val="26"/>
        </w:rPr>
        <w:t>why</w:t>
      </w:r>
      <w:r>
        <w:rPr>
          <w:sz w:val="26"/>
        </w:rPr>
        <w:t xml:space="preserve"> the block stalled, not just that it did.</w:t>
      </w:r>
    </w:p>
    <w:p>
      <w:pPr>
        <w:pStyle w:val="BodyText"/>
        <w:rPr/>
      </w:pPr>
      <w:r>
        <w:rPr>
          <w:b/>
          <w:bCs/>
          <w:sz w:val="26"/>
        </w:rPr>
        <w:t>Re-scoring.</w:t>
      </w:r>
      <w:r>
        <w:rPr>
          <w:sz w:val="26"/>
        </w:rPr>
        <w:t xml:space="preserve"> ADKAR blocks are re-scored as evidence changes — after a training wave, after a targeted intervention, at a phase gate — and every re-score preserves the prior score, so a block’s trajectory over the life of the project is always visible, not just its current reading.</w:t>
      </w:r>
    </w:p>
    <w:p>
      <w:pPr>
        <w:pStyle w:val="BodyText"/>
        <w:rPr/>
      </w:pPr>
      <w:r>
        <w:rPr>
          <w:b/>
          <w:bCs/>
          <w:sz w:val="26"/>
        </w:rPr>
        <w:t>Common misapplications to avoid.</w:t>
      </w:r>
    </w:p>
    <w:p>
      <w:pPr>
        <w:pStyle w:val="Compact"/>
        <w:numPr>
          <w:ilvl w:val="0"/>
          <w:numId w:val="19"/>
        </w:numPr>
        <w:rPr/>
      </w:pPr>
      <w:r>
        <w:rPr>
          <w:sz w:val="26"/>
        </w:rPr>
        <w:t>Averaging the five blocks and only ever reading the average — this recreates the exact diagnostic loss the model exists to prevent. The Composite Readiness Index (Part 4.1) does average ADKAR, but only as one input among three, and never as a substitute for the five-block view a Change Manager should actually be working from day to day.</w:t>
      </w:r>
    </w:p>
    <w:p>
      <w:pPr>
        <w:pStyle w:val="Compact"/>
        <w:numPr>
          <w:ilvl w:val="0"/>
          <w:numId w:val="20"/>
        </w:numPr>
        <w:rPr/>
      </w:pPr>
      <w:r>
        <w:rPr>
          <w:sz w:val="26"/>
        </w:rPr>
        <w:t>Treating a score of 3 as uniformly “fine” everywhere it appears, without checking trend direction — a block that has been flat at 3 for three consecutive readings tells a different story than one that just climbed from 1 to 3, even though the current score is identical.</w:t>
      </w:r>
    </w:p>
    <w:p>
      <w:pPr>
        <w:pStyle w:val="Compact"/>
        <w:numPr>
          <w:ilvl w:val="0"/>
          <w:numId w:val="21"/>
        </w:numPr>
        <w:rPr/>
      </w:pPr>
      <w:r>
        <w:rPr>
          <w:sz w:val="26"/>
        </w:rPr>
        <w:t>Scoring at the organizational level instead of per-cohort — this hides exactly the unevenness Part 2.3’s worked example describes as normal between a headquarters function and a plant-floor cohort several communication layers removed.</w:t>
      </w:r>
    </w:p>
    <w:p>
      <w:pPr>
        <w:pStyle w:val="FirstParagraph"/>
        <w:rPr/>
      </w:pPr>
      <w:r>
        <w:rPr>
          <w:b/>
          <w:bCs/>
          <w:sz w:val="26"/>
        </w:rPr>
        <w:t>Where this reading can legitimately break down.</w:t>
      </w:r>
      <w:r>
        <w:rPr>
          <w:sz w:val="26"/>
        </w:rPr>
        <w:t xml:space="preserve"> When a cohort is mid-transition on a prior, unrelated initiative at the same time as this one, a stalled score cannot always be attributed to this program’s own barriers with confidence (Exception EXC-04, Part 2.5/3.7). And with a very small cohort — a five-person executive team, for instance — “trend across two readings” is statistically thin evidence in a way it isn’t for a 200-person plant floor (Exception EXC-06).</w:t>
      </w:r>
    </w:p>
    <w:p>
      <w:pPr>
        <w:pStyle w:val="BodyText"/>
        <w:rPr/>
      </w:pPr>
      <w:r>
        <w:rPr/>
      </w:r>
      <w:bookmarkStart w:id="12" w:name="prosci-adkar-model"/>
      <w:bookmarkStart w:id="13" w:name="prosci-adkar-model"/>
      <w:bookmarkEnd w:id="13"/>
    </w:p>
    <w:p>
      <w:pPr>
        <w:pStyle w:val="Heading3"/>
        <w:rPr/>
      </w:pPr>
      <w:bookmarkStart w:id="14" w:name="__RefHeading___Toc4858_1235152635"/>
      <w:bookmarkStart w:id="15" w:name="bridges-transition-model"/>
      <w:bookmarkEnd w:id="14"/>
      <w:bookmarkEnd w:id="15"/>
      <w:r>
        <w:rPr>
          <w:b/>
          <w:color w:val="3F827B"/>
          <w:sz w:val="29"/>
        </w:rPr>
        <w:t>1.3 Bridges’ Transition Model</w:t>
      </w:r>
    </w:p>
    <w:p>
      <w:pPr>
        <w:pStyle w:val="FirstParagraph"/>
        <w:rPr/>
      </w:pPr>
      <w:r>
        <w:rPr>
          <w:b/>
          <w:bCs/>
          <w:sz w:val="26"/>
        </w:rPr>
        <w:t>What it measures.</w:t>
      </w:r>
      <w:r>
        <w:rPr>
          <w:sz w:val="26"/>
        </w:rPr>
        <w:t xml:space="preserve"> An individual’s or cohort’s emotional position in the transition, independent of whether they are technically capable of the new way of working. This is the framework that answers “have they actually let go,” which a skills assessment cannot answer on its own.</w:t>
      </w:r>
    </w:p>
    <w:p>
      <w:pPr>
        <w:pStyle w:val="BodyText"/>
        <w:rPr/>
      </w:pPr>
      <w:r>
        <w:rPr>
          <w:b/>
          <w:bCs/>
          <w:sz w:val="26"/>
        </w:rPr>
        <w:t>The three zones, as journi implements them:</w:t>
      </w:r>
    </w:p>
    <w:p>
      <w:pPr>
        <w:pStyle w:val="Compact"/>
        <w:numPr>
          <w:ilvl w:val="0"/>
          <w:numId w:val="22"/>
        </w:numPr>
        <w:rPr/>
      </w:pPr>
      <w:r>
        <w:rPr>
          <w:b/>
          <w:bCs/>
          <w:sz w:val="26"/>
        </w:rPr>
        <w:t>Ending</w:t>
      </w:r>
      <w:r>
        <w:rPr>
          <w:sz w:val="26"/>
        </w:rPr>
        <w:t xml:space="preserve"> — the person is still holding onto (or grieving) what is being replaced: the old system, the old role definition, the old way of being competent at their job.</w:t>
      </w:r>
    </w:p>
    <w:p>
      <w:pPr>
        <w:pStyle w:val="Compact"/>
        <w:numPr>
          <w:ilvl w:val="0"/>
          <w:numId w:val="23"/>
        </w:numPr>
        <w:rPr/>
      </w:pPr>
      <w:r>
        <w:rPr>
          <w:b/>
          <w:bCs/>
          <w:sz w:val="26"/>
        </w:rPr>
        <w:t>Neutral Zone</w:t>
      </w:r>
      <w:r>
        <w:rPr>
          <w:sz w:val="26"/>
        </w:rPr>
        <w:t xml:space="preserve"> — the old way is gone or going, the new way isn’t fully internalized yet; this is the disorienting middle, often the longest and least comfortable zone, and not a sign that something has gone wrong.</w:t>
      </w:r>
    </w:p>
    <w:p>
      <w:pPr>
        <w:pStyle w:val="Compact"/>
        <w:numPr>
          <w:ilvl w:val="0"/>
          <w:numId w:val="24"/>
        </w:numPr>
        <w:rPr/>
      </w:pPr>
      <w:r>
        <w:rPr>
          <w:b/>
          <w:bCs/>
          <w:sz w:val="26"/>
        </w:rPr>
        <w:t>New Beginning</w:t>
      </w:r>
      <w:r>
        <w:rPr>
          <w:sz w:val="26"/>
        </w:rPr>
        <w:t xml:space="preserve"> — the person has genuinely taken up the new identity/way of working as their own, not merely complied with it.</w:t>
      </w:r>
    </w:p>
    <w:p>
      <w:pPr>
        <w:pStyle w:val="FirstParagraph"/>
        <w:rPr/>
      </w:pPr>
      <w:r>
        <w:rPr>
          <w:b/>
          <w:bCs/>
          <w:sz w:val="26"/>
        </w:rPr>
        <w:t>How it is logged in journi.</w:t>
      </w:r>
      <w:r>
        <w:rPr>
          <w:sz w:val="26"/>
        </w:rPr>
        <w:t xml:space="preserve"> A single field on M6 (Emotional &amp; Transition Layer), set directly by the Change Manager from the three zones above, with a notes field capturing what’s actually being observed (e.g. “Finance team entering Neutral Zone; shop floor still in Ending”) and — when required — a justification before the change is saved.</w:t>
      </w:r>
    </w:p>
    <w:p>
      <w:pPr>
        <w:pStyle w:val="BodyText"/>
        <w:rPr/>
      </w:pPr>
      <w:r>
        <w:rPr>
          <w:b/>
          <w:bCs/>
          <w:sz w:val="26"/>
        </w:rPr>
        <w:t>Why this matters alongside ADKAR.</w:t>
      </w:r>
      <w:r>
        <w:rPr>
          <w:sz w:val="26"/>
        </w:rPr>
        <w:t xml:space="preserve"> A cohort can score high on ADKAR’s Knowledge and Ability blocks — they can demonstrably operate the new system — while Bridges still reads Ending, because technical competence and emotional letting-go are genuinely different things. This specific combination is common enough, and important enough to catch, that journi computes it automatically as the Divergence Pattern (Part 2.4 and Part 4.2) rather than relying on a Change Manager to notice the mismatch unaided.</w:t>
      </w:r>
    </w:p>
    <w:p>
      <w:pPr>
        <w:pStyle w:val="BodyText"/>
        <w:rPr/>
      </w:pPr>
      <w:r>
        <w:rPr>
          <w:b/>
          <w:bCs/>
          <w:sz w:val="26"/>
        </w:rPr>
        <w:t>Distinguishing genuine Ending from things that only look like it.</w:t>
      </w:r>
      <w:r>
        <w:rPr>
          <w:sz w:val="26"/>
        </w:rPr>
        <w:t xml:space="preserve"> Quiet disengagement, generic workplace stress unrelated to this specific change, and grief tied to something else entirely (a concurrent restructuring, a personal circumstance) can all superficially resemble Bridges’ Ending if the notes field isn’t specific about what is actually being observed. This is exactly why SIG-BRG-E1 (Part 3.4) requires the notes field to name the specific thing being let go of — a role, a system, a way of working — rather than accepting a generic “resistance is present” as sufficient evidence for the reading.</w:t>
      </w:r>
    </w:p>
    <w:p>
      <w:pPr>
        <w:pStyle w:val="BodyText"/>
        <w:rPr/>
      </w:pPr>
      <w:r>
        <w:rPr>
          <w:b/>
          <w:bCs/>
          <w:sz w:val="26"/>
        </w:rPr>
        <w:t>Common misapplications to avoid.</w:t>
      </w:r>
    </w:p>
    <w:p>
      <w:pPr>
        <w:pStyle w:val="Compact"/>
        <w:numPr>
          <w:ilvl w:val="0"/>
          <w:numId w:val="25"/>
        </w:numPr>
        <w:rPr/>
      </w:pPr>
      <w:r>
        <w:rPr>
          <w:sz w:val="26"/>
        </w:rPr>
        <w:t>Marking a cohort New Beginning based on compliance — they are using the new system because they are required to — rather than voluntary advocacy, which is the actual signal (SIG-BRG-B1) the state requires.</w:t>
      </w:r>
    </w:p>
    <w:p>
      <w:pPr>
        <w:pStyle w:val="Compact"/>
        <w:numPr>
          <w:ilvl w:val="0"/>
          <w:numId w:val="26"/>
        </w:numPr>
        <w:rPr/>
      </w:pPr>
      <w:r>
        <w:rPr>
          <w:sz w:val="26"/>
        </w:rPr>
        <w:t>Assuming silence means arrival rather than checking directly — an unengaged cohort produces no data, and no data is not evidence of New Beginning, it is an absence of evidence that needs to be resolved before any state is claimed.</w:t>
      </w:r>
    </w:p>
    <w:p>
      <w:pPr>
        <w:pStyle w:val="Compact"/>
        <w:numPr>
          <w:ilvl w:val="0"/>
          <w:numId w:val="27"/>
        </w:numPr>
        <w:rPr/>
      </w:pPr>
      <w:r>
        <w:rPr>
          <w:sz w:val="26"/>
        </w:rPr>
        <w:t>Moving a cohort past Ending purely because time has passed, rather than because a specific triggering event occurred — SIG-BRG-N1 requires naming what actually moved the cohort, not inferring it from a calendar.</w:t>
      </w:r>
    </w:p>
    <w:p>
      <w:pPr>
        <w:pStyle w:val="FirstParagraph"/>
        <w:rPr/>
      </w:pPr>
      <w:r>
        <w:rPr>
          <w:b/>
          <w:bCs/>
          <w:sz w:val="26"/>
        </w:rPr>
        <w:t>Where this reading can legitimately break down.</w:t>
      </w:r>
      <w:r>
        <w:rPr>
          <w:sz w:val="26"/>
        </w:rPr>
        <w:t xml:space="preserve"> When a restructuring or reduction-in-force is running concurrently with the change, an Ending reading can genuinely be about job security rather than the process or system being replaced, and the two are easy to conflate if the notes field isn’t specific (Exception EXC-03). And when a deliberate parallel-run period keeps the legacy system available as a working fallback, a cohort can remain in Neutral Zone indefinitely with no way to reach New Beginning until that fallback is actually retired (Exception EXC-02). Both are covered in Part 2.5 and Part 3.7.</w:t>
      </w:r>
    </w:p>
    <w:p>
      <w:pPr>
        <w:pStyle w:val="BodyText"/>
        <w:rPr/>
      </w:pPr>
      <w:r>
        <w:rPr/>
      </w:r>
      <w:bookmarkStart w:id="16" w:name="bridges-transition-model"/>
      <w:bookmarkStart w:id="17" w:name="bridges-transition-model"/>
      <w:bookmarkEnd w:id="17"/>
    </w:p>
    <w:p>
      <w:pPr>
        <w:pStyle w:val="Heading3"/>
        <w:rPr/>
      </w:pPr>
      <w:bookmarkStart w:id="18" w:name="__RefHeading___Toc4860_1235152635"/>
      <w:bookmarkStart w:id="19" w:name="kübler-ross-change-curve"/>
      <w:bookmarkEnd w:id="18"/>
      <w:bookmarkEnd w:id="19"/>
      <w:r>
        <w:rPr>
          <w:b/>
          <w:color w:val="3F827B"/>
          <w:sz w:val="29"/>
        </w:rPr>
        <w:t>1.4 Kübler-Ross Change Curve</w:t>
      </w:r>
    </w:p>
    <w:p>
      <w:pPr>
        <w:pStyle w:val="FirstParagraph"/>
        <w:rPr/>
      </w:pPr>
      <w:r>
        <w:rPr>
          <w:b/>
          <w:bCs/>
          <w:sz w:val="26"/>
        </w:rPr>
        <w:t>A fidelity note before anything else:</w:t>
      </w:r>
      <w:r>
        <w:rPr>
          <w:sz w:val="26"/>
        </w:rPr>
        <w:t xml:space="preserve"> the textbook Kübler-Ross model (adapted from grief theory) has seven stages. </w:t>
      </w:r>
      <w:r>
        <w:rPr>
          <w:b/>
          <w:bCs/>
          <w:sz w:val="26"/>
        </w:rPr>
        <w:t>journi implements a deliberately simplified four-stage reading</w:t>
      </w:r>
      <w:r>
        <w:rPr>
          <w:sz w:val="26"/>
        </w:rPr>
        <w:t xml:space="preserve"> — Denial, Resistance/Anger, Exploration, Commitment — collapsing Bargaining and Depression into the broader Resistance/Anger stage and treating Acceptance and Commitment as the same terminal state. This is a genuine design simplification, not an oversight, and this document states it plainly so a reader comparing journi to the source model isn’t caught by an unstated gap.</w:t>
      </w:r>
    </w:p>
    <w:p>
      <w:pPr>
        <w:pStyle w:val="BodyText"/>
        <w:rPr/>
      </w:pPr>
      <w:r>
        <w:rPr>
          <w:b/>
          <w:bCs/>
          <w:sz w:val="26"/>
        </w:rPr>
        <w:t>The four stages, as journi implements them:</w:t>
      </w:r>
    </w:p>
    <w:p>
      <w:pPr>
        <w:pStyle w:val="Compact"/>
        <w:numPr>
          <w:ilvl w:val="0"/>
          <w:numId w:val="28"/>
        </w:numPr>
        <w:rPr/>
      </w:pPr>
      <w:r>
        <w:rPr>
          <w:b/>
          <w:bCs/>
          <w:sz w:val="26"/>
        </w:rPr>
        <w:t>Denial</w:t>
      </w:r>
      <w:r>
        <w:rPr>
          <w:sz w:val="26"/>
        </w:rPr>
        <w:t xml:space="preserve"> — “this isn’t really happening” or “this won’t affect me/my team specifically.”</w:t>
      </w:r>
    </w:p>
    <w:p>
      <w:pPr>
        <w:pStyle w:val="Compact"/>
        <w:numPr>
          <w:ilvl w:val="0"/>
          <w:numId w:val="29"/>
        </w:numPr>
        <w:rPr/>
      </w:pPr>
      <w:r>
        <w:rPr>
          <w:b/>
          <w:bCs/>
          <w:sz w:val="26"/>
        </w:rPr>
        <w:t>Resistance/Anger</w:t>
      </w:r>
      <w:r>
        <w:rPr>
          <w:sz w:val="26"/>
        </w:rPr>
        <w:t xml:space="preserve"> — active pushback, frustration, or grief made visible — the person has stopped denying the change is real and is now reacting to it.</w:t>
      </w:r>
    </w:p>
    <w:p>
      <w:pPr>
        <w:pStyle w:val="Compact"/>
        <w:numPr>
          <w:ilvl w:val="0"/>
          <w:numId w:val="30"/>
        </w:numPr>
        <w:rPr/>
      </w:pPr>
      <w:r>
        <w:rPr>
          <w:b/>
          <w:bCs/>
          <w:sz w:val="26"/>
        </w:rPr>
        <w:t>Exploration</w:t>
      </w:r>
      <w:r>
        <w:rPr>
          <w:sz w:val="26"/>
        </w:rPr>
        <w:t xml:space="preserve"> — testing the new way, asking questions, trying things out — no longer resisting, not yet fully committed.</w:t>
      </w:r>
    </w:p>
    <w:p>
      <w:pPr>
        <w:pStyle w:val="Compact"/>
        <w:numPr>
          <w:ilvl w:val="0"/>
          <w:numId w:val="31"/>
        </w:numPr>
        <w:rPr/>
      </w:pPr>
      <w:r>
        <w:rPr>
          <w:b/>
          <w:bCs/>
          <w:sz w:val="26"/>
        </w:rPr>
        <w:t>Commitment</w:t>
      </w:r>
      <w:r>
        <w:rPr>
          <w:sz w:val="26"/>
        </w:rPr>
        <w:t xml:space="preserve"> — genuine, durable buy-in — the person advocates for the change rather than merely tolerating it.</w:t>
      </w:r>
    </w:p>
    <w:p>
      <w:pPr>
        <w:pStyle w:val="FirstParagraph"/>
        <w:rPr/>
      </w:pPr>
      <w:r>
        <w:rPr>
          <w:b/>
          <w:bCs/>
          <w:sz w:val="26"/>
        </w:rPr>
        <w:t>Reading the four stages as texture, not just labels.</w:t>
      </w:r>
      <w:r>
        <w:rPr>
          <w:sz w:val="26"/>
        </w:rPr>
        <w:t xml:space="preserve"> Each stage has a characteristic voice, and Change Managers who log verbatim quotes rather than paraphrased summaries tend to make more defensible calls. Denial sounds like “this always gets cancelled” or “it won’t really change how I work.” Resistance/Anger sounds like specific, named objections — “this adds two steps to something that used to take one” — not vague unhappiness. Exploration sounds like operational questions — “how do I handle the exception case” rather than “why are we doing this.” Commitment sounds like unprompted advocacy to a peer, not just an absence of complaints. A useful discipline: </w:t>
      </w:r>
      <w:r>
        <w:rPr>
          <w:b/>
          <w:bCs/>
          <w:sz w:val="26"/>
        </w:rPr>
        <w:t>Resistance/Anger is a sign of progress, not just a problem to suppress</w:t>
      </w:r>
      <w:r>
        <w:rPr>
          <w:sz w:val="26"/>
        </w:rPr>
        <w:t xml:space="preserve"> — it means the person has stopped denying the change is real and started actually engaging with it, even if that engagement is currently negative.</w:t>
      </w:r>
    </w:p>
    <w:p>
      <w:pPr>
        <w:pStyle w:val="BodyText"/>
        <w:rPr/>
      </w:pPr>
      <w:r>
        <w:rPr>
          <w:b/>
          <w:bCs/>
          <w:sz w:val="26"/>
        </w:rPr>
        <w:t>How it is logged in journi.</w:t>
      </w:r>
      <w:r>
        <w:rPr>
          <w:sz w:val="26"/>
        </w:rPr>
        <w:t xml:space="preserve"> A single field on M6 (Emotional &amp; Transition Layer), set directly from the four stages above via the same pattern as Bridges — a Change Manager’s explicit call, with a notes field and, when required, a justification.</w:t>
      </w:r>
    </w:p>
    <w:p>
      <w:pPr>
        <w:pStyle w:val="BodyText"/>
        <w:rPr/>
      </w:pPr>
      <w:r>
        <w:rPr>
          <w:b/>
          <w:bCs/>
          <w:sz w:val="26"/>
        </w:rPr>
        <w:t>A distinct, narrower helper worth knowing about.</w:t>
      </w:r>
      <w:r>
        <w:rPr>
          <w:sz w:val="26"/>
        </w:rPr>
        <w:t xml:space="preserve"> journi also contains a small internal function that infers a likely Kübler-Ross stage from the free-text notes field by keyword match (looking for words like “commitment,” “exploration,” “denial,” “resistance,” or “anger” in what the Change Manager typed) and defaults to Exploration if none of those words appear. </w:t>
      </w:r>
      <w:r>
        <w:rPr>
          <w:b/>
          <w:bCs/>
          <w:sz w:val="26"/>
        </w:rPr>
        <w:t>This inference is not what sets the stage a project actually carries</w:t>
      </w:r>
      <w:r>
        <w:rPr>
          <w:sz w:val="26"/>
        </w:rPr>
        <w:t xml:space="preserve"> — the stage itself is always the CM’s direct button selection. The inference exists only as one input to the Composite Readiness Index’s sentiment component, and Part 4.7 documents exactly how it behaves, including the specific case where it can silently default to a mid-range reading if the justification note happens not to contain a matching keyword.</w:t>
      </w:r>
    </w:p>
    <w:p>
      <w:pPr>
        <w:pStyle w:val="BodyText"/>
        <w:rPr/>
      </w:pPr>
      <w:r>
        <w:rPr>
          <w:b/>
          <w:bCs/>
          <w:sz w:val="26"/>
        </w:rPr>
        <w:t>Common misapplications to avoid.</w:t>
      </w:r>
    </w:p>
    <w:p>
      <w:pPr>
        <w:pStyle w:val="Compact"/>
        <w:numPr>
          <w:ilvl w:val="0"/>
          <w:numId w:val="32"/>
        </w:numPr>
        <w:rPr/>
      </w:pPr>
      <w:r>
        <w:rPr>
          <w:sz w:val="26"/>
        </w:rPr>
        <w:t xml:space="preserve">Treating Resistance/Anger as purely negative and something to make disappear as fast as possible, rather than as a stage the person needs to move </w:t>
      </w:r>
      <w:r>
        <w:rPr>
          <w:i/>
          <w:iCs/>
          <w:sz w:val="26"/>
        </w:rPr>
        <w:t>through</w:t>
      </w:r>
      <w:r>
        <w:rPr>
          <w:sz w:val="26"/>
        </w:rPr>
        <w:t xml:space="preserve"> — suppressing visible resistance without addressing its driver typically produces quiet Denial again, not Exploration.</w:t>
      </w:r>
    </w:p>
    <w:p>
      <w:pPr>
        <w:pStyle w:val="Compact"/>
        <w:numPr>
          <w:ilvl w:val="0"/>
          <w:numId w:val="33"/>
        </w:numPr>
        <w:rPr/>
      </w:pPr>
      <w:r>
        <w:rPr>
          <w:sz w:val="26"/>
        </w:rPr>
        <w:t>Assuming Exploration, once reached, is stable — a defect, a reorg rumor, or an unrelated bad week can push a cohort back toward Resistance/Anger, and a single reading taken in isolation can miss that regression.</w:t>
      </w:r>
    </w:p>
    <w:p>
      <w:pPr>
        <w:pStyle w:val="Compact"/>
        <w:numPr>
          <w:ilvl w:val="0"/>
          <w:numId w:val="34"/>
        </w:numPr>
        <w:rPr/>
      </w:pPr>
      <w:r>
        <w:rPr>
          <w:sz w:val="26"/>
        </w:rPr>
        <w:t xml:space="preserve">Conflating an absence of complaints with Commitment — SIG-KR-C1 and C2 (Part 3.5) both require </w:t>
      </w:r>
      <w:r>
        <w:rPr>
          <w:i/>
          <w:iCs/>
          <w:sz w:val="26"/>
        </w:rPr>
        <w:t>positive, sustained, unprompted</w:t>
      </w:r>
      <w:r>
        <w:rPr>
          <w:sz w:val="26"/>
        </w:rPr>
        <w:t xml:space="preserve"> evidence, not merely the absence of negative evidence.</w:t>
      </w:r>
    </w:p>
    <w:p>
      <w:pPr>
        <w:pStyle w:val="FirstParagraph"/>
        <w:rPr/>
      </w:pPr>
      <w:r>
        <w:rPr>
          <w:b/>
          <w:bCs/>
          <w:sz w:val="26"/>
        </w:rPr>
        <w:t>Where this reading can legitimately break down.</w:t>
      </w:r>
      <w:r>
        <w:rPr>
          <w:sz w:val="26"/>
        </w:rPr>
        <w:t xml:space="preserve"> A cohort’s apparent Denial or flat cynicism can actually be fatigue from a prior, unrelated change rather than genuine denial of this one — serial change fatigue reads on the surface like Kübler-Ross’s first stage but responds to a different intervention entirely (Exception EXC-04). And where no engagement channel exists to observe sentiment at all, there is simply no reading to make, genuine or otherwise, until one is created (Exception EXC-05). Both are covered in Part 2.5 and Part 3.7.</w:t>
      </w:r>
    </w:p>
    <w:p>
      <w:pPr>
        <w:pStyle w:val="BodyText"/>
        <w:rPr/>
      </w:pPr>
      <w:r>
        <w:rPr/>
      </w:r>
      <w:bookmarkStart w:id="20" w:name="part-1-the-four-frameworks-in-detail"/>
      <w:bookmarkStart w:id="21" w:name="kübler-ross-change-curve"/>
      <w:bookmarkStart w:id="22" w:name="part-1-the-four-frameworks-in-detail"/>
      <w:bookmarkStart w:id="23" w:name="kübler-ross-change-curve"/>
      <w:bookmarkEnd w:id="22"/>
      <w:bookmarkEnd w:id="23"/>
    </w:p>
    <w:p>
      <w:pPr>
        <w:pStyle w:val="Heading2"/>
        <w:rPr/>
      </w:pPr>
      <w:bookmarkStart w:id="24" w:name="__RefHeading___Toc4862_1235152635"/>
      <w:bookmarkStart w:id="25" w:name="part-2-how-the-four-frameworks-interact"/>
      <w:bookmarkEnd w:id="24"/>
      <w:bookmarkEnd w:id="25"/>
      <w:r>
        <w:rPr>
          <w:b/>
          <w:color w:val="275650"/>
          <w:sz w:val="34"/>
        </w:rPr>
        <w:t>Part 2 — How the Four Frameworks Interact</w:t>
      </w:r>
    </w:p>
    <w:p>
      <w:pPr>
        <w:pStyle w:val="FirstParagraph"/>
        <w:rPr/>
      </w:pPr>
      <w:r>
        <w:rPr/>
      </w:r>
    </w:p>
    <w:p>
      <w:pPr>
        <w:pStyle w:val="Heading3"/>
        <w:rPr/>
      </w:pPr>
      <w:bookmarkStart w:id="26" w:name="__RefHeading___Toc4864_1235152635"/>
      <w:bookmarkStart w:id="27" w:name="three-altitudes-one-program"/>
      <w:bookmarkEnd w:id="26"/>
      <w:bookmarkEnd w:id="27"/>
      <w:r>
        <w:rPr>
          <w:b/>
          <w:color w:val="3F827B"/>
          <w:sz w:val="29"/>
        </w:rPr>
        <w:t>2.1 Three Altitudes, One Program</w:t>
      </w:r>
    </w:p>
    <w:p>
      <w:pPr>
        <w:pStyle w:val="FirstParagraph"/>
        <w:rPr/>
      </w:pPr>
      <w:r>
        <w:rPr>
          <w:sz w:val="26"/>
        </w:rPr>
        <w:t>The four frameworks are not four independent trackers running in parallel by coincidence — they read the same underlying transformation at three different altitudes, and a well-run program expects them to move at different speeds, not in lockstep:</w:t>
      </w:r>
    </w:p>
    <w:p>
      <w:pPr>
        <w:pStyle w:val="Compact"/>
        <w:numPr>
          <w:ilvl w:val="0"/>
          <w:numId w:val="35"/>
        </w:numPr>
        <w:rPr/>
      </w:pPr>
      <w:r>
        <w:rPr>
          <w:b/>
          <w:bCs/>
          <w:sz w:val="26"/>
        </w:rPr>
        <w:t>Lewin</w:t>
      </w:r>
      <w:r>
        <w:rPr>
          <w:sz w:val="26"/>
        </w:rPr>
        <w:t xml:space="preserve"> is the single organizational headline — the one reading a Steering Committee reads without wanting a cohort breakdown.</w:t>
      </w:r>
    </w:p>
    <w:p>
      <w:pPr>
        <w:pStyle w:val="Compact"/>
        <w:numPr>
          <w:ilvl w:val="0"/>
          <w:numId w:val="36"/>
        </w:numPr>
        <w:rPr/>
      </w:pPr>
      <w:r>
        <w:rPr>
          <w:b/>
          <w:bCs/>
          <w:sz w:val="26"/>
        </w:rPr>
        <w:t>ADKAR</w:t>
      </w:r>
      <w:r>
        <w:rPr>
          <w:sz w:val="26"/>
        </w:rPr>
        <w:t xml:space="preserve"> is where individual barriers actually surface, block by block, and where a stalled program usually shows its first hard evidence — not a vague sense that “adoption feels slow,” but a specific block, in a specific cohort, stalled at a specific score.</w:t>
      </w:r>
    </w:p>
    <w:p>
      <w:pPr>
        <w:pStyle w:val="Compact"/>
        <w:numPr>
          <w:ilvl w:val="0"/>
          <w:numId w:val="37"/>
        </w:numPr>
        <w:rPr/>
      </w:pPr>
      <w:r>
        <w:rPr>
          <w:b/>
          <w:bCs/>
          <w:sz w:val="26"/>
        </w:rPr>
        <w:t>Bridges and Kübler-Ross together</w:t>
      </w:r>
      <w:r>
        <w:rPr>
          <w:sz w:val="26"/>
        </w:rPr>
        <w:t xml:space="preserve"> track the emotional undercurrent beneath both of the above — undercurrent that a clean Lewin reading and a clean ADKAR score can both mask entirely, because neither framework asks “how does this actually feel to the people going through it.”</w:t>
      </w:r>
    </w:p>
    <w:p>
      <w:pPr>
        <w:pStyle w:val="FirstParagraph"/>
        <w:rPr/>
      </w:pPr>
      <w:r>
        <w:rPr>
          <w:sz w:val="26"/>
        </w:rPr>
        <w:t xml:space="preserve">A useful way to hold the three altitudes in mind: </w:t>
      </w:r>
      <w:r>
        <w:rPr>
          <w:b/>
          <w:bCs/>
          <w:sz w:val="26"/>
        </w:rPr>
        <w:t>Lewin is the view from the boardroom, ADKAR is the view from a training log, and Bridges/Kübler-Ross are the view from a 1:1 conversation.</w:t>
      </w:r>
      <w:r>
        <w:rPr>
          <w:sz w:val="26"/>
        </w:rPr>
        <w:t xml:space="preserve"> None of the three views is more “true” than the others — each shows something real that the other two structurally cannot show. A Change Manager who reads only one altitude is, by construction, blind to whatever the other two would reveal, which is exactly why journi tracks all three simultaneously rather than picking the one that is easiest to report.</w:t>
      </w:r>
    </w:p>
    <w:p>
      <w:pPr>
        <w:pStyle w:val="BodyText"/>
        <w:rPr/>
      </w:pPr>
      <w:r>
        <w:rPr>
          <w:sz w:val="26"/>
        </w:rPr>
        <w:t>A program can look healthy on Lewin and ADKAR while Bridges and Kübler-Ross are telling a different story — and that gap is not a data-quality problem to be cleaned up. It is the single most important thing a Change Manager is watching for, and it is precisely the gap the Divergence Pattern (2.4) exists to catch automatically rather than leave to be noticed by chance.</w:t>
      </w:r>
    </w:p>
    <w:p>
      <w:pPr>
        <w:pStyle w:val="BodyText"/>
        <w:rPr/>
      </w:pPr>
      <w:r>
        <w:rPr/>
      </w:r>
      <w:bookmarkStart w:id="28" w:name="three-altitudes-one-program"/>
      <w:bookmarkStart w:id="29" w:name="three-altitudes-one-program"/>
      <w:bookmarkEnd w:id="29"/>
    </w:p>
    <w:p>
      <w:pPr>
        <w:pStyle w:val="Heading3"/>
        <w:rPr/>
      </w:pPr>
      <w:bookmarkStart w:id="30" w:name="__RefHeading___Toc4866_1235152635"/>
      <w:bookmarkStart w:id="31" w:name="the-interaction-map"/>
      <w:bookmarkEnd w:id="30"/>
      <w:bookmarkEnd w:id="31"/>
      <w:r>
        <w:rPr>
          <w:b/>
          <w:color w:val="3F827B"/>
          <w:sz w:val="29"/>
        </w:rPr>
        <w:t>2.2 The Interaction Map</w:t>
      </w:r>
    </w:p>
    <w:p>
      <w:pPr>
        <w:pStyle w:val="FirstParagraph"/>
        <w:rPr/>
      </w:pPr>
      <w:r>
        <w:rPr>
          <w:sz w:val="26"/>
        </w:rPr>
        <w:t xml:space="preserve">The table below states, for each Lewin stage, what the other three frameworks typically read alongside it in a normally-progressing program — what each framework is actually </w:t>
      </w:r>
      <w:r>
        <w:rPr>
          <w:i/>
          <w:iCs/>
          <w:sz w:val="26"/>
        </w:rPr>
        <w:t>for</w:t>
      </w:r>
      <w:r>
        <w:rPr>
          <w:sz w:val="26"/>
        </w:rPr>
        <w:t xml:space="preserve"> at that point, since the four are not simply moving in parallel for no reason — and the specific, named way this stage most commonly goes wrong in practice.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840"/>
        <w:gridCol w:w="1262"/>
        <w:gridCol w:w="1156"/>
        <w:gridCol w:w="1367"/>
        <w:gridCol w:w="3153"/>
        <w:gridCol w:w="2733"/>
      </w:tblGrid>
      <w:tr>
        <w:trPr>
          <w:tblHeader w:val="true"/>
          <w:cantSplit w:val="true"/>
        </w:trPr>
        <w:tc>
          <w:tcPr>
            <w:tcW w:w="8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Lewin Stage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ADKAR Focus</w:t>
            </w:r>
          </w:p>
        </w:tc>
        <w:tc>
          <w:tcPr>
            <w:tcW w:w="11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Bridges Reading</w:t>
            </w:r>
          </w:p>
        </w:tc>
        <w:tc>
          <w:tcPr>
            <w:tcW w:w="136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Kübler-Ross Reading</w:t>
            </w:r>
          </w:p>
        </w:tc>
        <w:tc>
          <w:tcPr>
            <w:tcW w:w="31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What’s Actually Happening</w:t>
            </w:r>
          </w:p>
        </w:tc>
        <w:tc>
          <w:tcPr>
            <w:tcW w:w="273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Common Failure at This Stage</w:t>
            </w:r>
          </w:p>
        </w:tc>
      </w:tr>
      <w:tr>
        <w:trPr>
          <w:cantSplit w:val="true"/>
        </w:trPr>
        <w:tc>
          <w:tcPr>
            <w:tcW w:w="8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Unfreeze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Awareness building, moving toward Desire</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Ending</w:t>
            </w:r>
          </w:p>
        </w:tc>
        <w:tc>
          <w:tcPr>
            <w:tcW w:w="136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Denial → Resistance/Anger</w:t>
            </w:r>
          </w:p>
        </w:tc>
        <w:tc>
          <w:tcPr>
            <w:tcW w:w="31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organization is making the case for change; individuals are first hearing about it and beginning to react, not yet capable of anything new.</w:t>
            </w:r>
          </w:p>
        </w:tc>
        <w:tc>
          <w:tcPr>
            <w:tcW w:w="273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Calling Unfreeze complete on an approved business case alone, without the stakeholder map or named sponsor also in place (Part 3.2’s SIG-LEW-U1–U3 require all three together, not any one alone).</w:t>
            </w:r>
          </w:p>
        </w:tc>
      </w:tr>
      <w:tr>
        <w:trPr>
          <w:cantSplit w:val="true"/>
        </w:trPr>
        <w:tc>
          <w:tcPr>
            <w:tcW w:w="8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Knowledge building, moving toward Ability</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Ending → Neutral Zone</w:t>
            </w:r>
          </w:p>
        </w:tc>
        <w:tc>
          <w:tcPr>
            <w:tcW w:w="136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Resistance/Anger → Exploration</w:t>
            </w:r>
          </w:p>
        </w:tc>
        <w:tc>
          <w:tcPr>
            <w:tcW w:w="31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technical build and training are happening; people are starting to try the new way while still emotionally attached to the old one — this is where the gap between capability and readiness is widest and most consequential.</w:t>
            </w:r>
          </w:p>
        </w:tc>
        <w:tc>
          <w:tcPr>
            <w:tcW w:w="273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Reading early ADKAR Knowledge gains as full readiness while Bridges is still Ending — the capability-versus-readiness gap, and the most common point the Divergence Pattern actually fires (Part 2.4).</w:t>
            </w:r>
          </w:p>
        </w:tc>
      </w:tr>
      <w:tr>
        <w:trPr>
          <w:cantSplit w:val="true"/>
        </w:trPr>
        <w:tc>
          <w:tcPr>
            <w:tcW w:w="8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Refreeze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Ability solidifying into Reinforcement</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Neutral Zone → New Beginning</w:t>
            </w:r>
          </w:p>
        </w:tc>
        <w:tc>
          <w:tcPr>
            <w:tcW w:w="136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Exploration → Commitment</w:t>
            </w:r>
          </w:p>
        </w:tc>
        <w:tc>
          <w:tcPr>
            <w:tcW w:w="31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new way is becoming normal; reinforcement mechanisms (recognition, corrected metrics, manager habits) are what keep it from eroding back, and the emotional frameworks are confirming the technical capability is actually sticking, not just present on paper.</w:t>
            </w:r>
          </w:p>
        </w:tc>
        <w:tc>
          <w:tcPr>
            <w:tcW w:w="273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Calling Refreeze from the go-live date rather than post-cutover Bridges/Kübler-Ross evidence and a verified-running Reinforcement mechanism — the calendar-versus-evidence gap (Part 2.3’s Deploy/Hypercare/Sustain narrative walks through exactly this).</w:t>
            </w:r>
          </w:p>
        </w:tc>
      </w:tr>
    </w:tbl>
    <w:p>
      <w:pPr>
        <w:pStyle w:val="BodyText"/>
        <w:rPr/>
      </w:pPr>
      <w:r>
        <w:rPr>
          <w:b/>
          <w:bCs/>
          <w:sz w:val="26"/>
        </w:rPr>
        <w:t>The two gaps this map exists to make visible.</w:t>
      </w:r>
      <w:r>
        <w:rPr>
          <w:sz w:val="26"/>
        </w:rPr>
        <w:t xml:space="preserve"> First, the </w:t>
      </w:r>
      <w:r>
        <w:rPr>
          <w:b/>
          <w:bCs/>
          <w:sz w:val="26"/>
        </w:rPr>
        <w:t>capability-versus-readiness gap</w:t>
      </w:r>
      <w:r>
        <w:rPr>
          <w:sz w:val="26"/>
        </w:rPr>
        <w:t xml:space="preserve"> within the Change stage — Knowledge and Ability can climb months before Bridges and Kübler-Ross catch up, and that lag is normal, not a fault, provided it is being watched rather than assumed away. Second, the </w:t>
      </w:r>
      <w:r>
        <w:rPr>
          <w:b/>
          <w:bCs/>
          <w:sz w:val="26"/>
        </w:rPr>
        <w:t>calendar-versus-evidence gap</w:t>
      </w:r>
      <w:r>
        <w:rPr>
          <w:sz w:val="26"/>
        </w:rPr>
        <w:t xml:space="preserve"> at the Refreeze transition — a technical go-live date is not evidence that the organization has emotionally arrived at New Beginning/Commitment, and calling Refreeze on the date alone rather than on Bridges/Kübler-Ross evidence is the single most common way this interaction goes wrong in practice (Part 2.3 walks through exactly this).</w:t>
      </w:r>
    </w:p>
    <w:p>
      <w:pPr>
        <w:pStyle w:val="BodyText"/>
        <w:rPr/>
      </w:pPr>
      <w:r>
        <w:rPr/>
      </w:r>
      <w:bookmarkStart w:id="32" w:name="the-interaction-map"/>
      <w:bookmarkStart w:id="33" w:name="the-interaction-map"/>
      <w:bookmarkEnd w:id="33"/>
    </w:p>
    <w:p>
      <w:pPr>
        <w:pStyle w:val="Heading3"/>
        <w:rPr/>
      </w:pPr>
      <w:bookmarkStart w:id="34" w:name="__RefHeading___Toc4868_1235152635"/>
      <w:bookmarkStart w:id="35" w:name="worked-example-an-erp-platform-rollout"/>
      <w:bookmarkEnd w:id="34"/>
      <w:bookmarkEnd w:id="35"/>
      <w:r>
        <w:rPr>
          <w:b/>
          <w:color w:val="3F827B"/>
          <w:sz w:val="29"/>
        </w:rPr>
        <w:t>2.3 Worked Example — An ERP Platform Rollout</w:t>
      </w:r>
    </w:p>
    <w:p>
      <w:pPr>
        <w:pStyle w:val="FirstParagraph"/>
        <w:rPr/>
      </w:pPr>
      <w:r>
        <w:rPr>
          <w:sz w:val="26"/>
        </w:rPr>
        <w:t>Consider a mid-sized manufacturer, roughly 3,000 employees across a headquarters and two plants, replacing three disconnected legacy systems with one unified ERP platform (no vendor named — the pattern below holds regardless of which platform is chosen). The rollout runs a typical eight-phase lifecycle: Discovery, Design, Build, Test, Train, Deploy, Hypercare, Sustain.</w:t>
      </w:r>
    </w:p>
    <w:p>
      <w:pPr>
        <w:pStyle w:val="BodyText"/>
        <w:rPr/>
      </w:pPr>
      <w:r>
        <w:rPr>
          <w:b/>
          <w:bCs/>
          <w:sz w:val="26"/>
        </w:rPr>
        <w:t>Discovery.</w:t>
      </w:r>
      <w:r>
        <w:rPr>
          <w:sz w:val="26"/>
        </w:rPr>
        <w:t xml:space="preserve"> The business case is built and the Stakeholder Map is populated. Lewin is set to </w:t>
      </w:r>
      <w:r>
        <w:rPr>
          <w:b/>
          <w:bCs/>
          <w:sz w:val="26"/>
        </w:rPr>
        <w:t>Unfreeze</w:t>
      </w:r>
      <w:r>
        <w:rPr>
          <w:sz w:val="26"/>
        </w:rPr>
        <w:t xml:space="preserve">, justified by the approved business case and completed stakeholder analysis — not by any technical work having started, because none has. ADKAR’s Awareness block has not been scored yet; there is no cohort to score until Design’s kickoff communications reach them. Bridges reads </w:t>
      </w:r>
      <w:r>
        <w:rPr>
          <w:b/>
          <w:bCs/>
          <w:sz w:val="26"/>
        </w:rPr>
        <w:t>Ending</w:t>
      </w:r>
      <w:r>
        <w:rPr>
          <w:sz w:val="26"/>
        </w:rPr>
        <w:t xml:space="preserve"> for every cohort by default (no one has begun letting go of anything, because nothing has visibly changed yet), and Kübler-Ross reads </w:t>
      </w:r>
      <w:r>
        <w:rPr>
          <w:b/>
          <w:bCs/>
          <w:sz w:val="26"/>
        </w:rPr>
        <w:t>Denial</w:t>
      </w:r>
      <w:r>
        <w:rPr>
          <w:sz w:val="26"/>
        </w:rPr>
        <w:t xml:space="preserve"> for the same reason.</w:t>
      </w:r>
    </w:p>
    <w:p>
      <w:pPr>
        <w:pStyle w:val="BodyText"/>
        <w:rPr/>
      </w:pPr>
      <w:r>
        <w:rPr>
          <w:b/>
          <w:bCs/>
          <w:sz w:val="26"/>
        </w:rPr>
        <w:t>Design and early Build.</w:t>
      </w:r>
      <w:r>
        <w:rPr>
          <w:sz w:val="26"/>
        </w:rPr>
        <w:t xml:space="preserve"> Kickoff communications land, and the first Awareness scores come in — typically uneven across sites: a headquarters function close to the program team often scores Awareness higher, early, than a plant floor cohort several communication layers removed. This unevenness is normal and expected, not a red flag on its own. As configuration work begins, Knowledge scores start to climb for cohorts directly involved in design workshops, while Bridges for those same cohorts often has not moved from Ending yet — they understand what’s changing intellectually before they’ve emotionally let go of the old process, and that lag is exactly what Section 2.2’s capability-versus-readiness gap describes in the abstract.</w:t>
      </w:r>
    </w:p>
    <w:p>
      <w:pPr>
        <w:pStyle w:val="BodyText"/>
        <w:rPr/>
      </w:pPr>
      <w:r>
        <w:rPr>
          <w:b/>
          <w:bCs/>
          <w:sz w:val="26"/>
        </w:rPr>
        <w:t>Build and Test.</w:t>
      </w:r>
      <w:r>
        <w:rPr>
          <w:sz w:val="26"/>
        </w:rPr>
        <w:t xml:space="preserve"> This is where the </w:t>
      </w:r>
      <w:r>
        <w:rPr>
          <w:b/>
          <w:bCs/>
          <w:sz w:val="26"/>
        </w:rPr>
        <w:t>Divergence Pattern</w:t>
      </w:r>
      <w:r>
        <w:rPr>
          <w:sz w:val="26"/>
        </w:rPr>
        <w:t xml:space="preserve"> (2.4) most often fires for the first time: a cohort close to the program team — frequently finance or another function with above-average exposure to the new system during testing — reaches Knowledge and Ability scores of 4 or higher while Bridges still reads exactly Ending. The temptation is to read the high ADKAR scores as “this cohort is ready” and move on. journi’s Divergence Pattern computation exists specifically to interrupt that read: high capability with an unmoved Bridges reading is not readiness, it is a person who can operate the new system while still grieving the old one, and the recommended response is a targeted, loss-focused conversation — not more training, since more training addresses a gap that isn’t actually the one present.</w:t>
      </w:r>
    </w:p>
    <w:p>
      <w:pPr>
        <w:pStyle w:val="BodyText"/>
        <w:rPr/>
      </w:pPr>
      <w:r>
        <w:rPr>
          <w:b/>
          <w:bCs/>
          <w:sz w:val="26"/>
        </w:rPr>
        <w:t>Deploy.</w:t>
      </w:r>
      <w:r>
        <w:rPr>
          <w:sz w:val="26"/>
        </w:rPr>
        <w:t xml:space="preserve"> Cutover happens on a fixed date: legacy systems are frozen, data is migrated, the new platform goes live. This is where the </w:t>
      </w:r>
      <w:r>
        <w:rPr>
          <w:b/>
          <w:bCs/>
          <w:sz w:val="26"/>
        </w:rPr>
        <w:t>calendar-versus-evidence gap</w:t>
      </w:r>
      <w:r>
        <w:rPr>
          <w:sz w:val="26"/>
        </w:rPr>
        <w:t xml:space="preserve"> from 2.2 shows up hardest: the technical go-live is real and dateable, but it is not, by itself, evidence for Lewin’s Refreeze. The disciplined move is to mark Lewin as </w:t>
      </w:r>
      <w:r>
        <w:rPr>
          <w:b/>
          <w:bCs/>
          <w:sz w:val="26"/>
        </w:rPr>
        <w:t>Change, provisional toward Refreeze</w:t>
      </w:r>
      <w:r>
        <w:rPr>
          <w:sz w:val="26"/>
        </w:rPr>
        <w:t xml:space="preserve"> — explicit about what’s confirmed (the cutover) and what’s still pending (the emotional evidence) — rather than calling Refreeze on the go-live date and being wrong.</w:t>
      </w:r>
    </w:p>
    <w:p>
      <w:pPr>
        <w:pStyle w:val="BodyText"/>
        <w:rPr/>
      </w:pPr>
      <w:r>
        <w:rPr>
          <w:b/>
          <w:bCs/>
          <w:sz w:val="26"/>
        </w:rPr>
        <w:t>Hypercare.</w:t>
      </w:r>
      <w:r>
        <w:rPr>
          <w:sz w:val="26"/>
        </w:rPr>
        <w:t xml:space="preserve"> Elevated support continues while Bridges and Kübler-Ross are re-pulsed on a fixed cadence (commonly at the two-week and four-week marks post-go-live) specifically to confirm or correct the provisional Refreeze call. A defect discovered during this window — even a minor one — can cause a real, temporary regression in Kübler-Ross sentiment for the cohort affected by it; recognizing that regression as a contained, explainable dip tied to a specific incident (rather than treating it as the whole program stalling) is what keeps a Change Manager from over-reacting to normal noise in the data.</w:t>
      </w:r>
    </w:p>
    <w:p>
      <w:pPr>
        <w:pStyle w:val="BodyText"/>
        <w:rPr/>
      </w:pPr>
      <w:r>
        <w:rPr>
          <w:b/>
          <w:bCs/>
          <w:sz w:val="26"/>
        </w:rPr>
        <w:t>Sustain.</w:t>
      </w:r>
      <w:r>
        <w:rPr>
          <w:sz w:val="26"/>
        </w:rPr>
        <w:t xml:space="preserve"> Refreeze is confirmed only once Bridges and Kübler-Ross re-pulses across all affected cohorts actually show New Beginning and Commitment, and reinforcement mechanisms (recognition, corrected KPIs, manager check-in habits) are verified running rather than assumed. A checkpoint cadence (commonly at 30/60/90 days post-go-live) exists precisely to catch a </w:t>
      </w:r>
      <w:r>
        <w:rPr>
          <w:b/>
          <w:bCs/>
          <w:sz w:val="26"/>
        </w:rPr>
        <w:t>Reinforcement gap</w:t>
      </w:r>
      <w:r>
        <w:rPr>
          <w:sz w:val="26"/>
        </w:rPr>
        <w:t xml:space="preserve"> — ADKAR’s Reinforcement block reading low even after the other four blocks are healthy, meaning the new behavior hasn’t yet been given a durable, structural reason to persist. Refreeze is not confirmed until that gap, if present, is closed.</w:t>
      </w:r>
    </w:p>
    <w:p>
      <w:pPr>
        <w:pStyle w:val="BodyText"/>
        <w:rPr/>
      </w:pPr>
      <w:r>
        <w:rPr>
          <w:sz w:val="26"/>
        </w:rPr>
        <w:t xml:space="preserve">This walkthrough is deliberately the </w:t>
      </w:r>
      <w:r>
        <w:rPr>
          <w:i/>
          <w:iCs/>
          <w:sz w:val="26"/>
        </w:rPr>
        <w:t>clean</w:t>
      </w:r>
      <w:r>
        <w:rPr>
          <w:sz w:val="26"/>
        </w:rPr>
        <w:t xml:space="preserve"> case: no compliance mandate compressing the timeline, no concurrent restructuring competing for the same cohorts’ emotional bandwidth, no change saturation carried over from a prior initiative, no cohort too small or too quiet to read normally. Section 2.5 covers seven specific, realistic ways real programs deviate from this clean pattern, and what a Change Manager should do differently when they do.</w:t>
      </w:r>
    </w:p>
    <w:p>
      <w:pPr>
        <w:pStyle w:val="BodyText"/>
        <w:rPr/>
      </w:pPr>
      <w:r>
        <w:rPr/>
      </w:r>
      <w:bookmarkStart w:id="36" w:name="worked-example-an-erp-platform-rollout"/>
      <w:bookmarkStart w:id="37" w:name="worked-example-an-erp-platform-rollout"/>
      <w:bookmarkEnd w:id="37"/>
    </w:p>
    <w:p>
      <w:pPr>
        <w:pStyle w:val="Heading3"/>
        <w:rPr/>
      </w:pPr>
      <w:bookmarkStart w:id="38" w:name="__RefHeading___Toc4870_1235152635"/>
      <w:bookmarkStart w:id="39" w:name="X1b2c82b2bfbd9655c3bcb9db3d8082c4a82112c"/>
      <w:bookmarkEnd w:id="38"/>
      <w:bookmarkEnd w:id="39"/>
      <w:r>
        <w:rPr>
          <w:b/>
          <w:color w:val="3F827B"/>
          <w:sz w:val="29"/>
        </w:rPr>
        <w:t>2.4 The Divergence Pattern — The Interaction’s Signature Failure Mode</w:t>
      </w:r>
    </w:p>
    <w:p>
      <w:pPr>
        <w:pStyle w:val="FirstParagraph"/>
        <w:rPr/>
      </w:pPr>
      <w:r>
        <w:rPr>
          <w:sz w:val="26"/>
        </w:rPr>
        <w:t xml:space="preserve">Every interaction described above ultimately funnels into one specific, catchable failure mode, and it is worth naming as its own concept: </w:t>
      </w:r>
      <w:r>
        <w:rPr>
          <w:b/>
          <w:bCs/>
          <w:sz w:val="26"/>
        </w:rPr>
        <w:t>strong demonstrated capability (ADKAR Knowledge and Ability) coexisting with an unmoved emotional position (Bridges still reading Ending).</w:t>
      </w:r>
      <w:r>
        <w:rPr>
          <w:sz w:val="26"/>
        </w:rPr>
        <w:t xml:space="preserve"> It is the single most common way a program’s four framework readings genuinely diverge from each other rather than moving together, and it is common enough, and consequential enough, that journi computes it automatically rather than relying on a Change Manager to notice the specific combination by eye across a busy dashboard. Part 4.2 gives the exact formula, and Part 3 gives the signal-level detail behind each framework’s own state calls.</w:t>
      </w:r>
    </w:p>
    <w:p>
      <w:pPr>
        <w:pStyle w:val="BodyText"/>
        <w:rPr/>
      </w:pPr>
      <w:r>
        <w:rPr/>
      </w:r>
      <w:bookmarkStart w:id="40" w:name="X1b2c82b2bfbd9655c3bcb9db3d8082c4a82112c"/>
      <w:bookmarkStart w:id="41" w:name="X1b2c82b2bfbd9655c3bcb9db3d8082c4a82112c"/>
      <w:bookmarkEnd w:id="41"/>
    </w:p>
    <w:p>
      <w:pPr>
        <w:pStyle w:val="Heading3"/>
        <w:rPr/>
      </w:pPr>
      <w:bookmarkStart w:id="42" w:name="__RefHeading___Toc4872_1235152635"/>
      <w:bookmarkStart w:id="43" w:name="X54d526e5c054a33113ad0cb7c064b7ccea22783"/>
      <w:bookmarkEnd w:id="42"/>
      <w:bookmarkEnd w:id="43"/>
      <w:r>
        <w:rPr>
          <w:b/>
          <w:color w:val="3F827B"/>
          <w:sz w:val="29"/>
        </w:rPr>
        <w:t>2.5 Exceptions to the Normal Interaction Pattern</w:t>
      </w:r>
    </w:p>
    <w:p>
      <w:pPr>
        <w:pStyle w:val="FirstParagraph"/>
        <w:rPr/>
      </w:pPr>
      <w:r>
        <w:rPr>
          <w:sz w:val="26"/>
        </w:rPr>
        <w:t>The interaction described in 2.1–2.4 is a defensible default, not a law of nature. The seven exceptions below are specific, realistic ways a real program’s readings deviate from it — each names its trigger, what breaks in the normal reading if it goes unrecognized, and what a Change Manager should do instead. Part 3.7 restates each of these at the decision-matrix level, with the exact compensating requirement that replaces the normal Must-Have bar.</w:t>
      </w:r>
    </w:p>
    <w:p>
      <w:pPr>
        <w:pStyle w:val="BodyText"/>
        <w:rPr/>
      </w:pPr>
      <w:r>
        <w:rPr>
          <w:b/>
          <w:bCs/>
          <w:sz w:val="26"/>
        </w:rPr>
        <w:t>EXC-01 — Mandated / Compliance-Driven Change.</w:t>
      </w:r>
      <w:r>
        <w:rPr>
          <w:sz w:val="26"/>
        </w:rPr>
        <w:t xml:space="preserve"> </w:t>
      </w:r>
      <w:r>
        <w:rPr>
          <w:i/>
          <w:iCs/>
          <w:sz w:val="26"/>
        </w:rPr>
        <w:t>Trigger:</w:t>
      </w:r>
      <w:r>
        <w:rPr>
          <w:sz w:val="26"/>
        </w:rPr>
        <w:t xml:space="preserve"> a regulatory deadline, a security requirement, or an executive mandate forces the program to move toward Change before an organic Unfreeze — approved business case, completed stakeholder map, named sponsor with visible action — has actually been built. </w:t>
      </w:r>
      <w:r>
        <w:rPr>
          <w:i/>
          <w:iCs/>
          <w:sz w:val="26"/>
        </w:rPr>
        <w:t>What breaks:</w:t>
      </w:r>
      <w:r>
        <w:rPr>
          <w:sz w:val="26"/>
        </w:rPr>
        <w:t xml:space="preserve"> Lewin’s normal sequential logic assumes Unfreeze evidence precedes Change; here the organization is being </w:t>
      </w:r>
      <w:r>
        <w:rPr>
          <w:i/>
          <w:iCs/>
          <w:sz w:val="26"/>
        </w:rPr>
        <w:t>told</w:t>
      </w:r>
      <w:r>
        <w:rPr>
          <w:sz w:val="26"/>
        </w:rPr>
        <w:t xml:space="preserve"> to change, not persuaded, and the Steering Committee-facing signals (Part 3.2) may simply not exist yet at the point Change begins. </w:t>
      </w:r>
      <w:r>
        <w:rPr>
          <w:i/>
          <w:iCs/>
          <w:sz w:val="26"/>
        </w:rPr>
        <w:t>What to do instead:</w:t>
      </w:r>
      <w:r>
        <w:rPr>
          <w:sz w:val="26"/>
        </w:rPr>
        <w:t xml:space="preserve"> do not backfill the Unfreeze signals retroactively as if the mandate satisfies them — log Lewin as Change with an explicit justification naming the mandate as the driver, not the normal Unfreeze evidence, and treat the missing stakeholder engagement as a known, tracked gap to close during Change rather than a box already checked.</w:t>
      </w:r>
    </w:p>
    <w:p>
      <w:pPr>
        <w:pStyle w:val="BodyText"/>
        <w:rPr/>
      </w:pPr>
      <w:r>
        <w:rPr>
          <w:b/>
          <w:bCs/>
          <w:sz w:val="26"/>
        </w:rPr>
        <w:t>EXC-02 — Parallel-Run Extension.</w:t>
      </w:r>
      <w:r>
        <w:rPr>
          <w:sz w:val="26"/>
        </w:rPr>
        <w:t xml:space="preserve"> </w:t>
      </w:r>
      <w:r>
        <w:rPr>
          <w:i/>
          <w:iCs/>
          <w:sz w:val="26"/>
        </w:rPr>
        <w:t>Trigger:</w:t>
      </w:r>
      <w:r>
        <w:rPr>
          <w:sz w:val="26"/>
        </w:rPr>
        <w:t xml:space="preserve"> the legacy system is kept running alongside the new one for an extended period as a deliberate risk-mitigation choice, rather than being retired at cutover. </w:t>
      </w:r>
      <w:r>
        <w:rPr>
          <w:i/>
          <w:iCs/>
          <w:sz w:val="26"/>
        </w:rPr>
        <w:t>What breaks:</w:t>
      </w:r>
      <w:r>
        <w:rPr>
          <w:sz w:val="26"/>
        </w:rPr>
        <w:t xml:space="preserve"> Bridges’ Neutral Zone and New Beginning readings assume the old way is actually gone or going — with a fully functional fallback still available, a cohort can rationally remain ambivalent indefinitely, and SIG-LEW-R5 (legacy access formally revoked) becomes unreachable on the normal timeline. </w:t>
      </w:r>
      <w:r>
        <w:rPr>
          <w:i/>
          <w:iCs/>
          <w:sz w:val="26"/>
        </w:rPr>
        <w:t>What to do instead:</w:t>
      </w:r>
      <w:r>
        <w:rPr>
          <w:sz w:val="26"/>
        </w:rPr>
        <w:t xml:space="preserve"> log an explicit, dated parallel-run end date at the point the parallel period begins, and treat any Neutral Zone reading that persists past that date — without a new, specific cause — as a genuine stall requiring intervention, not just “still settling in.”</w:t>
      </w:r>
    </w:p>
    <w:p>
      <w:pPr>
        <w:pStyle w:val="BodyText"/>
        <w:rPr/>
      </w:pPr>
      <w:r>
        <w:rPr>
          <w:b/>
          <w:bCs/>
          <w:sz w:val="26"/>
        </w:rPr>
        <w:t>EXC-03 — Concurrent Restructuring.</w:t>
      </w:r>
      <w:r>
        <w:rPr>
          <w:sz w:val="26"/>
        </w:rPr>
        <w:t xml:space="preserve"> </w:t>
      </w:r>
      <w:r>
        <w:rPr>
          <w:i/>
          <w:iCs/>
          <w:sz w:val="26"/>
        </w:rPr>
        <w:t>Trigger:</w:t>
      </w:r>
      <w:r>
        <w:rPr>
          <w:sz w:val="26"/>
        </w:rPr>
        <w:t xml:space="preserve"> a reduction-in-force, reorganization, or role redesign is happening at the same time as the change, affecting some or all of the same cohorts. </w:t>
      </w:r>
      <w:r>
        <w:rPr>
          <w:i/>
          <w:iCs/>
          <w:sz w:val="26"/>
        </w:rPr>
        <w:t>What breaks:</w:t>
      </w:r>
      <w:r>
        <w:rPr>
          <w:sz w:val="26"/>
        </w:rPr>
        <w:t xml:space="preserve"> a Bridges Ending reading and a Kübler-Ross Denial/Resistance reading can both be genuinely present for reasons that have nothing to do with the process or system change being tracked — job security, not the new workflow, is what the person is actually reacting to, and treating the reading as evidence about </w:t>
      </w:r>
      <w:r>
        <w:rPr>
          <w:i/>
          <w:iCs/>
          <w:sz w:val="26"/>
        </w:rPr>
        <w:t>this</w:t>
      </w:r>
      <w:r>
        <w:rPr>
          <w:sz w:val="26"/>
        </w:rPr>
        <w:t xml:space="preserve"> change would be misattributing it. </w:t>
      </w:r>
      <w:r>
        <w:rPr>
          <w:i/>
          <w:iCs/>
          <w:sz w:val="26"/>
        </w:rPr>
        <w:t>What to do instead:</w:t>
      </w:r>
      <w:r>
        <w:rPr>
          <w:sz w:val="26"/>
        </w:rPr>
        <w:t xml:space="preserve"> the justification note must explicitly distinguish job-security grief from process/system grief before the reading counts as evidence for this program’s Bridges or Kübler-Ross state — a note that only says “team is anxious” without naming the source is not sufficient under this exception.</w:t>
      </w:r>
    </w:p>
    <w:p>
      <w:pPr>
        <w:pStyle w:val="BodyText"/>
        <w:rPr/>
      </w:pPr>
      <w:r>
        <w:rPr>
          <w:b/>
          <w:bCs/>
          <w:sz w:val="26"/>
        </w:rPr>
        <w:t>EXC-04 — Change Saturation (Concurrent or Serial Initiatives).</w:t>
      </w:r>
      <w:r>
        <w:rPr>
          <w:sz w:val="26"/>
        </w:rPr>
        <w:t xml:space="preserve"> </w:t>
      </w:r>
      <w:r>
        <w:rPr>
          <w:i/>
          <w:iCs/>
          <w:sz w:val="26"/>
        </w:rPr>
        <w:t>Trigger:</w:t>
      </w:r>
      <w:r>
        <w:rPr>
          <w:sz w:val="26"/>
        </w:rPr>
        <w:t xml:space="preserve"> the same cohort is mid-transition on a different, unrelated change initiative at the same time as this one, or has recently been through one. </w:t>
      </w:r>
      <w:r>
        <w:rPr>
          <w:i/>
          <w:iCs/>
          <w:sz w:val="26"/>
        </w:rPr>
        <w:t>What breaks:</w:t>
      </w:r>
      <w:r>
        <w:rPr>
          <w:sz w:val="26"/>
        </w:rPr>
        <w:t xml:space="preserve"> an ADKAR score that stalls, or a Kübler-Ross reading that looks like flat Denial, may actually reflect fatigue or interference from the other initiative rather than a barrier specific to this program — and the standard intervention (more training, a listening session about this specific change) targets the wrong cause if the real driver is saturation. </w:t>
      </w:r>
      <w:r>
        <w:rPr>
          <w:i/>
          <w:iCs/>
          <w:sz w:val="26"/>
        </w:rPr>
        <w:t>What to do instead:</w:t>
      </w:r>
      <w:r>
        <w:rPr>
          <w:sz w:val="26"/>
        </w:rPr>
        <w:t xml:space="preserve"> the barrier-reason note must explicitly rule in or out interference from the concurrent or recent initiative before the signal is treated as diagnostic of this program; where saturation is confirmed, the appropriate response is sequencing or pacing relief, not a standard barrier-removal intervention.</w:t>
      </w:r>
    </w:p>
    <w:p>
      <w:pPr>
        <w:pStyle w:val="BodyText"/>
        <w:rPr/>
      </w:pPr>
      <w:r>
        <w:rPr>
          <w:b/>
          <w:bCs/>
          <w:sz w:val="26"/>
        </w:rPr>
        <w:t>EXC-05 — Silent / Unreachable Cohort.</w:t>
      </w:r>
      <w:r>
        <w:rPr>
          <w:sz w:val="26"/>
        </w:rPr>
        <w:t xml:space="preserve"> </w:t>
      </w:r>
      <w:r>
        <w:rPr>
          <w:i/>
          <w:iCs/>
          <w:sz w:val="26"/>
        </w:rPr>
        <w:t>Trigger:</w:t>
      </w:r>
      <w:r>
        <w:rPr>
          <w:sz w:val="26"/>
        </w:rPr>
        <w:t xml:space="preserve"> no engagement channel currently exists to gather a reading from a cohort at all — a remote or contractor population outside the normal communication structure, for instance. </w:t>
      </w:r>
      <w:r>
        <w:rPr>
          <w:i/>
          <w:iCs/>
          <w:sz w:val="26"/>
        </w:rPr>
        <w:t>What breaks:</w:t>
      </w:r>
      <w:r>
        <w:rPr>
          <w:sz w:val="26"/>
        </w:rPr>
        <w:t xml:space="preserve"> the entire premise of the signals catalog and decision matrix (Part 3) is that evidence exists to evaluate; with zero data, there is nothing to apply the Must-Have bar to, and defaulting silently to the mildest or most convenient reading (as journi’s own KPI-07 helper does internally when a keyword match fails — see Part 4.7) would misrepresent an absence of information as a specific, positive state. </w:t>
      </w:r>
      <w:r>
        <w:rPr>
          <w:i/>
          <w:iCs/>
          <w:sz w:val="26"/>
        </w:rPr>
        <w:t>What to do instead:</w:t>
      </w:r>
      <w:r>
        <w:rPr>
          <w:sz w:val="26"/>
        </w:rPr>
        <w:t xml:space="preserve"> the cohort is explicitly logged as </w:t>
      </w:r>
      <w:r>
        <w:rPr>
          <w:b/>
          <w:bCs/>
          <w:sz w:val="26"/>
        </w:rPr>
        <w:t>Unmeasured</w:t>
      </w:r>
      <w:r>
        <w:rPr>
          <w:sz w:val="26"/>
        </w:rPr>
        <w:t>, not defaulted to any framework state, and a channel-creation task is opened and tracked before any Lewin, ADKAR, Bridges, or Kübler-Ross claim is made about that population.</w:t>
      </w:r>
    </w:p>
    <w:p>
      <w:pPr>
        <w:pStyle w:val="BodyText"/>
        <w:rPr/>
      </w:pPr>
      <w:r>
        <w:rPr>
          <w:b/>
          <w:bCs/>
          <w:sz w:val="26"/>
        </w:rPr>
        <w:t>EXC-06 — Small-N Executive or Leadership Cohort.</w:t>
      </w:r>
      <w:r>
        <w:rPr>
          <w:sz w:val="26"/>
        </w:rPr>
        <w:t xml:space="preserve"> </w:t>
      </w:r>
      <w:r>
        <w:rPr>
          <w:i/>
          <w:iCs/>
          <w:sz w:val="26"/>
        </w:rPr>
        <w:t>Trigger:</w:t>
      </w:r>
      <w:r>
        <w:rPr>
          <w:sz w:val="26"/>
        </w:rPr>
        <w:t xml:space="preserve"> the cohort in question is very small — a five-person executive team is the typical case — rather than the tens or hundreds of people the frameworks’ multi-reading signals (a trend across two scores, consistency across comparable cohorts, sustained evidence across multiple pulses) were designed against. </w:t>
      </w:r>
      <w:r>
        <w:rPr>
          <w:i/>
          <w:iCs/>
          <w:sz w:val="26"/>
        </w:rPr>
        <w:t>What breaks:</w:t>
      </w:r>
      <w:r>
        <w:rPr>
          <w:sz w:val="26"/>
        </w:rPr>
        <w:t xml:space="preserve"> signals like SIG-ADK-A4/A5, SIG-BRG-B2, and SIG-KR-C2 (Part 3.3–3.5) assume enough independent observations for a trend or a pattern to be meaningful; with one to five people, a single individual’s mood on a given day can look statistically identical to a “trend.” </w:t>
      </w:r>
      <w:r>
        <w:rPr>
          <w:i/>
          <w:iCs/>
          <w:sz w:val="26"/>
        </w:rPr>
        <w:t>What to do instead:</w:t>
      </w:r>
      <w:r>
        <w:rPr>
          <w:sz w:val="26"/>
        </w:rPr>
        <w:t xml:space="preserve"> multi-reading trend and consistency signals are waived below a defined cohort-size threshold (five is a reasonable default) and replaced by direct, named qualitative confirmation — typically logged by the Executive Sponsor or the Change Manager after a specific, dated conversation, not inferred from repeated scoring.</w:t>
      </w:r>
    </w:p>
    <w:p>
      <w:pPr>
        <w:pStyle w:val="BodyText"/>
        <w:rPr/>
      </w:pPr>
      <w:r>
        <w:rPr>
          <w:b/>
          <w:bCs/>
          <w:sz w:val="26"/>
        </w:rPr>
        <w:t>EXC-07 — Crisis / Compressed Timeline.</w:t>
      </w:r>
      <w:r>
        <w:rPr>
          <w:sz w:val="26"/>
        </w:rPr>
        <w:t xml:space="preserve"> </w:t>
      </w:r>
      <w:r>
        <w:rPr>
          <w:i/>
          <w:iCs/>
          <w:sz w:val="26"/>
        </w:rPr>
        <w:t>Trigger:</w:t>
      </w:r>
      <w:r>
        <w:rPr>
          <w:sz w:val="26"/>
        </w:rPr>
        <w:t xml:space="preserve"> an urgent security patch, a regulatory emergency, or another time-critical event compresses what would normally be sequential Unfreeze-then-Change evidence into the same short window, sometimes days rather than months. </w:t>
      </w:r>
      <w:r>
        <w:rPr>
          <w:i/>
          <w:iCs/>
          <w:sz w:val="26"/>
        </w:rPr>
        <w:t>What breaks:</w:t>
      </w:r>
      <w:r>
        <w:rPr>
          <w:sz w:val="26"/>
        </w:rPr>
        <w:t xml:space="preserve"> the decision matrix’s normal gating — Unfreeze’s Must-Haves fully evidenced before Change begins — assumes time to build that evidence sequentially; a genuine crisis does not allow it, and insisting on the normal sequence would delay a response the situation doesn’t permit. </w:t>
      </w:r>
      <w:r>
        <w:rPr>
          <w:i/>
          <w:iCs/>
          <w:sz w:val="26"/>
        </w:rPr>
        <w:t>What to do instead:</w:t>
      </w:r>
      <w:r>
        <w:rPr>
          <w:sz w:val="26"/>
        </w:rPr>
        <w:t xml:space="preserve"> both stages’ evidence is logged together, retroactively, within a fixed window after the fact (a defined number of days is a reasonable default), and the compression itself — not just the underlying business case — is logged as its own justified change, so a later audit can see that the sequence was deliberately compressed under a named urgency, not skipped without explanation.</w:t>
      </w:r>
    </w:p>
    <w:p>
      <w:pPr>
        <w:pStyle w:val="BodyText"/>
        <w:rPr/>
      </w:pPr>
      <w:r>
        <w:rPr/>
      </w:r>
      <w:bookmarkStart w:id="44" w:name="part-2-how-the-four-frameworks-interact"/>
      <w:bookmarkStart w:id="45" w:name="X54d526e5c054a33113ad0cb7c064b7ccea22783"/>
      <w:bookmarkStart w:id="46" w:name="part-2-how-the-four-frameworks-interact"/>
      <w:bookmarkStart w:id="47" w:name="X54d526e5c054a33113ad0cb7c064b7ccea22783"/>
      <w:bookmarkEnd w:id="46"/>
      <w:bookmarkEnd w:id="47"/>
    </w:p>
    <w:p>
      <w:pPr>
        <w:pStyle w:val="Heading2"/>
        <w:rPr/>
      </w:pPr>
      <w:bookmarkStart w:id="48" w:name="__RefHeading___Toc4874_1235152635"/>
      <w:bookmarkStart w:id="49" w:name="X267258fd6e652a71c88e87794cc3de712601ce2"/>
      <w:bookmarkEnd w:id="48"/>
      <w:bookmarkEnd w:id="49"/>
      <w:r>
        <w:rPr>
          <w:b/>
          <w:color w:val="275650"/>
          <w:sz w:val="34"/>
        </w:rPr>
        <w:t>Part 3 — Signals Catalog and Decision Matrix</w:t>
      </w:r>
    </w:p>
    <w:p>
      <w:pPr>
        <w:pStyle w:val="FirstParagraph"/>
        <w:rPr/>
      </w:pPr>
      <w:r>
        <w:rPr/>
      </w:r>
    </w:p>
    <w:p>
      <w:pPr>
        <w:pStyle w:val="Heading3"/>
        <w:rPr/>
      </w:pPr>
      <w:bookmarkStart w:id="50" w:name="__RefHeading___Toc4876_1235152635"/>
      <w:bookmarkStart w:id="51" w:name="how-to-read-this-catalog"/>
      <w:bookmarkEnd w:id="50"/>
      <w:bookmarkEnd w:id="51"/>
      <w:r>
        <w:rPr>
          <w:b/>
          <w:color w:val="3F827B"/>
          <w:sz w:val="29"/>
        </w:rPr>
        <w:t>3.1 How to Read This Catalog</w:t>
      </w:r>
    </w:p>
    <w:p>
      <w:pPr>
        <w:pStyle w:val="FirstParagraph"/>
        <w:rPr/>
      </w:pPr>
      <w:r>
        <w:rPr>
          <w:sz w:val="26"/>
        </w:rPr>
        <w:t xml:space="preserve">For each framework state, this catalog lists the concrete, observable evidence a Change Manager should have before calling that state — split into </w:t>
      </w:r>
      <w:r>
        <w:rPr>
          <w:b/>
          <w:bCs/>
          <w:sz w:val="26"/>
        </w:rPr>
        <w:t>Must Have</w:t>
      </w:r>
      <w:r>
        <w:rPr>
          <w:sz w:val="26"/>
        </w:rPr>
        <w:t xml:space="preserve"> (the call should not be made without this) and </w:t>
      </w:r>
      <w:r>
        <w:rPr>
          <w:b/>
          <w:bCs/>
          <w:sz w:val="26"/>
        </w:rPr>
        <w:t>Nice to Have</w:t>
      </w:r>
      <w:r>
        <w:rPr>
          <w:sz w:val="26"/>
        </w:rPr>
        <w:t xml:space="preserve"> (strengthens the call; its absence is not disqualifying on its own). Every signal has an ID, a name, and a detailed description of what “present” actually looks like in practice, not just a label.</w:t>
      </w:r>
    </w:p>
    <w:p>
      <w:pPr>
        <w:pStyle w:val="BodyText"/>
        <w:rPr/>
      </w:pPr>
      <w:r>
        <w:rPr>
          <w:sz w:val="26"/>
        </w:rPr>
        <w:t>This catalog is journi’s own judgment framework, built from how the platform’s fields, auto-escalation rules, and phase-gate mechanics actually work (Parts 1 and 2) — it is not a separate data model inside the app. A Change Manager applies it manually when writing the justification a Lewin, Bridges, or Kübler-Ross change requires; nothing here is auto-checked by journi itself, consistent with the platform’s design choice never to auto-compute these three frameworks. Section 3.7 covers the seven cases where the normal Must-Have bar below is legitimately overridden, and exactly what replaces it in each case.</w:t>
      </w:r>
    </w:p>
    <w:p>
      <w:pPr>
        <w:pStyle w:val="BodyText"/>
        <w:rPr/>
      </w:pPr>
      <w:r>
        <w:rPr/>
      </w:r>
      <w:bookmarkStart w:id="52" w:name="how-to-read-this-catalog"/>
      <w:bookmarkStart w:id="53" w:name="how-to-read-this-catalog"/>
      <w:bookmarkEnd w:id="53"/>
    </w:p>
    <w:p>
      <w:pPr>
        <w:pStyle w:val="Heading3"/>
        <w:rPr/>
      </w:pPr>
      <w:bookmarkStart w:id="54" w:name="__RefHeading___Toc4878_1235152635"/>
      <w:bookmarkStart w:id="55" w:name="lewin-signals"/>
      <w:bookmarkEnd w:id="54"/>
      <w:bookmarkEnd w:id="55"/>
      <w:r>
        <w:rPr>
          <w:b/>
          <w:color w:val="3F827B"/>
          <w:sz w:val="29"/>
        </w:rPr>
        <w:t>3.2 Lewin Signals</w:t>
      </w:r>
    </w:p>
    <w:p>
      <w:pPr>
        <w:pStyle w:val="FirstParagraph"/>
        <w:rPr/>
      </w:pPr>
      <w:r>
        <w:rPr>
          <w:b/>
          <w:bCs/>
          <w:sz w:val="26"/>
        </w:rPr>
        <w:t>Unfreeze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Approved business case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quantified case for change exists and has been reviewed and approved by the Steering Committee — not drafted, approved. Logged on M1 (Hierarchy) against the Main Project.</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Completed Stakeholder Map</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Every affected cohort is entered on M4 (Stakeholder Mapping) with an impact dimension and severity rating — not a partial list covering only the most visible groups.</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Named Executive Sponsor</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specific individual, not a title or committee, is recorded as Executive Sponsor and has taken at least one visible sponsorship action (M7, Sponsor &amp; Coalition).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SIG-LEW-U6</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Budget and resourcing formally committed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Funding and staffing for the program are approved and recorded, not merely implied by the business case — an approved case with no committed resourcing is a plan, not a mobilized organization.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Baseline Awareness pulse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An initial Awareness score exists for at least the highest-severity cohorts on M5 (ADKAR Engine) — confirms the “why now” message has actually reached people, not just been sent.</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SIG-LEW-U5</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Guiding coalition beyond the sponsor</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At least one additional coalition member beyond the named sponsor is recorded on M7, reducing single-person dependency on the change’s momentum.</w:t>
            </w:r>
          </w:p>
        </w:tc>
      </w:tr>
    </w:tbl>
    <w:p>
      <w:pPr>
        <w:pStyle w:val="BodyText"/>
        <w:rPr/>
      </w:pPr>
      <w:r>
        <w:rPr>
          <w:b/>
          <w:bCs/>
          <w:sz w:val="26"/>
        </w:rPr>
        <w:t>Change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Design principles signed off</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constraints the build must satisfy are documented and formally approved, not merely drafted or verbally agreed.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Configuration/build traceable to principles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Each major build decision is logged against the specific design principle it satisfies (M17, WBS &amp; Gantt) — a build with no recorded rationale is not evidence of a disciplined Change stage.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Desire trending upward, all cohorts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cohort remains below the platform’s stall threshold on Desire without an active, logged recovery response — a stalled Desire block left unaddressed means “Change” is not actually happening for that population, whatever the rest of the project shows.</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Champion network active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Champions are named, briefed, and have a confirmed observation-logging path (M4) — strengthens the evidence base for everything else in this list without being independently required.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SIG-LEW-C5</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open High/Critical technical defect</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Outstanding defects at Critical or High severity are closed or have an accepted mitigation — relevant to Change because unresolved technical instability makes emotional and capability evidence harder to read cleanly, not because it’s itself a Change Management signal.</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SIG-LEW-C6</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Communication cadence maintained without gaps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Scheduled communications continue on their planned rhythm through the Change stage — a cadence that quietly lapses partway through often precedes a Desire stall before the ADKAR score itself shows it.</w:t>
            </w:r>
          </w:p>
        </w:tc>
      </w:tr>
    </w:tbl>
    <w:p>
      <w:pPr>
        <w:pStyle w:val="BodyText"/>
        <w:rPr/>
      </w:pPr>
      <w:r>
        <w:rPr>
          <w:b/>
          <w:bCs/>
          <w:sz w:val="26"/>
        </w:rPr>
        <w:t>Refreeze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reads New Beginning, all affected cohorts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Not the organizational average — every cohort with meaningful exposure to the change, confirmed via re-pulse, not assumed from an early reading.</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reads Exploration or better, all affected cohorts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Commitment is the target; Exploration is the acceptable floor for calling Refreeze, provided the trend is upward, not flat or regressing.</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Reinforcement score above stall threshold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Reinforcement is the block most likely to lag the other four — confirming it explicitly prevents a premature Refreeze call based only on Knowledge/Ability having been healthy for a while.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Reinforcement mechanisms verified running, not assumed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Recognition programs, corrected performance metrics, and manager check-in habits are confirmed actually happening (e.g. via a supervisor sign-off log), not inferred from having been designed.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SIG-LEW-R5</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Legacy system access formally revoked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Confirms there is no remaining fallback path making a return to the old way physically possible — a strong but not strictly required signal, since some programs run a deliberate parallel period (see Exception EXC-02, Part 3.7, where this signal’s status changes).</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SIG-LEW-R6</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Multiple consecutive healthy sustainment checkpoints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Two or more checkpoints (e.g. 30/60/90-day) reading healthy in sequence, not just the most recent one — guards against calling Refreeze on a single good data point.</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SIG-LEW-R7</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Governance formally transitioned to business-as-usual ownership</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Steering Committee or program governance structure is explicitly stood down or handed to a standing operational owner — a program still running its original governance cadence months after go-live is implicitly signaling that Refreeze has not really landed yet.</w:t>
            </w:r>
          </w:p>
        </w:tc>
      </w:tr>
    </w:tbl>
    <w:p>
      <w:pPr>
        <w:pStyle w:val="BodyText"/>
        <w:rPr/>
      </w:pPr>
      <w:r>
        <w:rPr/>
      </w:r>
      <w:bookmarkStart w:id="56" w:name="lewin-signals"/>
      <w:bookmarkStart w:id="57" w:name="lewin-signals"/>
      <w:bookmarkEnd w:id="57"/>
    </w:p>
    <w:p>
      <w:pPr>
        <w:pStyle w:val="Heading3"/>
        <w:rPr/>
      </w:pPr>
      <w:bookmarkStart w:id="58" w:name="__RefHeading___Toc4880_1235152635"/>
      <w:bookmarkStart w:id="59" w:name="adkar-signals"/>
      <w:bookmarkEnd w:id="58"/>
      <w:bookmarkEnd w:id="59"/>
      <w:r>
        <w:rPr>
          <w:b/>
          <w:color w:val="3F827B"/>
          <w:sz w:val="29"/>
        </w:rPr>
        <w:t>3.3 ADKAR Signals</w:t>
      </w:r>
    </w:p>
    <w:p>
      <w:pPr>
        <w:pStyle w:val="FirstParagraph"/>
        <w:rPr/>
      </w:pPr>
      <w:r>
        <w:rPr>
          <w:sz w:val="26"/>
        </w:rPr>
        <w:t>Because ADKAR’s five blocks are independently scored, the signals below apply per block, per cohort — not once per project.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Score ≥ 3 on the block being assessed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block’s numeric score itself, direct from M5 (ADKAR Engine) — the foundational signal every other one on this list contextualizes.</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Barrier-reason note present for any score ≤ 2</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Mandatory the moment a block auto-escalates — a stalled score with no logged reason is an incomplete record, not just a low score.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Re-score after an intervention, not just an initial read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 (for a stalled block being called recovered)</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block that stalled and is now being treated as resolved needs a second, later score confirming the intervention worked — the initial low score followed immediately by “fixed” with no re-measurement is not evidence of recovery.</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SIG-ADK-A6</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Reinforcement mechanism explicitly named and owned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 (for the Reinforcement block specifically)</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Unlike the other four blocks, a healthy Reinforcement score is not evidence on its own — the specific mechanism (a recognition program, a corrected KPI, a manager check-in habit) must be named and assigned an owner, or the score reflects an intention rather than a structural fact.</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Score trend upward over at least two readings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single good score is weaker evidence than a confirmed upward trend across two or more measurements over time.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SIG-ADK-A5</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Consistent scoring across comparable cohorts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Similar cohorts (e.g. two plants doing the same job) reading similarly on the same block — a large unexplained gap between comparable cohorts is worth investigating even if neither individual score has stalled.</w:t>
            </w:r>
          </w:p>
        </w:tc>
      </w:tr>
    </w:tbl>
    <w:p>
      <w:pPr>
        <w:pStyle w:val="BodyText"/>
        <w:rPr/>
      </w:pPr>
      <w:r>
        <w:rPr/>
      </w:r>
      <w:bookmarkStart w:id="60" w:name="adkar-signals"/>
      <w:bookmarkStart w:id="61" w:name="adkar-signals"/>
      <w:bookmarkEnd w:id="61"/>
    </w:p>
    <w:p>
      <w:pPr>
        <w:pStyle w:val="Heading3"/>
        <w:rPr/>
      </w:pPr>
      <w:bookmarkStart w:id="62" w:name="__RefHeading___Toc4882_1235152635"/>
      <w:bookmarkStart w:id="63" w:name="bridges-signals"/>
      <w:bookmarkEnd w:id="62"/>
      <w:bookmarkEnd w:id="63"/>
      <w:r>
        <w:rPr>
          <w:b/>
          <w:color w:val="3F827B"/>
          <w:sz w:val="29"/>
        </w:rPr>
        <w:t>3.4 Bridges Signals</w:t>
      </w:r>
    </w:p>
    <w:p>
      <w:pPr>
        <w:pStyle w:val="FirstParagraph"/>
        <w:rPr/>
      </w:pPr>
      <w:r>
        <w:rPr>
          <w:b/>
          <w:bCs/>
          <w:sz w:val="26"/>
        </w:rPr>
        <w:t>Ending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SIG-BRG-E1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Explicit note naming what is being let go of</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notes field names the specific thing (a role, a system, a way of working) rather than a generic “resistance is present” — Ending is defined by loss, and the loss should be nameable.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SIG-BRG-E2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premature advance to Neutral Zone without cause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cohort that has not yet had a concrete reason to start letting go (a communication, a training session, a visible technical change) should not be marked past Ending on optimism alone.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SIG-BRG-E3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Manager explicitly acknowledges the loss, not just the employee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cohort’s direct manager has visibly named the loss in a team setting (not just an individual employee describing it privately) — strengthens the case that the organization, not only the individual, recognizes what is being asked of them.</w:t>
            </w:r>
          </w:p>
        </w:tc>
      </w:tr>
    </w:tbl>
    <w:p>
      <w:pPr>
        <w:pStyle w:val="BodyText"/>
        <w:rPr/>
      </w:pPr>
      <w:r>
        <w:rPr>
          <w:b/>
          <w:bCs/>
          <w:sz w:val="26"/>
        </w:rPr>
        <w:t>Neutral Zone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SIG-BRG-N1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specific triggering event is named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Something concretely happened that moved the cohort out of Ending — a training wave, a go-live, a direct conversation — named in the notes, not inferred from time having passed.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SIG-BRG-N2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Disorientation/questions logged as expected, not alarming</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Confusion and questions during Neutral Zone are the expected texture of this stage, not evidence something has gone wrong — logging them as such keeps the record honest rather than falsely reassuring.</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SIG-BRG-N3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unexplained regression back to Ending</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cohort that slides back to Ending without a newly logged cause (a defect, a reorg rumor, a bad rollout experience) is a stronger signal something specific needs attention than a regression with a clearly named trigger.</w:t>
            </w:r>
          </w:p>
        </w:tc>
      </w:tr>
    </w:tbl>
    <w:p>
      <w:pPr>
        <w:pStyle w:val="BodyText"/>
        <w:rPr/>
      </w:pPr>
      <w:r>
        <w:rPr>
          <w:b/>
          <w:bCs/>
          <w:sz w:val="26"/>
        </w:rPr>
        <w:t>New Beginning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Voluntary advocacy or teaching behavior observed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person is observed helping others adopt the change, not merely complying themselves — the clearest behavioral evidence Bridges has genuinely completed, distinct from ADKAR capability.</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Confirmed via re-pulse, not a single observation</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One good moment is not the same as a confirmed state — New Beginning is confirmed on a second, later read agreeing with the first.</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coexisting Divergence Pattern flag</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absence of an open ALT-001 (Divergence Pattern Detected) flag for this cohort strengthens confidence that the New Beginning call reflects genuine alignment between capability and emotional position.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New behavior persists without prompting across a full work cycle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person continues operating the new way through at least one complete regular work cycle (e.g. a full month-end close, a full production cycle) without needing reminders — distinguishes a durable New Beginning from a temporarily enthusiastic moment.</w:t>
            </w:r>
          </w:p>
        </w:tc>
      </w:tr>
    </w:tbl>
    <w:p>
      <w:pPr>
        <w:pStyle w:val="BodyText"/>
        <w:rPr/>
      </w:pPr>
      <w:r>
        <w:rPr/>
      </w:r>
      <w:bookmarkStart w:id="64" w:name="bridges-signals"/>
      <w:bookmarkStart w:id="65" w:name="bridges-signals"/>
      <w:bookmarkEnd w:id="65"/>
    </w:p>
    <w:p>
      <w:pPr>
        <w:pStyle w:val="Heading3"/>
        <w:rPr/>
      </w:pPr>
      <w:bookmarkStart w:id="66" w:name="__RefHeading___Toc4884_1235152635"/>
      <w:bookmarkStart w:id="67" w:name="kübler-ross-signals"/>
      <w:bookmarkEnd w:id="66"/>
      <w:bookmarkEnd w:id="67"/>
      <w:r>
        <w:rPr>
          <w:b/>
          <w:color w:val="3F827B"/>
          <w:sz w:val="29"/>
        </w:rPr>
        <w:t>3.5 Kübler-Ross Signals</w:t>
      </w:r>
    </w:p>
    <w:p>
      <w:pPr>
        <w:pStyle w:val="FirstParagraph"/>
        <w:rPr/>
      </w:pPr>
      <w:r>
        <w:rPr>
          <w:b/>
          <w:bCs/>
          <w:sz w:val="26"/>
        </w:rPr>
        <w:t>Denial</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SIG-KR-D1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Direct statements minimizing personal relevance</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Comments to the effect of “this won’t really change how I work” or “this always gets cancelled” — the defining texture of Denial, and worth quoting directly in the notes field rather than paraphrased.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SIG-KR-D2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behavioral compliance data contradicts the verbal denial</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Where usage or attendance data is available, it does not already show the person quietly engaging despite what they’re saying — if it does, the reading may be closer to Resistance/Anger than genuine Denial, and is worth re-checking.</w:t>
            </w:r>
          </w:p>
        </w:tc>
      </w:tr>
    </w:tbl>
    <w:p>
      <w:pPr>
        <w:pStyle w:val="BodyText"/>
        <w:rPr/>
      </w:pPr>
      <w:r>
        <w:rPr>
          <w:b/>
          <w:bCs/>
          <w:sz w:val="26"/>
        </w:rPr>
        <w:t>Resistance/Anger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SIG-KR-R1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Active, specific pushback — not passive disengagement</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Named objections, complaints, or visible frustration — distinguishes genuine Resistance/Anger from a cohort that has simply gone quiet, which is a different (and often more concerning) signal not well captured by this stage alone.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SIG-KR-R2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specific driver of the resistance is identified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Naming </w:t>
            </w:r>
            <w:r>
              <w:rPr>
                <w:rFonts w:eastAsia="Cambria" w:cs=""/>
                <w:i/>
                <w:iCs/>
                <w:kern w:val="0"/>
                <w:sz w:val="23"/>
                <w:szCs w:val="24"/>
                <w:lang w:val="en-US" w:eastAsia="en-US" w:bidi="ar-SA"/>
              </w:rPr>
              <w:t>what</w:t>
            </w:r>
            <w:r>
              <w:rPr>
                <w:rFonts w:eastAsia="Cambria" w:cs=""/>
                <w:kern w:val="0"/>
                <w:sz w:val="23"/>
                <w:szCs w:val="24"/>
                <w:lang w:val="en-US" w:eastAsia="en-US" w:bidi="ar-SA"/>
              </w:rPr>
              <w:t xml:space="preserve"> is driving the reaction (role security, workload, loss of autonomy) turns a Resistance/Anger reading into something a Change Manager can actually respond to, rather than a label alone.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SIG-KR-R3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Resistance is directed at the change, not at individuals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Objections target the process, system, or decision rather than becoming personal toward specific colleagues or leaders — resistance that turns personal typically needs a different, more direct intervention than the standard listening-session response.</w:t>
            </w:r>
          </w:p>
        </w:tc>
      </w:tr>
    </w:tbl>
    <w:p>
      <w:pPr>
        <w:pStyle w:val="BodyText"/>
        <w:rPr/>
      </w:pPr>
      <w:r>
        <w:rPr>
          <w:b/>
          <w:bCs/>
          <w:sz w:val="26"/>
        </w:rPr>
        <w:t>Exploration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SIG-KR-X1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Questions have shifted from “why” to “how”</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content of what people are asking has moved from justifying the change to operating within it — the clearest linguistic marker that Denial and Resistance/Anger have genuinely passed.</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SIG-KR-X2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Voluntary use of the new system/process observed</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Using the new way when not strictly required to yet is stronger evidence of Exploration than compliance-only usage.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SIG-KR-X3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Willingness to troubleshoot own errors rather than reverting</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When something goes wrong, the person works through it in the new system rather than falling back to the old process or escalating immediately — a practical sign of genuine, if not yet confident, engagement.</w:t>
            </w:r>
          </w:p>
        </w:tc>
      </w:tr>
    </w:tbl>
    <w:p>
      <w:pPr>
        <w:pStyle w:val="BodyText"/>
        <w:rPr/>
      </w:pPr>
      <w:r>
        <w:rPr>
          <w:b/>
          <w:bCs/>
          <w:sz w:val="26"/>
        </w:rPr>
        <w:t>Commitment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261"/>
        <w:gridCol w:w="2312"/>
        <w:gridCol w:w="1262"/>
        <w:gridCol w:w="5676"/>
      </w:tblGrid>
      <w:tr>
        <w:trPr>
          <w:tblHeader w:val="true"/>
          <w:cantSplit w:val="true"/>
        </w:trPr>
        <w:tc>
          <w:tcPr>
            <w:tcW w:w="126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w:t>
            </w:r>
          </w:p>
        </w:tc>
        <w:tc>
          <w:tcPr>
            <w:tcW w:w="231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Name</w:t>
            </w:r>
          </w:p>
        </w:tc>
        <w:tc>
          <w:tcPr>
            <w:tcW w:w="126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Type</w:t>
            </w:r>
          </w:p>
        </w:tc>
        <w:tc>
          <w:tcPr>
            <w:tcW w:w="567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Detailed Description</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SIG-KR-C1</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Unprompted positive advocacy to peers</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person is observed recommending or defending the change to others without being asked — the sentiment-side equivalent of Bridges’ New Beginning advocacy signal, and the two should generally agree.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SIG-KR-C2</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Sustained over multiple pulses, not a single high point</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Must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single enthusiastic moment (e.g. right after a successful go-live) is not the same as durable Commitment — confirmed only once it holds across a second, later pulse.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SIG-KR-C3</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Agreement with the cohort’s Bridges reading</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Commitment alongside a Bridges reading still at Neutral Zone (rather than New Beginning) is not necessarily wrong, but is worth a second look — the two frameworks usually, though not always, move together at this end state.</w:t>
            </w:r>
          </w:p>
        </w:tc>
      </w:tr>
      <w:tr>
        <w:trPr>
          <w:cantSplit w:val="true"/>
        </w:trPr>
        <w:tc>
          <w:tcPr>
            <w:tcW w:w="12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SIG-KR-C4</w:t>
            </w:r>
          </w:p>
        </w:tc>
        <w:tc>
          <w:tcPr>
            <w:tcW w:w="23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Appears unprompted in written feedback, not only in conversation</w:t>
            </w:r>
          </w:p>
        </w:tc>
        <w:tc>
          <w:tcPr>
            <w:tcW w:w="126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Nice to Have</w:t>
            </w:r>
          </w:p>
        </w:tc>
        <w:tc>
          <w:tcPr>
            <w:tcW w:w="567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advocacy shows up in a survey, a written pulse response, or similar — a channel the person chose to use rather than one where they were directly asked — strengthening confidence the sentiment is genuine rather than socially agreeable in the moment.</w:t>
            </w:r>
          </w:p>
        </w:tc>
      </w:tr>
    </w:tbl>
    <w:p>
      <w:pPr>
        <w:pStyle w:val="BodyText"/>
        <w:rPr/>
      </w:pPr>
      <w:r>
        <w:rPr/>
      </w:r>
      <w:bookmarkStart w:id="68" w:name="kübler-ross-signals"/>
      <w:bookmarkStart w:id="69" w:name="kübler-ross-signals"/>
      <w:bookmarkEnd w:id="69"/>
    </w:p>
    <w:p>
      <w:pPr>
        <w:pStyle w:val="Heading3"/>
        <w:rPr/>
      </w:pPr>
      <w:bookmarkStart w:id="70" w:name="__RefHeading___Toc4886_1235152635"/>
      <w:bookmarkStart w:id="71" w:name="master-decision-matrix"/>
      <w:bookmarkEnd w:id="70"/>
      <w:bookmarkEnd w:id="71"/>
      <w:r>
        <w:rPr>
          <w:b/>
          <w:color w:val="3F827B"/>
          <w:sz w:val="29"/>
        </w:rPr>
        <w:t>3.6 Master Decision Matrix</w:t>
      </w:r>
    </w:p>
    <w:p>
      <w:pPr>
        <w:pStyle w:val="FirstParagraph"/>
        <w:rPr/>
      </w:pPr>
      <w:r>
        <w:rPr>
          <w:sz w:val="26"/>
        </w:rPr>
        <w:t>The matrix below states the minimum evidence bar for each framework’s state transitions in one place — the “Must Have” columns are non-negotiable outside a named exception; the “Nice to Have” column states how many are recommended to support the call, without being individually required. The final column names which of Part 3.7’s seven exceptions can legitimately override the normal bar for that row, where one applies.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156"/>
        <w:gridCol w:w="1156"/>
        <w:gridCol w:w="1997"/>
        <w:gridCol w:w="1892"/>
        <w:gridCol w:w="1788"/>
        <w:gridCol w:w="2522"/>
      </w:tblGrid>
      <w:tr>
        <w:trPr>
          <w:tblHeader w:val="true"/>
          <w:cantSplit w:val="true"/>
        </w:trPr>
        <w:tc>
          <w:tcPr>
            <w:tcW w:w="11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Framework</w:t>
            </w:r>
          </w:p>
        </w:tc>
        <w:tc>
          <w:tcPr>
            <w:tcW w:w="11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Transition</w:t>
            </w:r>
          </w:p>
        </w:tc>
        <w:tc>
          <w:tcPr>
            <w:tcW w:w="199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Must-Have Signals Required</w:t>
            </w:r>
          </w:p>
        </w:tc>
        <w:tc>
          <w:tcPr>
            <w:tcW w:w="189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Nice-to-Have Recommended</w:t>
            </w:r>
          </w:p>
        </w:tc>
        <w:tc>
          <w:tcPr>
            <w:tcW w:w="178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Who Makes the Call</w:t>
            </w:r>
          </w:p>
        </w:tc>
        <w:tc>
          <w:tcPr>
            <w:tcW w:w="252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Exception May Apply</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Unfreeze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SIG-LEW-U1, U2, U3, U6 (all 4)</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(U4, U5)</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 reviewed with Steering Committee</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EXC-01, EXC-07</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Change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SIG-LEW-C1, C2, C3 (all 3)</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3 (C4, C5, C6)</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 reviewed with Steering Committee</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EXC-01, EXC-04, EXC-07</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Refreeze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SIG-LEW-R1, R2, R3, R4 (all 4)</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3 (R5, R6, R7)</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 reviewed with Steering Committee</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EXC-02</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Any block scored ≥ 3</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A4, A5 both strengthen but neither is required</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 EXC-06</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Stalled block called recovered</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SIG-ADK-A1, A2, A3 (all 3)</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A4</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Reinforcement block specifically</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SIG-ADK-A1, A2, A3, A6 (all 4)</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A4</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Ending (baseline)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SIG-BRG-E1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(E2, E3)</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EXC-03</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Neutral Zone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SIG-BRG-N1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(N2, N3)</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EXC-02</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New Beginning</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SIG-BRG-B1, B2 (both)</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(B3, B4)</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EXC-02, EXC-03</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Denial (baseline)</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SIG-KR-D1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D2</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Resistance/Anger</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SIG-KR-R1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(R2, R3)</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EXC-03</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Exploration</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SIG-KR-X1</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(X2, X3)</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t>
            </w:r>
          </w:p>
        </w:tc>
      </w:tr>
      <w:tr>
        <w:trPr>
          <w:cantSplit w:val="true"/>
        </w:trPr>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w:t>
            </w:r>
          </w:p>
        </w:tc>
        <w:tc>
          <w:tcPr>
            <w:tcW w:w="11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 </w:t>
            </w:r>
            <w:r>
              <w:rPr>
                <w:rFonts w:eastAsia="Cambria" w:cs=""/>
                <w:kern w:val="0"/>
                <w:sz w:val="23"/>
                <w:szCs w:val="24"/>
                <w:lang w:val="en-US" w:eastAsia="en-US" w:bidi="ar-SA"/>
              </w:rPr>
              <w:t>Commitment</w:t>
            </w:r>
          </w:p>
        </w:tc>
        <w:tc>
          <w:tcPr>
            <w:tcW w:w="199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SIG-KR-C1, C2 (both)</w:t>
            </w:r>
          </w:p>
        </w:tc>
        <w:tc>
          <w:tcPr>
            <w:tcW w:w="189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of 2 (C3, C4)</w:t>
            </w:r>
          </w:p>
        </w:tc>
        <w:tc>
          <w:tcPr>
            <w:tcW w:w="178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Manager</w:t>
            </w:r>
          </w:p>
        </w:tc>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EXC-06</w:t>
            </w:r>
          </w:p>
        </w:tc>
      </w:tr>
    </w:tbl>
    <w:p>
      <w:pPr>
        <w:pStyle w:val="BodyText"/>
        <w:rPr/>
      </w:pPr>
      <w:r>
        <w:rPr>
          <w:b/>
          <w:bCs/>
          <w:sz w:val="26"/>
        </w:rPr>
        <w:t>Reading the matrix.</w:t>
      </w:r>
      <w:r>
        <w:rPr>
          <w:sz w:val="26"/>
        </w:rPr>
        <w:t xml:space="preserve"> A transition backed by every listed Must-Have signal but zero Nice-to-Haves is a </w:t>
      </w:r>
      <w:r>
        <w:rPr>
          <w:i/>
          <w:iCs/>
          <w:sz w:val="26"/>
        </w:rPr>
        <w:t>defensible</w:t>
      </w:r>
      <w:r>
        <w:rPr>
          <w:sz w:val="26"/>
        </w:rPr>
        <w:t xml:space="preserve"> call — it will withstand a later audit of the change log. A transition missing even one Must-Have is not ready to log yet, regardless of how many Nice-to-Haves are present; Nice-to-Have signals exist to strengthen an already-defensible call, not to substitute for a missing one.</w:t>
      </w:r>
    </w:p>
    <w:p>
      <w:pPr>
        <w:pStyle w:val="BodyText"/>
        <w:rPr/>
      </w:pPr>
      <w:r>
        <w:rPr>
          <w:b/>
          <w:bCs/>
          <w:sz w:val="26"/>
        </w:rPr>
        <w:t>A zero-th case the matrix itself cannot resolve.</w:t>
      </w:r>
      <w:r>
        <w:rPr>
          <w:sz w:val="26"/>
        </w:rPr>
        <w:t xml:space="preserve"> Every row above assumes at least some evidence exists to evaluate. Exception EXC-05 (Silent / Unreachable Cohort, Part 3.7) is different in kind from the other six: it is not a case where the bar is lowered, but one where the matrix cannot be applied at all until an engagement channel exists. No row in this matrix should be read as satisfied by an absence of contradicting evidence from a cohort that was never actually reachable.</w:t>
      </w:r>
    </w:p>
    <w:p>
      <w:pPr>
        <w:pStyle w:val="BodyText"/>
        <w:rPr/>
      </w:pPr>
      <w:r>
        <w:rPr/>
      </w:r>
      <w:bookmarkStart w:id="72" w:name="master-decision-matrix"/>
      <w:bookmarkStart w:id="73" w:name="master-decision-matrix"/>
      <w:bookmarkEnd w:id="73"/>
    </w:p>
    <w:p>
      <w:pPr>
        <w:pStyle w:val="Heading3"/>
        <w:rPr/>
      </w:pPr>
      <w:bookmarkStart w:id="74" w:name="__RefHeading___Toc4888_1235152635"/>
      <w:bookmarkStart w:id="75" w:name="exceptions-to-the-decision-matrix"/>
      <w:bookmarkEnd w:id="74"/>
      <w:bookmarkEnd w:id="75"/>
      <w:r>
        <w:rPr>
          <w:b/>
          <w:color w:val="3F827B"/>
          <w:sz w:val="29"/>
        </w:rPr>
        <w:t>3.7 Exceptions to the Decision Matrix</w:t>
      </w:r>
    </w:p>
    <w:p>
      <w:pPr>
        <w:pStyle w:val="FirstParagraph"/>
        <w:rPr/>
      </w:pPr>
      <w:r>
        <w:rPr>
          <w:sz w:val="26"/>
        </w:rPr>
        <w:t>Each exception below restates, at the decision-matrix level, the interaction-level description already given in Part 2.5 — naming exactly which Must-Have signals it affects and what compensating requirement replaces the normal bar. An exception is a documented, justified override, not a silent waiver: in every case, the compensation itself becomes part of the logged record, so a later audit can see not just that the bar was met differently, but why.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946"/>
        <w:gridCol w:w="2102"/>
        <w:gridCol w:w="3469"/>
        <w:gridCol w:w="3994"/>
      </w:tblGrid>
      <w:tr>
        <w:trPr>
          <w:tblHeader w:val="true"/>
          <w:cantSplit w:val="true"/>
        </w:trPr>
        <w:tc>
          <w:tcPr>
            <w:tcW w:w="94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Exception ID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Applies To</w:t>
            </w:r>
          </w:p>
        </w:tc>
        <w:tc>
          <w:tcPr>
            <w:tcW w:w="3469"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What Changes</w:t>
            </w:r>
          </w:p>
        </w:tc>
        <w:tc>
          <w:tcPr>
            <w:tcW w:w="399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Compensating Requirement</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EXC-01</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 Unfreeze, → Change</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normal Unfreeze Must-Haves (SIG-LEW-U1–U3, U6) may not exist yet when a compliance or executive mandate forces movement toward Change.</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Log Change with a justification naming the mandate, not the normal Unfreeze evidence, as the driver; track the missing stakeholder/sponsor engagement as an explicit open gap to close during Change, not a satisfied requirement.</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 Refreeze (SIG-LEW-R5); Bridges → Neutral Zone, → New Beginning</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w:t>
            </w:r>
            <w:r>
              <w:rPr>
                <w:rFonts w:eastAsia="Cambria" w:cs=""/>
                <w:kern w:val="0"/>
                <w:sz w:val="23"/>
                <w:szCs w:val="24"/>
                <w:lang w:val="en-US" w:eastAsia="en-US" w:bidi="ar-SA"/>
              </w:rPr>
              <w:t>Legacy system access formally revoked” (R5) is unreachable while a deliberate parallel run continues, and a cohort can rationally remain in Neutral Zone indefinitely with a working fallback still available.</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Log an explicit, dated parallel-run end date when the parallel period begins. R5 converts from Nice-to-Have to an effective Must-Have once that date passes; any Neutral Zone reading persisting past the date without a new, specific cause is treated as a genuine stall.</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EXC-03</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any transition; Kübler-Ross → Resistance/Anger</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An Ending or Resistance/Anger reading recorded during a concurrent restructuring or reduction-in-force may reflect job-security grief rather than the process/system change being tracked.</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justification note must explicitly distinguish job-security grief from process/system grief before the reading counts toward SIG-BRG-E1 or SIG-KR-R1 — a generic “team is anxious” note does not satisfy the signal under this exception.</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any block; Kübler-Ross → Denial</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stalled score or a flat Denial reading may reflect interference or fatigue from a concurrent or recent, unrelated change initiative rather than a barrier specific to this program.</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barrier-reason note (SIG-ADK-A2) or Denial justification must explicitly rule in or out the concurrent initiative before the signal is treated as diagnostic; confirmed saturation calls for pacing relief, not a standard barrier-removal intervention.</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EXC-05</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Any framework, any transition</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 engagement channel exists to gather a reading from the cohort at all — the entire evidentiary premise of the matrix is absent, not merely thin.</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The cohort is logged as </w:t>
            </w:r>
            <w:r>
              <w:rPr>
                <w:rFonts w:eastAsia="Cambria" w:cs=""/>
                <w:b/>
                <w:bCs/>
                <w:kern w:val="0"/>
                <w:sz w:val="23"/>
                <w:szCs w:val="24"/>
                <w:lang w:val="en-US" w:eastAsia="en-US" w:bidi="ar-SA"/>
              </w:rPr>
              <w:t>Unmeasured</w:t>
            </w:r>
            <w:r>
              <w:rPr>
                <w:rFonts w:eastAsia="Cambria" w:cs=""/>
                <w:kern w:val="0"/>
                <w:sz w:val="23"/>
                <w:szCs w:val="24"/>
                <w:lang w:val="en-US" w:eastAsia="en-US" w:bidi="ar-SA"/>
              </w:rPr>
              <w:t>, never defaulted to any state (including the mildest available reading); a channel-creation task is opened and tracked before any Lewin, ADKAR, Bridges, or Kübler-Ross claim is made about that population.</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EXC-06</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(SIG-ADK-A4, A5); Bridges (SIG-BRG-B2); Kübler-Ross (SIG-KR-C2)</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Multi-reading trend and consistency signals assume enough independent observations to be meaningful; a cohort of one to five people (an executive team, typically) does not provide that.</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Below a defined cohort-size threshold (five is a reasonable default), trend/consistency Nice-to-Haves are waived and replaced by direct, named qualitative confirmation — typically logged by the Executive Sponsor or Change Manager after a specific, dated conversation.</w:t>
            </w:r>
          </w:p>
        </w:tc>
      </w:tr>
      <w:tr>
        <w:trPr>
          <w:cantSplit w:val="true"/>
        </w:trPr>
        <w:tc>
          <w:tcPr>
            <w:tcW w:w="94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EXC-07</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 Unfreeze, → Change</w:t>
            </w:r>
          </w:p>
        </w:tc>
        <w:tc>
          <w:tcPr>
            <w:tcW w:w="346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crisis or time-critical event compresses what would normally be sequential Unfreeze-then-Change evidence into days rather than months, and the normal sequential gating cannot be honored without delaying a necessary response.</w:t>
            </w:r>
          </w:p>
        </w:tc>
        <w:tc>
          <w:tcPr>
            <w:tcW w:w="399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Both stages’ Must-Have evidence is logged together, retroactively, within a fixed window after the fact (a defined number of days is a reasonable default); the compression itself is logged as its own justified change, distinct from the underlying business case.</w:t>
            </w:r>
          </w:p>
        </w:tc>
      </w:tr>
    </w:tbl>
    <w:p>
      <w:pPr>
        <w:pStyle w:val="BodyText"/>
        <w:rPr/>
      </w:pPr>
      <w:r>
        <w:rPr/>
      </w:r>
      <w:bookmarkStart w:id="76" w:name="X267258fd6e652a71c88e87794cc3de712601ce2"/>
      <w:bookmarkStart w:id="77" w:name="exceptions-to-the-decision-matrix"/>
      <w:bookmarkStart w:id="78" w:name="X267258fd6e652a71c88e87794cc3de712601ce2"/>
      <w:bookmarkStart w:id="79" w:name="exceptions-to-the-decision-matrix"/>
      <w:bookmarkEnd w:id="78"/>
      <w:bookmarkEnd w:id="79"/>
    </w:p>
    <w:p>
      <w:pPr>
        <w:pStyle w:val="Heading2"/>
        <w:rPr/>
      </w:pPr>
      <w:bookmarkStart w:id="80" w:name="__RefHeading___Toc4890_1235152635"/>
      <w:bookmarkStart w:id="81" w:name="part-4-kpi-and-index-formula-reference"/>
      <w:bookmarkEnd w:id="80"/>
      <w:bookmarkEnd w:id="81"/>
      <w:r>
        <w:rPr>
          <w:b/>
          <w:color w:val="275650"/>
          <w:sz w:val="34"/>
        </w:rPr>
        <w:t>Part 4 — KPI and Index Formula Reference</w:t>
      </w:r>
    </w:p>
    <w:p>
      <w:pPr>
        <w:pStyle w:val="FirstParagraph"/>
        <w:rPr/>
      </w:pPr>
      <w:r>
        <w:rPr/>
      </w:r>
    </w:p>
    <w:p>
      <w:pPr>
        <w:pStyle w:val="Heading3"/>
        <w:rPr/>
      </w:pPr>
      <w:bookmarkStart w:id="82" w:name="__RefHeading___Toc4892_1235152635"/>
      <w:bookmarkStart w:id="83" w:name="composite-readiness-index"/>
      <w:bookmarkEnd w:id="82"/>
      <w:bookmarkEnd w:id="83"/>
      <w:r>
        <w:rPr>
          <w:b/>
          <w:color w:val="3F827B"/>
          <w:sz w:val="29"/>
        </w:rPr>
        <w:t>4.1 Composite Readiness Index</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KPI-01</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Composite Readiness Index</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Average of the 5 ADKAR block scores for the project/cohort in scope, each 1–5. (2) The project’s current Kübler-Ross sentiment reading, mapped to a percentage via KPI-07 (Part 4.7). (3) The average completion percentage across all logged training records for the project.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23"/>
                <w:szCs w:val="24"/>
                <w:lang w:val="en-US" w:eastAsia="en-US" w:bidi="ar-SA"/>
              </w:rPr>
              <w:t>Index = round( (ADKAR_avg / 5 × 100) × 0.50 + Sentiment_pct × 0.25 + Training_completion_avg × 0.25 )</w:t>
            </w:r>
            <w:r>
              <w:rPr>
                <w:rFonts w:eastAsia="Cambria" w:cs=""/>
                <w:kern w:val="0"/>
                <w:sz w:val="23"/>
                <w:szCs w:val="24"/>
                <w:lang w:val="en-US" w:eastAsia="en-US" w:bidi="ar-SA"/>
              </w:rPr>
              <w:t xml:space="preserve">, where </w:t>
            </w:r>
            <w:r>
              <w:rPr>
                <w:rStyle w:val="VerbatimChar"/>
                <w:rFonts w:eastAsia="Cambria" w:cs=""/>
                <w:kern w:val="0"/>
                <w:sz w:val="23"/>
                <w:szCs w:val="24"/>
                <w:lang w:val="en-US" w:eastAsia="en-US" w:bidi="ar-SA"/>
              </w:rPr>
              <w:t>Sentiment_pct</w:t>
            </w:r>
            <w:r>
              <w:rPr>
                <w:rFonts w:eastAsia="Cambria" w:cs=""/>
                <w:kern w:val="0"/>
                <w:sz w:val="23"/>
                <w:szCs w:val="24"/>
                <w:lang w:val="en-US" w:eastAsia="en-US" w:bidi="ar-SA"/>
              </w:rPr>
              <w:t xml:space="preserve"> comes from the fixed mapping Denial = 20, Resistance/Anger = 40, Exploration = 70, Commitment = 100. Result is an integer, 0–100.</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carries the majority weight (50%) because it is the most granular, most frequently re-measured input and the one most directly under a Change Manager’s influence week to week. Sentiment and Training Completion split the remainder evenly (25% each) as corroborating, slower-moving signals — present so a cohort with strong ADKAR scores but genuinely poor sentiment, or strong scores with training still incomplete, doesn’t read as fully ready on ADKAR alone.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ADKAR block scores 4, 3, 4, 3, 3 → average 3.4 → 68%. Sentiment reads Exploration → 70%. Training completion averages 82%. Index = round(68 × 0.50 + 70 × 0.25 + 82 × 0.25) = round(34 + 17.5 + 20.5) = </w:t>
            </w:r>
            <w:r>
              <w:rPr>
                <w:rFonts w:eastAsia="Cambria" w:cs=""/>
                <w:b/>
                <w:bCs/>
                <w:kern w:val="0"/>
                <w:sz w:val="23"/>
                <w:szCs w:val="24"/>
                <w:lang w:val="en-US" w:eastAsia="en-US" w:bidi="ar-SA"/>
              </w:rPr>
              <w:t>72</w:t>
            </w:r>
            <w:r>
              <w:rPr>
                <w:rFonts w:eastAsia="Cambria" w:cs=""/>
                <w:kern w:val="0"/>
                <w:sz w:val="23"/>
                <w:szCs w:val="24"/>
                <w:lang w:val="en-US" w:eastAsia="en-US" w:bidi="ar-SA"/>
              </w:rPr>
              <w: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M14 (Analytics), as the primary readiness figure per project; also surfaced on the Portfolio Dashboard rolled up across projects, and referenced by Phase Gate records (M17) as a snapshot value captured at each gate.</w:t>
            </w:r>
          </w:p>
        </w:tc>
      </w:tr>
    </w:tbl>
    <w:p>
      <w:pPr>
        <w:pStyle w:val="BodyText"/>
        <w:rPr/>
      </w:pPr>
      <w:r>
        <w:rPr/>
      </w:r>
      <w:bookmarkStart w:id="84" w:name="composite-readiness-index"/>
      <w:bookmarkStart w:id="85" w:name="composite-readiness-index"/>
      <w:bookmarkEnd w:id="85"/>
    </w:p>
    <w:p>
      <w:pPr>
        <w:pStyle w:val="Heading3"/>
        <w:rPr/>
      </w:pPr>
      <w:bookmarkStart w:id="86" w:name="__RefHeading___Toc4894_1235152635"/>
      <w:bookmarkStart w:id="87" w:name="divergence-pattern-detector"/>
      <w:bookmarkEnd w:id="86"/>
      <w:bookmarkEnd w:id="87"/>
      <w:r>
        <w:rPr>
          <w:b/>
          <w:color w:val="3F827B"/>
          <w:sz w:val="29"/>
        </w:rPr>
        <w:t>4.2 Divergence Pattern Detector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KPI-02 (alert ALT-001)</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Divergence Pattern Detected</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(1) ADKAR Knowledge block score. (2) ADKAR Ability block score. (3) Current Bridges reading.</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Fires when </w:t>
            </w:r>
            <w:r>
              <w:rPr>
                <w:rStyle w:val="VerbatimChar"/>
                <w:rFonts w:eastAsia="Cambria" w:cs=""/>
                <w:kern w:val="0"/>
                <w:sz w:val="23"/>
                <w:szCs w:val="24"/>
                <w:lang w:val="en-US" w:eastAsia="en-US" w:bidi="ar-SA"/>
              </w:rPr>
              <w:t>Knowledge_score ≥ 4 AND Ability_score ≥ 4 AND Bridges == "Ending"</w:t>
            </w:r>
            <w:r>
              <w:rPr>
                <w:rFonts w:eastAsia="Cambria" w:cs=""/>
                <w:kern w:val="0"/>
                <w:sz w:val="23"/>
                <w:szCs w:val="24"/>
                <w:lang w:val="en-US" w:eastAsia="en-US" w:bidi="ar-SA"/>
              </w:rPr>
              <w:t>. Boolean, not a scored index — the alert either fires for a given individual/cohort or it doesn’t.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The threshold is deliberately set at 4, not 3, on both ADKAR blocks — a stricter bar than the general “healthy” reading of 3+ used elsewhere in the platform (see the note in 4.2’s related-metric callout below), because the alert is meant to catch a genuinely striking mismatch (near-maximum demonstrated capability alongside zero emotional movement), not a borderline one that would fire too often to stay meaningful. Requiring Bridges to read </w:t>
            </w:r>
            <w:r>
              <w:rPr>
                <w:rFonts w:eastAsia="Cambria" w:cs=""/>
                <w:i/>
                <w:iCs/>
                <w:kern w:val="0"/>
                <w:sz w:val="23"/>
                <w:szCs w:val="24"/>
                <w:lang w:val="en-US" w:eastAsia="en-US" w:bidi="ar-SA"/>
              </w:rPr>
              <w:t>exactly</w:t>
            </w:r>
            <w:r>
              <w:rPr>
                <w:rFonts w:eastAsia="Cambria" w:cs=""/>
                <w:kern w:val="0"/>
                <w:sz w:val="23"/>
                <w:szCs w:val="24"/>
                <w:lang w:val="en-US" w:eastAsia="en-US" w:bidi="ar-SA"/>
              </w:rPr>
              <w:t xml:space="preserve"> Ending, rather than “not yet New Beginning,” keeps the alert scoped to the specific, actionable case — a cohort already in Neutral Zone is progressing, even if slowly, and doesn’t need the same intervention.</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UAT participant scores Knowledge = 4 and Ability = 4 after a strong testing session, while their Bridges reading (last set three weeks earlier, before UAT began) still shows Ending. The alert fires. The recommended response is a loss-focused conversation, not additional training — the gap here is not capability.</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Notification Center (bell icon, top bar) as ALT-001; also computed as a softer, phase-gate-facing flag (threshold 3, not 4, on both ADKAR blocks — see the note below) surfaced as an open flag on M17 (WBS &amp; Gantt) Phase Gate records.</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A related metric worth distinguishing</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journi actually computes this pattern at two thresholds for two different audiences: the strict version above (Knowledge/Ability ≥ 4) drives the real-time ALT-001 notification, while a softer version (Knowledge/Ability ≥ 3, same Bridges = Ending condition) auto-populates as a suggested open flag when a Program/Project Manager opens a new Phase Gate record — worth knowing both exist, since they can legitimately disagree (a cohort at Knowledge/Ability = 3 will show on a Phase Gate flag without ever triggering the ALT-001 notification).</w:t>
            </w:r>
          </w:p>
        </w:tc>
      </w:tr>
    </w:tbl>
    <w:p>
      <w:pPr>
        <w:pStyle w:val="BodyText"/>
        <w:rPr/>
      </w:pPr>
      <w:r>
        <w:rPr/>
      </w:r>
      <w:bookmarkStart w:id="88" w:name="divergence-pattern-detector"/>
      <w:bookmarkStart w:id="89" w:name="divergence-pattern-detector"/>
      <w:bookmarkEnd w:id="89"/>
    </w:p>
    <w:p>
      <w:pPr>
        <w:pStyle w:val="Heading3"/>
        <w:rPr/>
      </w:pPr>
      <w:bookmarkStart w:id="90" w:name="__RefHeading___Toc4896_1235152635"/>
      <w:bookmarkStart w:id="91" w:name="adkar-block-stall-flag"/>
      <w:bookmarkEnd w:id="90"/>
      <w:bookmarkEnd w:id="91"/>
      <w:r>
        <w:rPr>
          <w:b/>
          <w:color w:val="3F827B"/>
          <w:sz w:val="29"/>
        </w:rPr>
        <w:t>4.3 ADKAR Block Stall Flag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KPI-03</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Block Stall Flag</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single ADKAR block’s current score, 1–5.</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23"/>
                <w:szCs w:val="24"/>
                <w:lang w:val="en-US" w:eastAsia="en-US" w:bidi="ar-SA"/>
              </w:rPr>
              <w:t>Stalled = (score ≤ 2)</w:t>
            </w:r>
            <w:r>
              <w:rPr>
                <w:rFonts w:eastAsia="Cambria" w:cs=""/>
                <w:kern w:val="0"/>
                <w:sz w:val="23"/>
                <w:szCs w:val="24"/>
                <w:lang w:val="en-US" w:eastAsia="en-US" w:bidi="ar-SA"/>
              </w:rPr>
              <w:t>. Boolean, evaluated independently per block, per cohort.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threshold is set at 2, not 1, deliberately erring toward over-flagging rather than under-flagging — a score of 2 (“barely present”) is treated as needing intervention now rather than waiting for it to fall all the way to 1 (“absent”) before acting, since by the time a block reads 1 the barrier has typically been present, unaddressed, for longer than ideal.</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cohort’s Desire block is scored 2 following a reorganization rumor. The flag fires immediately, and journi requires a barrier-reason note before the score can be saved — the record captures not just that Desire stalled, but the specific driver (in this case, role-security concern).</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M5 (ADKAR Engine), as a visual flag directly on the stalled block; feeds the stalled-block count shown on M11 (Manager as Coach)’s team heatmap.</w:t>
            </w:r>
          </w:p>
        </w:tc>
      </w:tr>
    </w:tbl>
    <w:p>
      <w:pPr>
        <w:pStyle w:val="BodyText"/>
        <w:rPr/>
      </w:pPr>
      <w:r>
        <w:rPr/>
      </w:r>
      <w:bookmarkStart w:id="92" w:name="adkar-block-stall-flag"/>
      <w:bookmarkStart w:id="93" w:name="adkar-block-stall-flag"/>
      <w:bookmarkEnd w:id="93"/>
    </w:p>
    <w:p>
      <w:pPr>
        <w:pStyle w:val="Heading3"/>
        <w:rPr/>
      </w:pPr>
      <w:bookmarkStart w:id="94" w:name="__RefHeading___Toc4898_1235152635"/>
      <w:bookmarkStart w:id="95" w:name="risk-severity-score"/>
      <w:bookmarkEnd w:id="94"/>
      <w:bookmarkEnd w:id="95"/>
      <w:r>
        <w:rPr>
          <w:b/>
          <w:color w:val="3F827B"/>
          <w:sz w:val="29"/>
        </w:rPr>
        <w:t>4.4 Risk Severity Score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KPI-04</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Risk Severity Score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logged risk’s Likelihood rating (1–5) and Impact rating (1–5).</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23"/>
                <w:szCs w:val="24"/>
                <w:lang w:val="en-US" w:eastAsia="en-US" w:bidi="ar-SA"/>
              </w:rPr>
              <w:t>Severity = Likelihood × Impact</w:t>
            </w:r>
            <w:r>
              <w:rPr>
                <w:rFonts w:eastAsia="Cambria" w:cs=""/>
                <w:kern w:val="0"/>
                <w:sz w:val="23"/>
                <w:szCs w:val="24"/>
                <w:lang w:val="en-US" w:eastAsia="en-US" w:bidi="ar-SA"/>
              </w:rPr>
              <w:t xml:space="preserve">. Range 1–25. </w:t>
            </w:r>
            <w:r>
              <w:rPr>
                <w:rStyle w:val="VerbatimChar"/>
                <w:rFonts w:eastAsia="Cambria" w:cs=""/>
                <w:kern w:val="0"/>
                <w:sz w:val="23"/>
                <w:szCs w:val="24"/>
                <w:lang w:val="en-US" w:eastAsia="en-US" w:bidi="ar-SA"/>
              </w:rPr>
              <w:t>High severity = Severity ≥ 12</w:t>
            </w:r>
            <w:r>
              <w:rPr>
                <w:rFonts w:eastAsia="Cambria" w:cs=""/>
                <w:kern w:val="0"/>
                <w:sz w:val="23"/>
                <w:szCs w:val="24"/>
                <w:lang w:val="en-US" w:eastAsia="en-US" w:bidi="ar-SA"/>
              </w:rPr>
              <w: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simple product, not a weighted formula, deliberately — Change Management risk scoring benefits from being immediately explainable to a Steering Committee without a formula to defend; a 5×5 grid is a widely understood shape, and the ≥12 threshold for “high” sits just above the grid’s median (a 3×4 or 4×3 combination), catching risks that are meaningfully above average on either dimension without requiring both to be extreme.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risk (“plant-floor cohort rejects new inventory workflow due to speed concerns”) rated Likelihood 4, Impact 3 → Severity = 12 → flagged High.</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M13 (Risk Register), sorted by Severity descending by default; High-severity risks surface on the Portfolio Dashboard’s risk summary.</w:t>
            </w:r>
          </w:p>
        </w:tc>
      </w:tr>
    </w:tbl>
    <w:p>
      <w:pPr>
        <w:pStyle w:val="BodyText"/>
        <w:rPr/>
      </w:pPr>
      <w:r>
        <w:rPr/>
      </w:r>
      <w:bookmarkStart w:id="96" w:name="risk-severity-score"/>
      <w:bookmarkStart w:id="97" w:name="risk-severity-score"/>
      <w:bookmarkEnd w:id="97"/>
    </w:p>
    <w:p>
      <w:pPr>
        <w:pStyle w:val="Heading3"/>
        <w:rPr/>
      </w:pPr>
      <w:bookmarkStart w:id="98" w:name="__RefHeading___Toc4900_1235152635"/>
      <w:bookmarkStart w:id="99" w:name="Xb5a6acafea957e88bc90eea8f6fc92bee8925b9"/>
      <w:bookmarkEnd w:id="98"/>
      <w:bookmarkEnd w:id="99"/>
      <w:r>
        <w:rPr>
          <w:b/>
          <w:color w:val="3F827B"/>
          <w:sz w:val="29"/>
        </w:rPr>
        <w:t>4.5 High-Impact / Low-Influence Stakeholder Flag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KPI-05</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High-Impact / Low-Influence Stakeholder Flag</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stakeholder/cohort’s five impact-dimension ratings (Process, Technology, Role, Location, Identity, each 1–5) and its Influence rating (1–5).</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23"/>
                <w:szCs w:val="24"/>
                <w:lang w:val="en-US" w:eastAsia="en-US" w:bidi="ar-SA"/>
              </w:rPr>
              <w:t>avg_impact = (process + tech + role + location + identity) / 5</w:t>
            </w:r>
            <w:r>
              <w:rPr>
                <w:rFonts w:eastAsia="Cambria" w:cs=""/>
                <w:kern w:val="0"/>
                <w:sz w:val="23"/>
                <w:szCs w:val="24"/>
                <w:lang w:val="en-US" w:eastAsia="en-US" w:bidi="ar-SA"/>
              </w:rPr>
              <w:t xml:space="preserve">. </w:t>
            </w:r>
            <w:r>
              <w:rPr>
                <w:rStyle w:val="VerbatimChar"/>
                <w:rFonts w:eastAsia="Cambria" w:cs=""/>
                <w:kern w:val="0"/>
                <w:sz w:val="23"/>
                <w:szCs w:val="24"/>
                <w:lang w:val="en-US" w:eastAsia="en-US" w:bidi="ar-SA"/>
              </w:rPr>
              <w:t>Flagged = (avg_impact ≥ 3.6 AND influence ≤ 2)</w:t>
            </w:r>
            <w:r>
              <w:rPr>
                <w:rFonts w:eastAsia="Cambria" w:cs=""/>
                <w:kern w:val="0"/>
                <w:sz w:val="23"/>
                <w:szCs w:val="24"/>
                <w:lang w:val="en-US" w:eastAsia="en-US" w:bidi="ar-SA"/>
              </w:rPr>
              <w: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This flag exists to surface exactly the cohort a change program is most likely to under-serve: one being changed a great deal (high average impact across all five dimensions, not just one) while having little formal say in how the change is designed (low influence). The 3.6 threshold sits above the midpoint of the 1–5 scale deliberately, so the flag catches cohorts genuinely heavily affected across the board rather than moderately affected on one dimension alone; ≤2 on Influence catches anyone with materially below-average voice in the process.</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plant-floor cohort rates Process 5, Technology 4, Role 4, Location 3, Identity 2 → average 3.6 → meets the impact bar. Influence rated 2 (informed, not consulted). Flagged.</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M4 (Stakeholder Mapping), as a badge on the affected cohort’s card; used as an input when prioritizing which cohorts get direct engagement (town halls, listening sessions) versus broadcast-only communication.</w:t>
            </w:r>
          </w:p>
        </w:tc>
      </w:tr>
    </w:tbl>
    <w:p>
      <w:pPr>
        <w:pStyle w:val="BodyText"/>
        <w:rPr/>
      </w:pPr>
      <w:r>
        <w:rPr/>
      </w:r>
      <w:bookmarkStart w:id="100" w:name="Xb5a6acafea957e88bc90eea8f6fc92bee8925b9"/>
      <w:bookmarkStart w:id="101" w:name="Xb5a6acafea957e88bc90eea8f6fc92bee8925b9"/>
      <w:bookmarkEnd w:id="101"/>
    </w:p>
    <w:p>
      <w:pPr>
        <w:pStyle w:val="Heading3"/>
        <w:rPr/>
      </w:pPr>
      <w:bookmarkStart w:id="102" w:name="__RefHeading___Toc4902_1235152635"/>
      <w:bookmarkStart w:id="103" w:name="training-completion-average"/>
      <w:bookmarkEnd w:id="102"/>
      <w:bookmarkEnd w:id="103"/>
      <w:r>
        <w:rPr>
          <w:b/>
          <w:color w:val="3F827B"/>
          <w:sz w:val="29"/>
        </w:rPr>
        <w:t>4.6 Training Completion Average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KPI-06</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Training Completion Average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completion percentage of every training record logged against the project.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23"/>
                <w:szCs w:val="24"/>
                <w:lang w:val="en-US" w:eastAsia="en-US" w:bidi="ar-SA"/>
              </w:rPr>
              <w:t>Average = sum(completion_pct for each training) / count(trainings)</w:t>
            </w:r>
            <w:r>
              <w:rPr>
                <w:rFonts w:eastAsia="Cambria" w:cs=""/>
                <w:kern w:val="0"/>
                <w:sz w:val="23"/>
                <w:szCs w:val="24"/>
                <w:lang w:val="en-US" w:eastAsia="en-US" w:bidi="ar-SA"/>
              </w:rPr>
              <w:t>. Simple arithmetic mean; a project with no logged trainings yet reads 0, not undefined.</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An unweighted average is deliberate — weighting by cohort size or curriculum length would make the figure harder to reconcile by eye against the individual training records it’s built from, and Training Completion is meant to be a fast corroborating signal for KPI-01, not a precision metric in its own right.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Three logged curricula at 100%, 70%, and 40% completion → average = (100+70+40)/3 = </w:t>
            </w:r>
            <w:r>
              <w:rPr>
                <w:rFonts w:eastAsia="Cambria" w:cs=""/>
                <w:b/>
                <w:bCs/>
                <w:kern w:val="0"/>
                <w:sz w:val="23"/>
                <w:szCs w:val="24"/>
                <w:lang w:val="en-US" w:eastAsia="en-US" w:bidi="ar-SA"/>
              </w:rPr>
              <w:t>70%</w:t>
            </w:r>
            <w:r>
              <w:rPr>
                <w:rFonts w:eastAsia="Cambria" w:cs=""/>
                <w:kern w:val="0"/>
                <w:sz w:val="23"/>
                <w:szCs w:val="24"/>
                <w:lang w:val="en-US" w:eastAsia="en-US" w:bidi="ar-SA"/>
              </w:rPr>
              <w: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M9 (Training), as a summary figure across all curricula for the project; feeds directly into KPI-01’s Composite Readiness Index calculation.</w:t>
            </w:r>
          </w:p>
        </w:tc>
      </w:tr>
    </w:tbl>
    <w:p>
      <w:pPr>
        <w:pStyle w:val="BodyText"/>
        <w:rPr/>
      </w:pPr>
      <w:r>
        <w:rPr/>
      </w:r>
      <w:bookmarkStart w:id="104" w:name="training-completion-average"/>
      <w:bookmarkStart w:id="105" w:name="training-completion-average"/>
      <w:bookmarkEnd w:id="105"/>
    </w:p>
    <w:p>
      <w:pPr>
        <w:pStyle w:val="Heading3"/>
        <w:rPr/>
      </w:pPr>
      <w:bookmarkStart w:id="106" w:name="__RefHeading___Toc4904_1235152635"/>
      <w:bookmarkStart w:id="107" w:name="Xe334b25b25adf6c44077acc15082ab2abb9ab61"/>
      <w:bookmarkEnd w:id="106"/>
      <w:bookmarkEnd w:id="107"/>
      <w:r>
        <w:rPr>
          <w:b/>
          <w:color w:val="3F827B"/>
          <w:sz w:val="29"/>
        </w:rPr>
        <w:t>4.7 Sentiment Stage Inference (internal helper)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1"/>
        <w:gridCol w:w="8830"/>
      </w:tblGrid>
      <w:tr>
        <w:trPr>
          <w:tblHeader w:val="true"/>
        </w:trPr>
        <w:tc>
          <w:tcPr>
            <w:tcW w:w="168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Field</w:t>
            </w:r>
          </w:p>
        </w:tc>
        <w:tc>
          <w:tcPr>
            <w:tcW w:w="883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Value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ID</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KPI-07</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Name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Sentiment Stage Inference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Inputs</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The free-text justification note most recently written when the project’s Kübler-Ross reading was last saved.</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Formula</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Keyword match against the note text, checked in this order, first match wins: contains “commitment” → Commitment; else contains “exploration” → Exploration; else contains “denial” → Denial; else contains “resistance” or “anger” → Resistance/Anger; </w:t>
            </w:r>
            <w:r>
              <w:rPr>
                <w:rFonts w:eastAsia="Cambria" w:cs=""/>
                <w:b/>
                <w:bCs/>
                <w:kern w:val="0"/>
                <w:sz w:val="23"/>
                <w:szCs w:val="24"/>
                <w:lang w:val="en-US" w:eastAsia="en-US" w:bidi="ar-SA"/>
              </w:rPr>
              <w:t>else → Exploration (default)</w:t>
            </w:r>
            <w:r>
              <w:rPr>
                <w:rFonts w:eastAsia="Cambria" w:cs=""/>
                <w:kern w:val="0"/>
                <w:sz w:val="23"/>
                <w:szCs w:val="24"/>
                <w:lang w:val="en-US" w:eastAsia="en-US" w:bidi="ar-SA"/>
              </w:rPr>
              <w:t>.</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Why this design</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 xml:space="preserve">This is not a general-purpose classifier and is not presented to a user as one — it exists solely to give KPI-01’s sentiment component a percentage to work with, cheaply, without a separate data model. It deliberately does </w:t>
            </w:r>
            <w:r>
              <w:rPr>
                <w:rFonts w:eastAsia="Cambria" w:cs=""/>
                <w:b/>
                <w:bCs/>
                <w:kern w:val="0"/>
                <w:sz w:val="23"/>
                <w:szCs w:val="24"/>
                <w:lang w:val="en-US" w:eastAsia="en-US" w:bidi="ar-SA"/>
              </w:rPr>
              <w:t>not</w:t>
            </w:r>
            <w:r>
              <w:rPr>
                <w:rFonts w:eastAsia="Cambria" w:cs=""/>
                <w:kern w:val="0"/>
                <w:sz w:val="23"/>
                <w:szCs w:val="24"/>
                <w:lang w:val="en-US" w:eastAsia="en-US" w:bidi="ar-SA"/>
              </w:rPr>
              <w:t xml:space="preserve"> read the actual Kübler-Ross stage field the Change Manager explicitly selected (Part 1.4) — it re-derives a stage from the justification note’s wording instead. This is the one place in this document where a documented behavior is worth flagging as a genuine sharp edge rather than a considered design tradeoff: if a Change Manager selects Commitment as the stage but writes a justification note that happens not to contain any of the four keywords above, KPI-07 silently returns Exploration (70%) rather than Commitment (100%) for the Index calculation — the stage shown on M6 and the stage used inside KPI-01 can disagree.</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Worked example</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 Change Manager sets the stage to Commitment and writes: “Team is fully bought in and advocating for the new process to peers.” No keyword match (the word “commitment” itself isn’t in the note) → KPI-07 returns Exploration → KPI-01 uses 70%, not the 100% the selected stage would suggest. Writing the note as “Team has reached commitment — fully bought in and advocating to peers” avoids the mismatch.</w:t>
            </w:r>
          </w:p>
        </w:tc>
      </w:tr>
      <w:tr>
        <w:trPr/>
        <w:tc>
          <w:tcPr>
            <w:tcW w:w="1681" w:type="dxa"/>
            <w:tcBorders/>
            <w:shd w:fill="DCEAE7" w:val="clear"/>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23"/>
                <w:szCs w:val="24"/>
                <w:lang w:val="en-US" w:eastAsia="en-US" w:bidi="ar-SA"/>
              </w:rPr>
              <w:t>Where to see it</w:t>
            </w:r>
          </w:p>
        </w:tc>
        <w:tc>
          <w:tcPr>
            <w:tcW w:w="883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Not surfaced directly in any module’s UI — it runs internally as part of KPI-01’s calculation on M14 (Analytics). The Kübler-Ross stage a user actually sees and sets is always the direct field on M6, described in Part 1.4.</w:t>
            </w:r>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bookmarkStart w:id="108" w:name="part-4-kpi-and-index-formula-reference"/>
      <w:bookmarkStart w:id="109" w:name="Xe334b25b25adf6c44077acc15082ab2abb9ab61"/>
      <w:bookmarkStart w:id="110" w:name="part-4-kpi-and-index-formula-reference"/>
      <w:bookmarkStart w:id="111" w:name="Xe334b25b25adf6c44077acc15082ab2abb9ab61"/>
      <w:bookmarkEnd w:id="110"/>
      <w:bookmarkEnd w:id="111"/>
    </w:p>
    <w:p>
      <w:pPr>
        <w:pStyle w:val="Heading2"/>
        <w:rPr/>
      </w:pPr>
      <w:bookmarkStart w:id="112" w:name="__RefHeading___Toc4906_1235152635"/>
      <w:bookmarkEnd w:id="112"/>
      <w:r>
        <w:rPr>
          <w:b/>
          <w:color w:val="275650"/>
          <w:sz w:val="34"/>
        </w:rPr>
        <w:t>Appendix — Quick ID Index</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22"/>
        <w:gridCol w:w="7989"/>
      </w:tblGrid>
      <w:tr>
        <w:trPr>
          <w:tblHeader w:val="true"/>
          <w:cantSplit w:val="true"/>
        </w:trPr>
        <w:tc>
          <w:tcPr>
            <w:tcW w:w="252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ID Range</w:t>
            </w:r>
          </w:p>
        </w:tc>
        <w:tc>
          <w:tcPr>
            <w:tcW w:w="7989"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3"/>
                <w:szCs w:val="24"/>
                <w:lang w:val="en-US" w:eastAsia="en-US" w:bidi="ar-SA"/>
              </w:rPr>
              <w:t>What It Covers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SIG-LEW-U1 – U6</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Unfreeze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SIG-LEW-C1 – C6</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Change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SIG-LEW-R1 – R7</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Lewin, Refreeze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SIG-ADK-A1 – A6</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signals (apply per block, per cohort; A6 applies to Reinforcement specifically)</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SIG-BRG-E1 – E3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Ending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SIG-BRG-N1 – N3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Neutral Zone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SIG-BRG-B1 – B4</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Bridges, New Beginning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SIG-KR-D1 – D2</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Denial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SIG-KR-R1 – R3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Resistance/Anger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SIG-KR-X1 – X3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Exploration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SIG-KR-C1 – C4</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Kübler-Ross, Commitment signals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EXC-01</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Mandated / Compliance-Driven Change</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EXC-02</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Parallel-Run Extension</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Concurrent Restructuring</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EXC-04</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Change Saturation (Concurrent or Serial Initiatives)</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EXC-05</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Silent / Unreachable Cohort</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EXC-06</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Small-N Executive or Leadership Cohort</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EXC-07</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Crisis / Compressed Timeline</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KPI-01</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Composite Readiness Index</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KPI-02 (ALT-001)</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Divergence Pattern Detector</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KPI-03</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ADKAR Block Stall Flag</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KPI-04</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Risk Severity Score</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KPI-05</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High-Impact / Low-Influence Stakeholder Flag</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KPI-06</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Training Completion Average</w:t>
            </w:r>
          </w:p>
        </w:tc>
      </w:tr>
      <w:tr>
        <w:trPr>
          <w:cantSplit w:val="true"/>
        </w:trPr>
        <w:tc>
          <w:tcPr>
            <w:tcW w:w="252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KPI-07</w:t>
            </w:r>
          </w:p>
        </w:tc>
        <w:tc>
          <w:tcPr>
            <w:tcW w:w="798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3"/>
                <w:szCs w:val="24"/>
                <w:lang w:val="en-US" w:eastAsia="en-US" w:bidi="ar-SA"/>
              </w:rPr>
              <w:t>Sentiment Stage Inference (internal helper to KPI-01)</w:t>
            </w:r>
            <w:bookmarkStart w:id="113" w:name="appendix-quick-id-index"/>
            <w:bookmarkEnd w:id="113"/>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34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Change Management Frameworks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Change Management Frameworks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6"/>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6"/>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6"/>
    </w:rPr>
  </w:style>
  <w:style w:type="paragraph" w:styleId="Compact" w:customStyle="1">
    <w:name w:val="Compact"/>
    <w:basedOn w:val="BodyText"/>
    <w:qFormat/>
    <w:pPr>
      <w:spacing w:before="36" w:after="36"/>
    </w:pPr>
    <w:rPr>
      <w:sz w:val="26"/>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6"/>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34</Pages>
  <Words>10784</Words>
  <Characters>58965</Characters>
  <CharactersWithSpaces>69193</CharactersWithSpaces>
  <Paragraphs>728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2026-08-28T19:38:10Z</dcterms:created>
  <dc:creator/>
  <dc:description/>
  <dc:language>en-US</dc:language>
  <cp:lastModifiedBy/>
  <dcterms:modified xsi:type="dcterms:W3CDTF">2026-08-28T19:38:26Z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