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p>
    <w:p>
      <w:pPr>
        <w:spacing w:after="40"/>
        <w:jc w:val="center"/>
      </w:pPr>
      <w:r>
        <w:rPr>
          <w:rFonts w:ascii="Times New Roman" w:cs="Times New Roman" w:eastAsia="Times New Roman" w:hAnsi="Times New Roman"/>
          <w:b/>
          <w:bCs/>
          <w:color w:val="3A3A3C"/>
          <w:spacing w:val="60"/>
          <w:sz w:val="40"/>
          <w:szCs w:val="40"/>
        </w:rPr>
        <w:t xml:space="preserve">POWERACT</w:t>
      </w:r>
    </w:p>
    <w:p>
      <w:pPr>
        <w:spacing w:after="1600"/>
        <w:jc w:val="center"/>
      </w:pPr>
      <w:r>
        <w:rPr>
          <w:rFonts w:ascii="Times New Roman" w:cs="Times New Roman" w:eastAsia="Times New Roman" w:hAnsi="Times New Roman"/>
          <w:color w:val="E07B00"/>
          <w:sz w:val="18"/>
          <w:szCs w:val="18"/>
        </w:rPr>
        <w:t xml:space="preserve">C O N S U L T I N G</w:t>
      </w:r>
    </w:p>
    <w:p>
      <w:pPr>
        <w:spacing w:after="240"/>
        <w:jc w:val="center"/>
      </w:pPr>
      <w:r>
        <w:rPr>
          <w:rFonts w:ascii="Times New Roman" w:cs="Times New Roman" w:eastAsia="Times New Roman" w:hAnsi="Times New Roman"/>
          <w:b/>
          <w:bCs/>
          <w:color w:val="E07B00"/>
          <w:spacing w:val="40"/>
          <w:sz w:val="20"/>
          <w:szCs w:val="20"/>
        </w:rPr>
        <w:t xml:space="preserve">DYNAMICMS · COMMERCIAL CATALOG</w:t>
      </w:r>
    </w:p>
    <w:p>
      <w:pPr>
        <w:spacing w:after="0"/>
        <w:jc w:val="center"/>
      </w:pPr>
      <w:r>
        <w:rPr>
          <w:rFonts w:ascii="Times New Roman" w:cs="Times New Roman" w:eastAsia="Times New Roman" w:hAnsi="Times New Roman"/>
          <w:b/>
          <w:bCs/>
          <w:color w:val="3A3A3C"/>
          <w:sz w:val="52"/>
          <w:szCs w:val="52"/>
        </w:rPr>
        <w:t xml:space="preserve">DynamicMS Packs, Integrations</w:t>
      </w:r>
    </w:p>
    <w:p>
      <w:pPr>
        <w:spacing w:after="240"/>
        <w:jc w:val="center"/>
      </w:pPr>
      <w:r>
        <w:rPr>
          <w:rFonts w:ascii="Times New Roman" w:cs="Times New Roman" w:eastAsia="Times New Roman" w:hAnsi="Times New Roman"/>
          <w:b/>
          <w:bCs/>
          <w:color w:val="3A3A3C"/>
          <w:sz w:val="52"/>
          <w:szCs w:val="52"/>
        </w:rPr>
        <w:t xml:space="preserve">&amp; Add-Ons Catalog</w:t>
      </w:r>
    </w:p>
    <w:p>
      <w:pPr>
        <w:spacing w:after="120"/>
        <w:jc w:val="center"/>
      </w:pPr>
      <w:r>
        <w:rPr>
          <w:rFonts w:ascii="Times New Roman" w:cs="Times New Roman" w:eastAsia="Times New Roman" w:hAnsi="Times New Roman"/>
          <w:color w:val="E07B00"/>
          <w:sz w:val="30"/>
          <w:szCs w:val="30"/>
        </w:rPr>
        <w:t xml:space="preserve">Commercial Architecture</w:t>
      </w:r>
    </w:p>
    <w:p>
      <w:pPr>
        <w:spacing w:after="200"/>
        <w:jc w:val="center"/>
      </w:pPr>
      <w:r>
        <w:rPr>
          <w:rFonts w:ascii="Times New Roman" w:cs="Times New Roman" w:eastAsia="Times New Roman" w:hAnsi="Times New Roman"/>
          <w:i/>
          <w:iCs/>
          <w:color w:val="58595B"/>
          <w:sz w:val="22"/>
          <w:szCs w:val="22"/>
        </w:rPr>
        <w:t xml:space="preserve">Version 1.0</w:t>
      </w:r>
    </w:p>
    <w:p>
      <w:pPr>
        <w:pBdr>
          <w:bottom w:val="single" w:color="F8931D" w:sz="12" w:space="1"/>
        </w:pBdr>
        <w:spacing w:after="800"/>
        <w:ind w:left="3600" w:right="3600"/>
        <w:jc w:val="center"/>
      </w:pP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single" w:color="F8931D" w:sz="12"/>
              <w:left w:val="single" w:color="E3E3E4" w:sz="4"/>
              <w:bottom w:val="single" w:color="E3E3E4" w:sz="4"/>
              <w:right w:val="single" w:color="E3E3E4" w:sz="4"/>
            </w:tcBorders>
            <w:shd w:fill="FFFFFF" w:color="auto" w:val="clear"/>
            <w:tcMar>
              <w:top w:type="dxa" w:w="200"/>
              <w:left w:type="dxa" w:w="100"/>
              <w:bottom w:type="dxa" w:w="200"/>
              <w:right w:type="dxa" w:w="100"/>
            </w:tcMar>
          </w:tcPr>
          <w:p>
            <w:pPr>
              <w:jc w:val="center"/>
            </w:pPr>
            <w:r>
              <w:rPr>
                <w:rFonts w:ascii="Times New Roman" w:cs="Times New Roman" w:eastAsia="Times New Roman" w:hAnsi="Times New Roman"/>
                <w:b/>
                <w:bCs/>
                <w:color w:val="E07B00"/>
                <w:sz w:val="44"/>
                <w:szCs w:val="44"/>
              </w:rPr>
              <w:t xml:space="preserve">12</w:t>
            </w:r>
          </w:p>
          <w:p>
            <w:pPr>
              <w:jc w:val="center"/>
            </w:pPr>
            <w:r>
              <w:rPr>
                <w:rFonts w:ascii="Times New Roman" w:cs="Times New Roman" w:eastAsia="Times New Roman" w:hAnsi="Times New Roman"/>
                <w:color w:val="58595B"/>
                <w:sz w:val="18"/>
                <w:szCs w:val="18"/>
              </w:rPr>
              <w:t xml:space="preserve">Packs</w:t>
            </w:r>
          </w:p>
        </w:tc>
        <w:tc>
          <w:tcPr>
            <w:tcW w:type="dxa" w:w="2436"/>
            <w:tcBorders>
              <w:top w:val="single" w:color="F8931D" w:sz="12"/>
              <w:left w:val="single" w:color="E3E3E4" w:sz="4"/>
              <w:bottom w:val="single" w:color="E3E3E4" w:sz="4"/>
              <w:right w:val="single" w:color="E3E3E4" w:sz="4"/>
            </w:tcBorders>
            <w:shd w:fill="FFFFFF" w:color="auto" w:val="clear"/>
            <w:tcMar>
              <w:top w:type="dxa" w:w="200"/>
              <w:left w:type="dxa" w:w="100"/>
              <w:bottom w:type="dxa" w:w="200"/>
              <w:right w:type="dxa" w:w="100"/>
            </w:tcMar>
          </w:tcPr>
          <w:p>
            <w:pPr>
              <w:jc w:val="center"/>
            </w:pPr>
            <w:r>
              <w:rPr>
                <w:rFonts w:ascii="Times New Roman" w:cs="Times New Roman" w:eastAsia="Times New Roman" w:hAnsi="Times New Roman"/>
                <w:b/>
                <w:bCs/>
                <w:color w:val="E07B00"/>
                <w:sz w:val="44"/>
                <w:szCs w:val="44"/>
              </w:rPr>
              <w:t xml:space="preserve">12</w:t>
            </w:r>
          </w:p>
          <w:p>
            <w:pPr>
              <w:jc w:val="center"/>
            </w:pPr>
            <w:r>
              <w:rPr>
                <w:rFonts w:ascii="Times New Roman" w:cs="Times New Roman" w:eastAsia="Times New Roman" w:hAnsi="Times New Roman"/>
                <w:color w:val="58595B"/>
                <w:sz w:val="18"/>
                <w:szCs w:val="18"/>
              </w:rPr>
              <w:t xml:space="preserve">Integrations</w:t>
            </w:r>
          </w:p>
        </w:tc>
        <w:tc>
          <w:tcPr>
            <w:tcW w:type="dxa" w:w="2436"/>
            <w:tcBorders>
              <w:top w:val="single" w:color="F8931D" w:sz="12"/>
              <w:left w:val="single" w:color="E3E3E4" w:sz="4"/>
              <w:bottom w:val="single" w:color="E3E3E4" w:sz="4"/>
              <w:right w:val="single" w:color="E3E3E4" w:sz="4"/>
            </w:tcBorders>
            <w:shd w:fill="FFFFFF" w:color="auto" w:val="clear"/>
            <w:tcMar>
              <w:top w:type="dxa" w:w="200"/>
              <w:left w:type="dxa" w:w="100"/>
              <w:bottom w:type="dxa" w:w="200"/>
              <w:right w:type="dxa" w:w="100"/>
            </w:tcMar>
          </w:tcPr>
          <w:p>
            <w:pPr>
              <w:jc w:val="center"/>
            </w:pPr>
            <w:r>
              <w:rPr>
                <w:rFonts w:ascii="Times New Roman" w:cs="Times New Roman" w:eastAsia="Times New Roman" w:hAnsi="Times New Roman"/>
                <w:b/>
                <w:bCs/>
                <w:color w:val="E07B00"/>
                <w:sz w:val="44"/>
                <w:szCs w:val="44"/>
              </w:rPr>
              <w:t xml:space="preserve">12</w:t>
            </w:r>
          </w:p>
          <w:p>
            <w:pPr>
              <w:jc w:val="center"/>
            </w:pPr>
            <w:r>
              <w:rPr>
                <w:rFonts w:ascii="Times New Roman" w:cs="Times New Roman" w:eastAsia="Times New Roman" w:hAnsi="Times New Roman"/>
                <w:color w:val="58595B"/>
                <w:sz w:val="18"/>
                <w:szCs w:val="18"/>
              </w:rPr>
              <w:t xml:space="preserve">Add-Ons</w:t>
            </w:r>
          </w:p>
        </w:tc>
        <w:tc>
          <w:tcPr>
            <w:tcW w:type="dxa" w:w="2436"/>
            <w:tcBorders>
              <w:top w:val="single" w:color="F8931D" w:sz="12"/>
              <w:left w:val="single" w:color="E3E3E4" w:sz="4"/>
              <w:bottom w:val="single" w:color="E3E3E4" w:sz="4"/>
              <w:right w:val="single" w:color="E3E3E4" w:sz="4"/>
            </w:tcBorders>
            <w:shd w:fill="FFFFFF" w:color="auto" w:val="clear"/>
            <w:tcMar>
              <w:top w:type="dxa" w:w="200"/>
              <w:left w:type="dxa" w:w="100"/>
              <w:bottom w:type="dxa" w:w="200"/>
              <w:right w:type="dxa" w:w="100"/>
            </w:tcMar>
          </w:tcPr>
          <w:p>
            <w:pPr>
              <w:jc w:val="center"/>
            </w:pPr>
            <w:r>
              <w:rPr>
                <w:rFonts w:ascii="Times New Roman" w:cs="Times New Roman" w:eastAsia="Times New Roman" w:hAnsi="Times New Roman"/>
                <w:b/>
                <w:bCs/>
                <w:color w:val="E07B00"/>
                <w:sz w:val="44"/>
                <w:szCs w:val="44"/>
              </w:rPr>
              <w:t xml:space="preserve">7</w:t>
            </w:r>
          </w:p>
          <w:p>
            <w:pPr>
              <w:jc w:val="center"/>
            </w:pPr>
            <w:r>
              <w:rPr>
                <w:rFonts w:ascii="Times New Roman" w:cs="Times New Roman" w:eastAsia="Times New Roman" w:hAnsi="Times New Roman"/>
                <w:color w:val="58595B"/>
                <w:sz w:val="18"/>
                <w:szCs w:val="18"/>
              </w:rPr>
              <w:t xml:space="preserve">Deployment Modes</w:t>
            </w:r>
          </w:p>
        </w:tc>
      </w:tr>
    </w:tbl>
    <w:p>
      <w:pPr>
        <w:spacing w:after="3000" w:before="0"/>
      </w:pPr>
    </w:p>
    <w:p>
      <w:pPr>
        <w:spacing w:after="60"/>
        <w:jc w:val="center"/>
      </w:pPr>
      <w:r>
        <w:rPr>
          <w:rFonts w:ascii="Times New Roman" w:cs="Times New Roman" w:eastAsia="Times New Roman" w:hAnsi="Times New Roman"/>
          <w:b/>
          <w:bCs/>
          <w:color w:val="3A3A3C"/>
          <w:sz w:val="20"/>
          <w:szCs w:val="20"/>
        </w:rPr>
        <w:t xml:space="preserve">Prepared by POWERACT Consulting</w:t>
      </w:r>
    </w:p>
    <w:p>
      <w:pPr>
        <w:jc w:val="center"/>
      </w:pPr>
      <w:r>
        <w:rPr>
          <w:rFonts w:ascii="Times New Roman" w:cs="Times New Roman" w:eastAsia="Times New Roman" w:hAnsi="Times New Roman"/>
          <w:color w:val="808184"/>
          <w:sz w:val="18"/>
          <w:szCs w:val="18"/>
        </w:rPr>
        <w:t xml:space="preserve">September 2026  ·  Confidential</w:t>
      </w:r>
    </w:p>
    <w:p>
      <w:pPr>
        <w:sectPr>
          <w:pgSz w:w="11906" w:h="16838" w:orient="portrait"/>
          <w:pgMar w:top="1080" w:right="1080" w:bottom="1080" w:left="1080" w:header="540" w:footer="540" w:gutter="0"/>
          <w:pgNumType/>
          <w:docGrid w:linePitch="360"/>
        </w:sectPr>
      </w:pPr>
    </w:p>
    <w:p>
      <w:pPr>
        <w:spacing w:after="60"/>
      </w:pPr>
      <w:r>
        <w:rPr>
          <w:rFonts w:ascii="Times New Roman" w:cs="Times New Roman" w:eastAsia="Times New Roman" w:hAnsi="Times New Roman"/>
          <w:b/>
          <w:bCs/>
          <w:color w:val="E07B00"/>
          <w:spacing w:val="40"/>
          <w:sz w:val="20"/>
          <w:szCs w:val="20"/>
        </w:rPr>
        <w:t xml:space="preserve">CONTENTS</w:t>
      </w:r>
    </w:p>
    <w:p>
      <w:pPr>
        <w:pBdr>
          <w:bottom w:val="single" w:color="F8931D" w:sz="8" w:space="4"/>
        </w:pBdr>
        <w:spacing w:after="300"/>
      </w:pPr>
      <w:r>
        <w:rPr>
          <w:rFonts w:ascii="Times New Roman" w:cs="Times New Roman" w:eastAsia="Times New Roman" w:hAnsi="Times New Roman"/>
          <w:b/>
          <w:bCs/>
          <w:color w:val="3A3A3C"/>
          <w:sz w:val="34"/>
          <w:szCs w:val="34"/>
        </w:rPr>
        <w:t xml:space="preserve">Table of Contents</w:t>
      </w:r>
    </w:p>
    <w:sdt>
      <w:sdtPr>
        <w:alias w:val="Table of Contents"/>
      </w:sdtPr>
      <w:sdtContent>
        <w:p>
          <w:pPr>
            <w:pStyle w:val="TOC1"/>
          </w:pPr>
          <w:r>
            <w:fldChar w:fldCharType="begin"/>
            <w:instrText xml:space="preserve">TOC \o "1-3" \h \z \u</w:instrText>
            <w:fldChar w:fldCharType="separate"/>
          </w:r>
          <w:hyperlink w:anchor="_Toc100000" w:history="1">
            <w:r>
              <w:t xml:space="preserve">Part 1 — Executive Summary</w:t>
            </w:r>
            <w:r>
              <w:tab/>
            </w:r>
            <w:r>
              <w:t>3</w:t>
            </w:r>
          </w:hyperlink>
        </w:p>
        <w:p>
          <w:pPr>
            <w:pStyle w:val="TOC2"/>
          </w:pPr>
          <w:hyperlink w:anchor="_Toc100001" w:history="1">
            <w:r>
              <w:t xml:space="preserve">1.1 Document Purpose</w:t>
            </w:r>
            <w:r>
              <w:tab/>
            </w:r>
            <w:r>
              <w:t>3</w:t>
            </w:r>
          </w:hyperlink>
        </w:p>
        <w:p>
          <w:pPr>
            <w:pStyle w:val="TOC2"/>
          </w:pPr>
          <w:hyperlink w:anchor="_Toc100002" w:history="1">
            <w:r>
              <w:t xml:space="preserve">1.2 Commercial Model Overview</w:t>
            </w:r>
            <w:r>
              <w:tab/>
            </w:r>
            <w:r>
              <w:t>3</w:t>
            </w:r>
          </w:hyperlink>
        </w:p>
        <w:p>
          <w:pPr>
            <w:pStyle w:val="TOC2"/>
          </w:pPr>
          <w:hyperlink w:anchor="_Toc100003" w:history="1">
            <w:r>
              <w:t xml:space="preserve">1.3 Pricing Philosophy</w:t>
            </w:r>
            <w:r>
              <w:tab/>
            </w:r>
            <w:r>
              <w:t>3</w:t>
            </w:r>
          </w:hyperlink>
        </w:p>
        <w:p>
          <w:pPr>
            <w:pStyle w:val="TOC2"/>
          </w:pPr>
          <w:hyperlink w:anchor="_Toc100004" w:history="1">
            <w:r>
              <w:t xml:space="preserve">1.4 Deployment Modes Overview</w:t>
            </w:r>
            <w:r>
              <w:tab/>
            </w:r>
            <w:r>
              <w:t>4</w:t>
            </w:r>
          </w:hyperlink>
        </w:p>
        <w:p>
          <w:pPr>
            <w:pStyle w:val="TOC1"/>
          </w:pPr>
          <w:hyperlink w:anchor="_Toc100005" w:history="1">
            <w:r>
              <w:t xml:space="preserve">Part 2 — Packs Catalog (12 Optimized Packs)</w:t>
            </w:r>
            <w:r>
              <w:tab/>
            </w:r>
            <w:r>
              <w:t>5</w:t>
            </w:r>
          </w:hyperlink>
        </w:p>
        <w:p>
          <w:pPr>
            <w:pStyle w:val="TOC2"/>
          </w:pPr>
          <w:hyperlink w:anchor="_Toc100006" w:history="1">
            <w:r>
              <w:t xml:space="preserve">2.1 Pack Overview Table</w:t>
            </w:r>
            <w:r>
              <w:tab/>
            </w:r>
            <w:r>
              <w:t>5</w:t>
            </w:r>
          </w:hyperlink>
        </w:p>
        <w:p>
          <w:pPr>
            <w:pStyle w:val="TOC2"/>
          </w:pPr>
          <w:hyperlink w:anchor="_Toc100007" w:history="1">
            <w:r>
              <w:t xml:space="preserve">2.2 Base Packs</w:t>
            </w:r>
            <w:r>
              <w:tab/>
            </w:r>
            <w:r>
              <w:t>6</w:t>
            </w:r>
          </w:hyperlink>
        </w:p>
        <w:p>
          <w:pPr>
            <w:pStyle w:val="TOC3"/>
          </w:pPr>
          <w:hyperlink w:anchor="_Toc100008" w:history="1">
            <w:r>
              <w:t xml:space="preserve">Pack DMS-SME — SME Essentials</w:t>
            </w:r>
            <w:r>
              <w:tab/>
            </w:r>
            <w:r>
              <w:t>6</w:t>
            </w:r>
          </w:hyperlink>
        </w:p>
        <w:p>
          <w:pPr>
            <w:pStyle w:val="TOC3"/>
          </w:pPr>
          <w:hyperlink w:anchor="_Toc100009" w:history="1">
            <w:r>
              <w:t xml:space="preserve">Pack DMS-PRO — Professional Multi-Standard IMS</w:t>
            </w:r>
            <w:r>
              <w:tab/>
            </w:r>
            <w:r>
              <w:t>6</w:t>
            </w:r>
          </w:hyperlink>
        </w:p>
        <w:p>
          <w:pPr>
            <w:pStyle w:val="TOC3"/>
          </w:pPr>
          <w:hyperlink w:anchor="_Toc100010" w:history="1">
            <w:r>
              <w:t xml:space="preserve">Pack DMS-ENT — Enterprise Regulated IMS</w:t>
            </w:r>
            <w:r>
              <w:tab/>
            </w:r>
            <w:r>
              <w:t>7</w:t>
            </w:r>
          </w:hyperlink>
        </w:p>
        <w:p>
          <w:pPr>
            <w:pStyle w:val="TOC2"/>
          </w:pPr>
          <w:hyperlink w:anchor="_Toc100011" w:history="1">
            <w:r>
              <w:t xml:space="preserve">2.3 Industry Packs</w:t>
            </w:r>
            <w:r>
              <w:tab/>
            </w:r>
            <w:r>
              <w:t>7</w:t>
            </w:r>
          </w:hyperlink>
        </w:p>
        <w:p>
          <w:pPr>
            <w:pStyle w:val="TOC3"/>
          </w:pPr>
          <w:hyperlink w:anchor="_Toc100012" w:history="1">
            <w:r>
              <w:t xml:space="preserve">Pack DMS-AUTO — Automotive, Industrial &amp; Manufacturing Pack</w:t>
            </w:r>
            <w:r>
              <w:tab/>
            </w:r>
            <w:r>
              <w:t>7</w:t>
            </w:r>
          </w:hyperlink>
        </w:p>
        <w:p>
          <w:pPr>
            <w:pStyle w:val="TOC3"/>
          </w:pPr>
          <w:hyperlink w:anchor="_Toc100013" w:history="1">
            <w:r>
              <w:t xml:space="preserve">Pack DMS-LSCI — Life Sciences &amp; Healthcare Pack</w:t>
            </w:r>
            <w:r>
              <w:tab/>
            </w:r>
            <w:r>
              <w:t>8</w:t>
            </w:r>
          </w:hyperlink>
        </w:p>
        <w:p>
          <w:pPr>
            <w:pStyle w:val="TOC3"/>
          </w:pPr>
          <w:hyperlink w:anchor="_Toc100014" w:history="1">
            <w:r>
              <w:t xml:space="preserve">Pack DMS-FOOD — Food Safety &amp; Consumer Goods Pack</w:t>
            </w:r>
            <w:r>
              <w:tab/>
            </w:r>
            <w:r>
              <w:t>8</w:t>
            </w:r>
          </w:hyperlink>
        </w:p>
        <w:p>
          <w:pPr>
            <w:pStyle w:val="TOC3"/>
          </w:pPr>
          <w:hyperlink w:anchor="_Toc100015" w:history="1">
            <w:r>
              <w:t xml:space="preserve">Pack DMS-PROC — Process, Energy &amp; Infrastructure Pack</w:t>
            </w:r>
            <w:r>
              <w:tab/>
            </w:r>
            <w:r>
              <w:t>9</w:t>
            </w:r>
          </w:hyperlink>
        </w:p>
        <w:p>
          <w:pPr>
            <w:pStyle w:val="TOC3"/>
          </w:pPr>
          <w:hyperlink w:anchor="_Toc100016" w:history="1">
            <w:r>
              <w:t xml:space="preserve">Pack DMS-AERO — Aerospace &amp; Defense Pack</w:t>
            </w:r>
            <w:r>
              <w:tab/>
            </w:r>
            <w:r>
              <w:t>9</w:t>
            </w:r>
          </w:hyperlink>
        </w:p>
        <w:p>
          <w:pPr>
            <w:pStyle w:val="TOC3"/>
          </w:pPr>
          <w:hyperlink w:anchor="_Toc100017" w:history="1">
            <w:r>
              <w:t xml:space="preserve">Pack DMS-MARI — Maritime &amp; Shipbuilding Pack</w:t>
            </w:r>
            <w:r>
              <w:tab/>
            </w:r>
            <w:r>
              <w:t>10</w:t>
            </w:r>
          </w:hyperlink>
        </w:p>
        <w:p>
          <w:pPr>
            <w:pStyle w:val="TOC2"/>
          </w:pPr>
          <w:hyperlink w:anchor="_Toc100018" w:history="1">
            <w:r>
              <w:t xml:space="preserve">2.4 Capability Packs</w:t>
            </w:r>
            <w:r>
              <w:tab/>
            </w:r>
            <w:r>
              <w:t>10</w:t>
            </w:r>
          </w:hyperlink>
        </w:p>
        <w:p>
          <w:pPr>
            <w:pStyle w:val="TOC3"/>
          </w:pPr>
          <w:hyperlink w:anchor="_Toc100019" w:history="1">
            <w:r>
              <w:t xml:space="preserve">Pack DMS-CERT — Certification &amp; Audit Accelerator</w:t>
            </w:r>
            <w:r>
              <w:tab/>
            </w:r>
            <w:r>
              <w:t>10</w:t>
            </w:r>
          </w:hyperlink>
        </w:p>
        <w:p>
          <w:pPr>
            <w:pStyle w:val="TOC3"/>
          </w:pPr>
          <w:hyperlink w:anchor="_Toc100020" w:history="1">
            <w:r>
              <w:t xml:space="preserve">Pack DMS-AI — AI Intelligence &amp; Assurance</w:t>
            </w:r>
            <w:r>
              <w:tab/>
            </w:r>
            <w:r>
              <w:t>11</w:t>
            </w:r>
          </w:hyperlink>
        </w:p>
        <w:p>
          <w:pPr>
            <w:pStyle w:val="TOC3"/>
          </w:pPr>
          <w:hyperlink w:anchor="_Toc100021" w:history="1">
            <w:r>
              <w:t xml:space="preserve">Pack DMS-ESG — ESG &amp; Sustainability Pack</w:t>
            </w:r>
            <w:r>
              <w:tab/>
            </w:r>
            <w:r>
              <w:t>11</w:t>
            </w:r>
          </w:hyperlink>
        </w:p>
        <w:p>
          <w:pPr>
            <w:pStyle w:val="TOC2"/>
          </w:pPr>
          <w:hyperlink w:anchor="_Toc100022" w:history="1">
            <w:r>
              <w:t xml:space="preserve">2.5 Segment-to-Pack Mapping Matrix</w:t>
            </w:r>
            <w:r>
              <w:tab/>
            </w:r>
            <w:r>
              <w:t>11</w:t>
            </w:r>
          </w:hyperlink>
        </w:p>
        <w:p>
          <w:pPr>
            <w:pStyle w:val="TOC1"/>
          </w:pPr>
          <w:hyperlink w:anchor="_Toc100023" w:history="1">
            <w:r>
              <w:t xml:space="preserve">Part 3 — Integrations Catalog (12 Integrations)</w:t>
            </w:r>
            <w:r>
              <w:tab/>
            </w:r>
            <w:r>
              <w:t>13</w:t>
            </w:r>
          </w:hyperlink>
        </w:p>
        <w:p>
          <w:pPr>
            <w:pStyle w:val="TOC2"/>
          </w:pPr>
          <w:hyperlink w:anchor="_Toc100024" w:history="1">
            <w:r>
              <w:t xml:space="preserve">3.1 Integration Overview Table</w:t>
            </w:r>
            <w:r>
              <w:tab/>
            </w:r>
            <w:r>
              <w:t>13</w:t>
            </w:r>
          </w:hyperlink>
        </w:p>
        <w:p>
          <w:pPr>
            <w:pStyle w:val="TOC2"/>
          </w:pPr>
          <w:hyperlink w:anchor="_Toc100025" w:history="1">
            <w:r>
              <w:t xml:space="preserve">3.2 Detailed Integration Specifications</w:t>
            </w:r>
            <w:r>
              <w:tab/>
            </w:r>
            <w:r>
              <w:t>13</w:t>
            </w:r>
          </w:hyperlink>
        </w:p>
        <w:p>
          <w:pPr>
            <w:pStyle w:val="TOC3"/>
          </w:pPr>
          <w:hyperlink w:anchor="_Toc100026" w:history="1">
            <w:r>
              <w:t xml:space="preserve">INT-01 — Odoo ERP Integration</w:t>
            </w:r>
            <w:r>
              <w:tab/>
            </w:r>
            <w:r>
              <w:t>13</w:t>
            </w:r>
          </w:hyperlink>
        </w:p>
        <w:p>
          <w:pPr>
            <w:pStyle w:val="TOC3"/>
          </w:pPr>
          <w:hyperlink w:anchor="_Toc100027" w:history="1">
            <w:r>
              <w:t xml:space="preserve">INT-02 — SAP ERP / S/4HANA Integration</w:t>
            </w:r>
            <w:r>
              <w:tab/>
            </w:r>
            <w:r>
              <w:t>13</w:t>
            </w:r>
          </w:hyperlink>
        </w:p>
        <w:p>
          <w:pPr>
            <w:pStyle w:val="TOC3"/>
          </w:pPr>
          <w:hyperlink w:anchor="_Toc100028" w:history="1">
            <w:r>
              <w:t xml:space="preserve">INT-03 — ZenHR HRMS Integration (Middle East)</w:t>
            </w:r>
            <w:r>
              <w:tab/>
            </w:r>
            <w:r>
              <w:t>14</w:t>
            </w:r>
          </w:hyperlink>
        </w:p>
        <w:p>
          <w:pPr>
            <w:pStyle w:val="TOC3"/>
          </w:pPr>
          <w:hyperlink w:anchor="_Toc100029" w:history="1">
            <w:r>
              <w:t xml:space="preserve">INT-04 — Personio HR Integration (Europe)</w:t>
            </w:r>
            <w:r>
              <w:tab/>
            </w:r>
            <w:r>
              <w:t>14</w:t>
            </w:r>
          </w:hyperlink>
        </w:p>
        <w:p>
          <w:pPr>
            <w:pStyle w:val="TOC3"/>
          </w:pPr>
          <w:hyperlink w:anchor="_Toc100030" w:history="1">
            <w:r>
              <w:t xml:space="preserve">INT-05 — HubSpot CRM Integration</w:t>
            </w:r>
            <w:r>
              <w:tab/>
            </w:r>
            <w:r>
              <w:t>14</w:t>
            </w:r>
          </w:hyperlink>
        </w:p>
        <w:p>
          <w:pPr>
            <w:pStyle w:val="TOC3"/>
          </w:pPr>
          <w:hyperlink w:anchor="_Toc100031" w:history="1">
            <w:r>
              <w:t xml:space="preserve">INT-06 — Siemens Opcenter MES Integration</w:t>
            </w:r>
            <w:r>
              <w:tab/>
            </w:r>
            <w:r>
              <w:t>14</w:t>
            </w:r>
          </w:hyperlink>
        </w:p>
        <w:p>
          <w:pPr>
            <w:pStyle w:val="TOC3"/>
          </w:pPr>
          <w:hyperlink w:anchor="_Toc100032" w:history="1">
            <w:r>
              <w:t xml:space="preserve">INT-07 — Thermo Fisher SampleManager LIMS Integration</w:t>
            </w:r>
            <w:r>
              <w:tab/>
            </w:r>
            <w:r>
              <w:t>15</w:t>
            </w:r>
          </w:hyperlink>
        </w:p>
        <w:p>
          <w:pPr>
            <w:pStyle w:val="TOC3"/>
          </w:pPr>
          <w:hyperlink w:anchor="_Toc100033" w:history="1">
            <w:r>
              <w:t xml:space="preserve">INT-08 — ManWinWin CMMS Integration</w:t>
            </w:r>
            <w:r>
              <w:tab/>
            </w:r>
            <w:r>
              <w:t>15</w:t>
            </w:r>
          </w:hyperlink>
        </w:p>
        <w:p>
          <w:pPr>
            <w:pStyle w:val="TOC3"/>
          </w:pPr>
          <w:hyperlink w:anchor="_Toc100034" w:history="1">
            <w:r>
              <w:t xml:space="preserve">INT-09 — EcoOnline EHS Software Integration</w:t>
            </w:r>
            <w:r>
              <w:tab/>
            </w:r>
            <w:r>
              <w:t>15</w:t>
            </w:r>
          </w:hyperlink>
        </w:p>
        <w:p>
          <w:pPr>
            <w:pStyle w:val="TOC3"/>
          </w:pPr>
          <w:hyperlink w:anchor="_Toc100035" w:history="1">
            <w:r>
              <w:t xml:space="preserve">INT-10 — AVEVA System Platform / SCADA Integration</w:t>
            </w:r>
            <w:r>
              <w:tab/>
            </w:r>
            <w:r>
              <w:t>15</w:t>
            </w:r>
          </w:hyperlink>
        </w:p>
        <w:p>
          <w:pPr>
            <w:pStyle w:val="TOC3"/>
          </w:pPr>
          <w:hyperlink w:anchor="_Toc100036" w:history="1">
            <w:r>
              <w:t xml:space="preserve">INT-11 — Cercli Payroll Integration (Middle East)</w:t>
            </w:r>
            <w:r>
              <w:tab/>
            </w:r>
            <w:r>
              <w:t>16</w:t>
            </w:r>
          </w:hyperlink>
        </w:p>
        <w:p>
          <w:pPr>
            <w:pStyle w:val="TOC3"/>
          </w:pPr>
          <w:hyperlink w:anchor="_Toc100037" w:history="1">
            <w:r>
              <w:t xml:space="preserve">INT-12 — PaySpace Payroll Integration (Africa)</w:t>
            </w:r>
            <w:r>
              <w:tab/>
            </w:r>
            <w:r>
              <w:t>16</w:t>
            </w:r>
          </w:hyperlink>
        </w:p>
        <w:p>
          <w:pPr>
            <w:pStyle w:val="TOC2"/>
          </w:pPr>
          <w:hyperlink w:anchor="_Toc100038" w:history="1">
            <w:r>
              <w:t xml:space="preserve">3.3 Integration-to-Pack Mapping</w:t>
            </w:r>
            <w:r>
              <w:tab/>
            </w:r>
            <w:r>
              <w:t>16</w:t>
            </w:r>
          </w:hyperlink>
        </w:p>
        <w:p>
          <w:pPr>
            <w:pStyle w:val="TOC1"/>
          </w:pPr>
          <w:hyperlink w:anchor="_Toc100039" w:history="1">
            <w:r>
              <w:t xml:space="preserve">Part 4 — Add-Ons Catalog (12 Add-Ons)</w:t>
            </w:r>
            <w:r>
              <w:tab/>
            </w:r>
            <w:r>
              <w:t>17</w:t>
            </w:r>
          </w:hyperlink>
        </w:p>
        <w:p>
          <w:pPr>
            <w:pStyle w:val="TOC2"/>
          </w:pPr>
          <w:hyperlink w:anchor="_Toc100040" w:history="1">
            <w:r>
              <w:t xml:space="preserve">4.1 Add-On Overview Table</w:t>
            </w:r>
            <w:r>
              <w:tab/>
            </w:r>
            <w:r>
              <w:t>17</w:t>
            </w:r>
          </w:hyperlink>
        </w:p>
        <w:p>
          <w:pPr>
            <w:pStyle w:val="TOC2"/>
          </w:pPr>
          <w:hyperlink w:anchor="_Toc100041" w:history="1">
            <w:r>
              <w:t xml:space="preserve">4.2 Detailed Add-On Specifications</w:t>
            </w:r>
            <w:r>
              <w:tab/>
            </w:r>
            <w:r>
              <w:t>17</w:t>
            </w:r>
          </w:hyperlink>
        </w:p>
        <w:p>
          <w:pPr>
            <w:pStyle w:val="TOC3"/>
          </w:pPr>
          <w:hyperlink w:anchor="_Toc100042" w:history="1">
            <w:r>
              <w:t xml:space="preserve">ADD-01 — Mobile Field Operations</w:t>
            </w:r>
            <w:r>
              <w:tab/>
            </w:r>
            <w:r>
              <w:t>17</w:t>
            </w:r>
          </w:hyperlink>
        </w:p>
        <w:p>
          <w:pPr>
            <w:pStyle w:val="TOC3"/>
          </w:pPr>
          <w:hyperlink w:anchor="_Toc100043" w:history="1">
            <w:r>
              <w:t xml:space="preserve">ADD-02 — Voice-to-Text Reporting</w:t>
            </w:r>
            <w:r>
              <w:tab/>
            </w:r>
            <w:r>
              <w:t>18</w:t>
            </w:r>
          </w:hyperlink>
        </w:p>
        <w:p>
          <w:pPr>
            <w:pStyle w:val="TOC3"/>
          </w:pPr>
          <w:hyperlink w:anchor="_Toc100044" w:history="1">
            <w:r>
              <w:t xml:space="preserve">ADD-03 — Augmented Reality Audits</w:t>
            </w:r>
            <w:r>
              <w:tab/>
            </w:r>
            <w:r>
              <w:t>18</w:t>
            </w:r>
          </w:hyperlink>
        </w:p>
        <w:p>
          <w:pPr>
            <w:pStyle w:val="TOC3"/>
          </w:pPr>
          <w:hyperlink w:anchor="_Toc100045" w:history="1">
            <w:r>
              <w:t xml:space="preserve">ADD-04 — Digital Signatures (eIDAS)</w:t>
            </w:r>
            <w:r>
              <w:tab/>
            </w:r>
            <w:r>
              <w:t>18</w:t>
            </w:r>
          </w:hyperlink>
        </w:p>
        <w:p>
          <w:pPr>
            <w:pStyle w:val="TOC3"/>
          </w:pPr>
          <w:hyperlink w:anchor="_Toc100046" w:history="1">
            <w:r>
              <w:t xml:space="preserve">ADD-05 — Blockchain Audit Trail</w:t>
            </w:r>
            <w:r>
              <w:tab/>
            </w:r>
            <w:r>
              <w:t>18</w:t>
            </w:r>
          </w:hyperlink>
        </w:p>
        <w:p>
          <w:pPr>
            <w:pStyle w:val="TOC3"/>
          </w:pPr>
          <w:hyperlink w:anchor="_Toc100047" w:history="1">
            <w:r>
              <w:t xml:space="preserve">ADD-06 — Supplier Collaboration Portal</w:t>
            </w:r>
            <w:r>
              <w:tab/>
            </w:r>
            <w:r>
              <w:t>19</w:t>
            </w:r>
          </w:hyperlink>
        </w:p>
        <w:p>
          <w:pPr>
            <w:pStyle w:val="TOC3"/>
          </w:pPr>
          <w:hyperlink w:anchor="_Toc100048" w:history="1">
            <w:r>
              <w:t xml:space="preserve">ADD-07 — Customer Feedback Portal</w:t>
            </w:r>
            <w:r>
              <w:tab/>
            </w:r>
            <w:r>
              <w:t>19</w:t>
            </w:r>
          </w:hyperlink>
        </w:p>
        <w:p>
          <w:pPr>
            <w:pStyle w:val="TOC3"/>
          </w:pPr>
          <w:hyperlink w:anchor="_Toc100049" w:history="1">
            <w:r>
              <w:t xml:space="preserve">ADD-08 — Low-Code Process Builder</w:t>
            </w:r>
            <w:r>
              <w:tab/>
            </w:r>
            <w:r>
              <w:t>19</w:t>
            </w:r>
          </w:hyperlink>
        </w:p>
        <w:p>
          <w:pPr>
            <w:pStyle w:val="TOC3"/>
          </w:pPr>
          <w:hyperlink w:anchor="_Toc100050" w:history="1">
            <w:r>
              <w:t xml:space="preserve">ADD-09 — Marketplace Access</w:t>
            </w:r>
            <w:r>
              <w:tab/>
            </w:r>
            <w:r>
              <w:t>19</w:t>
            </w:r>
          </w:hyperlink>
        </w:p>
        <w:p>
          <w:pPr>
            <w:pStyle w:val="TOC3"/>
          </w:pPr>
          <w:hyperlink w:anchor="_Toc100051" w:history="1">
            <w:r>
              <w:t xml:space="preserve">ADD-10 — Digital Twin Simulation</w:t>
            </w:r>
            <w:r>
              <w:tab/>
            </w:r>
            <w:r>
              <w:t>20</w:t>
            </w:r>
          </w:hyperlink>
        </w:p>
        <w:p>
          <w:pPr>
            <w:pStyle w:val="TOC3"/>
          </w:pPr>
          <w:hyperlink w:anchor="_Toc100052" w:history="1">
            <w:r>
              <w:t xml:space="preserve">ADD-11 — Voice of Customer Analytics</w:t>
            </w:r>
            <w:r>
              <w:tab/>
            </w:r>
            <w:r>
              <w:t>20</w:t>
            </w:r>
          </w:hyperlink>
        </w:p>
        <w:p>
          <w:pPr>
            <w:pStyle w:val="TOC3"/>
          </w:pPr>
          <w:hyperlink w:anchor="_Toc100053" w:history="1">
            <w:r>
              <w:t xml:space="preserve">ADD-12 — IoT Sensor Integration</w:t>
            </w:r>
            <w:r>
              <w:tab/>
            </w:r>
            <w:r>
              <w:t>20</w:t>
            </w:r>
          </w:hyperlink>
        </w:p>
        <w:p>
          <w:pPr>
            <w:pStyle w:val="TOC1"/>
          </w:pPr>
          <w:hyperlink w:anchor="_Toc100054" w:history="1">
            <w:r>
              <w:t xml:space="preserve">Part 5 — Deployment Modes &amp; Pricing Matrix</w:t>
            </w:r>
            <w:r>
              <w:tab/>
            </w:r>
            <w:r>
              <w:t>21</w:t>
            </w:r>
          </w:hyperlink>
        </w:p>
        <w:p>
          <w:pPr>
            <w:pStyle w:val="TOC2"/>
          </w:pPr>
          <w:hyperlink w:anchor="_Toc100055" w:history="1">
            <w:r>
              <w:t xml:space="preserve">5.1 The Seven Deployment Modes</w:t>
            </w:r>
            <w:r>
              <w:tab/>
            </w:r>
            <w:r>
              <w:t>21</w:t>
            </w:r>
          </w:hyperlink>
        </w:p>
        <w:p>
          <w:pPr>
            <w:pStyle w:val="TOC2"/>
          </w:pPr>
          <w:hyperlink w:anchor="_Toc100056" w:history="1">
            <w:r>
              <w:t xml:space="preserve">5.2 Pricing Multipliers per Mode</w:t>
            </w:r>
            <w:r>
              <w:tab/>
            </w:r>
            <w:r>
              <w:t>21</w:t>
            </w:r>
          </w:hyperlink>
        </w:p>
        <w:p>
          <w:pPr>
            <w:pStyle w:val="TOC2"/>
          </w:pPr>
          <w:hyperlink w:anchor="_Toc100057" w:history="1">
            <w:r>
              <w:t xml:space="preserve">5.3 Full Pricing Matrix per Pack per Mode (USD/month)</w:t>
            </w:r>
            <w:r>
              <w:tab/>
            </w:r>
            <w:r>
              <w:t>21</w:t>
            </w:r>
          </w:hyperlink>
        </w:p>
        <w:p>
          <w:pPr>
            <w:pStyle w:val="TOC1"/>
          </w:pPr>
          <w:hyperlink w:anchor="_Toc100058" w:history="1">
            <w:r>
              <w:t xml:space="preserve">Part 6 — Bundling Recommendations</w:t>
            </w:r>
            <w:r>
              <w:tab/>
            </w:r>
            <w:r>
              <w:t>23</w:t>
            </w:r>
          </w:hyperlink>
        </w:p>
        <w:p>
          <w:pPr>
            <w:pStyle w:val="TOC2"/>
          </w:pPr>
          <w:hyperlink w:anchor="_Toc100059" w:history="1">
            <w:r>
              <w:t xml:space="preserve">6.1 Recommended Bundles per Segment</w:t>
            </w:r>
            <w:r>
              <w:tab/>
            </w:r>
            <w:r>
              <w:t>23</w:t>
            </w:r>
          </w:hyperlink>
        </w:p>
        <w:p>
          <w:pPr>
            <w:pStyle w:val="TOC2"/>
          </w:pPr>
          <w:hyperlink w:anchor="_Toc100060" w:history="1">
            <w:r>
              <w:t xml:space="preserve">6.2 Bundle Discounts</w:t>
            </w:r>
            <w:r>
              <w:tab/>
            </w:r>
            <w:r>
              <w:t>23</w:t>
            </w:r>
          </w:hyperlink>
        </w:p>
        <w:p>
          <w:pPr>
            <w:pStyle w:val="TOC2"/>
          </w:pPr>
          <w:hyperlink w:anchor="_Toc100061" w:history="1">
            <w:r>
              <w:t xml:space="preserve">6.3 Enterprise Agreement Structures</w:t>
            </w:r>
            <w:r>
              <w:tab/>
            </w:r>
            <w:r>
              <w:t>23</w:t>
            </w:r>
          </w:hyperlink>
        </w:p>
        <w:p>
          <w:pPr>
            <w:pStyle w:val="TOC1"/>
          </w:pPr>
          <w:hyperlink w:anchor="_Toc100062" w:history="1">
            <w:r>
              <w:t xml:space="preserve">Part 7 — Customer Profile &amp; Value Fit</w:t>
            </w:r>
            <w:r>
              <w:tab/>
            </w:r>
            <w:r>
              <w:t>24</w:t>
            </w:r>
          </w:hyperlink>
        </w:p>
        <w:p>
          <w:pPr>
            <w:pStyle w:val="TOC2"/>
          </w:pPr>
          <w:hyperlink w:anchor="_Toc100063" w:history="1">
            <w:r>
              <w:t xml:space="preserve">7.1 Customer Behavior, Pain Points &amp; Hopes per Segment Cluster</w:t>
            </w:r>
            <w:r>
              <w:tab/>
            </w:r>
            <w:r>
              <w:t>24</w:t>
            </w:r>
          </w:hyperlink>
        </w:p>
        <w:p>
          <w:pPr>
            <w:pStyle w:val="TOC3"/>
          </w:pPr>
          <w:hyperlink w:anchor="_Toc100064" w:history="1">
            <w:r>
              <w:t xml:space="preserve">SME Cluster (V-30)</w:t>
            </w:r>
            <w:r>
              <w:tab/>
            </w:r>
            <w:r>
              <w:t>24</w:t>
            </w:r>
          </w:hyperlink>
        </w:p>
        <w:p>
          <w:pPr>
            <w:pStyle w:val="TOC3"/>
          </w:pPr>
          <w:hyperlink w:anchor="_Toc100065" w:history="1">
            <w:r>
              <w:t xml:space="preserve">Professional Cluster (MFG, ELE, AEC, CON, RET, DST, LOG, RFA, TEL, SSE, PED, PUED)</w:t>
            </w:r>
            <w:r>
              <w:tab/>
            </w:r>
            <w:r>
              <w:t>24</w:t>
            </w:r>
          </w:hyperlink>
        </w:p>
        <w:p>
          <w:pPr>
            <w:pStyle w:val="TOC3"/>
          </w:pPr>
          <w:hyperlink w:anchor="_Toc100066" w:history="1">
            <w:r>
              <w:t xml:space="preserve">Enterprise Regulated Cluster (AER, HLS, PHM, PHA, ENG, PCH, SHB, SEM, HCA)</w:t>
            </w:r>
            <w:r>
              <w:tab/>
            </w:r>
            <w:r>
              <w:t>24</w:t>
            </w:r>
          </w:hyperlink>
        </w:p>
        <w:p>
          <w:pPr>
            <w:pStyle w:val="TOC3"/>
          </w:pPr>
          <w:hyperlink w:anchor="_Toc100067" w:history="1">
            <w:r>
              <w:t xml:space="preserve">Automotive Cluster (AUT, IND, SEM, FAB, MFG)</w:t>
            </w:r>
            <w:r>
              <w:tab/>
            </w:r>
            <w:r>
              <w:t>24</w:t>
            </w:r>
          </w:hyperlink>
        </w:p>
        <w:p>
          <w:pPr>
            <w:pStyle w:val="TOC3"/>
          </w:pPr>
          <w:hyperlink w:anchor="_Toc100068" w:history="1">
            <w:r>
              <w:t xml:space="preserve">Life Sciences Cluster (HLS, PHM, PHA, HCA)</w:t>
            </w:r>
            <w:r>
              <w:tab/>
            </w:r>
            <w:r>
              <w:t>24</w:t>
            </w:r>
          </w:hyperlink>
        </w:p>
        <w:p>
          <w:pPr>
            <w:pStyle w:val="TOC3"/>
          </w:pPr>
          <w:hyperlink w:anchor="_Toc100069" w:history="1">
            <w:r>
              <w:t xml:space="preserve">Food &amp; CPG Cluster (FNB, CPG, PCI, PPG)</w:t>
            </w:r>
            <w:r>
              <w:tab/>
            </w:r>
            <w:r>
              <w:t>25</w:t>
            </w:r>
          </w:hyperlink>
        </w:p>
        <w:p>
          <w:pPr>
            <w:pStyle w:val="TOC3"/>
          </w:pPr>
          <w:hyperlink w:anchor="_Toc100070" w:history="1">
            <w:r>
              <w:t xml:space="preserve">Process &amp; Energy Cluster (ENG, PCH, INF)</w:t>
            </w:r>
            <w:r>
              <w:tab/>
            </w:r>
            <w:r>
              <w:t>25</w:t>
            </w:r>
          </w:hyperlink>
        </w:p>
        <w:p>
          <w:pPr>
            <w:pStyle w:val="TOC3"/>
          </w:pPr>
          <w:hyperlink w:anchor="_Toc100071" w:history="1">
            <w:r>
              <w:t xml:space="preserve">Aerospace Cluster (AER)</w:t>
            </w:r>
            <w:r>
              <w:tab/>
            </w:r>
            <w:r>
              <w:t>25</w:t>
            </w:r>
          </w:hyperlink>
        </w:p>
        <w:p>
          <w:pPr>
            <w:pStyle w:val="TOC3"/>
          </w:pPr>
          <w:hyperlink w:anchor="_Toc100072" w:history="1">
            <w:r>
              <w:t xml:space="preserve">Maritime Cluster (SHB)</w:t>
            </w:r>
            <w:r>
              <w:tab/>
            </w:r>
            <w:r>
              <w:t>25</w:t>
            </w:r>
          </w:hyperlink>
        </w:p>
        <w:p>
          <w:pPr>
            <w:pStyle w:val="TOC2"/>
          </w:pPr>
          <w:hyperlink w:anchor="_Toc100073" w:history="1">
            <w:r>
              <w:t xml:space="preserve">7.2 Pack Fit Summary</w:t>
            </w:r>
            <w:r>
              <w:tab/>
            </w:r>
            <w:r>
              <w:t>25</w:t>
            </w:r>
          </w:hyperlink>
          <w:r>
            <w:fldChar w:fldCharType="end"/>
          </w:r>
        </w:p>
      </w:sdtContent>
    </w:sdt>
    <w:p>
      <w:pPr>
        <w:pStyle w:val="Heading1"/>
      </w:pPr>
      <w:bookmarkStart w:id="9000" w:name="_Toc100000"/>
      <w:r>
        <w:t xml:space="preserve">Part 1 — Executive Summary</w:t>
      </w:r>
      <w:bookmarkEnd w:id="9000"/>
    </w:p>
    <w:p>
      <w:pPr>
        <w:pStyle w:val="Heading2"/>
      </w:pPr>
      <w:bookmarkStart w:id="9001" w:name="_Toc100001"/>
      <w:r>
        <w:t xml:space="preserve">1.1 Document Purpose</w:t>
      </w:r>
      <w:bookmarkEnd w:id="9001"/>
    </w:p>
    <w:p>
      <w:pPr>
        <w:pStyle w:val="Body"/>
      </w:pPr>
      <w:r>
        <w:rPr>
          <w:rFonts w:ascii="Times New Roman" w:cs="Times New Roman" w:eastAsia="Times New Roman" w:hAnsi="Times New Roman"/>
          <w:b w:val="false"/>
          <w:bCs w:val="false"/>
        </w:rPr>
        <w:t xml:space="preserve">This catalog defines the complete </w:t>
      </w:r>
      <w:r>
        <w:rPr>
          <w:rFonts w:ascii="Times New Roman" w:cs="Times New Roman" w:eastAsia="Times New Roman" w:hAnsi="Times New Roman"/>
          <w:b/>
          <w:bCs/>
          <w:color w:val="3A3A3C"/>
        </w:rPr>
        <w:t xml:space="preserve">commercial architecture</w:t>
      </w:r>
      <w:r>
        <w:rPr>
          <w:rFonts w:ascii="Times New Roman" w:cs="Times New Roman" w:eastAsia="Times New Roman" w:hAnsi="Times New Roman"/>
          <w:b w:val="false"/>
          <w:bCs w:val="false"/>
        </w:rPr>
        <w:t xml:space="preserve"> for DynamicMS — Packs, Integrations, and Add-Ons — with pricing, deployment modes, and customer fit. It is designed to maximize revenue per customer, minimize sales friction, and ensure that every segment (from SMEs to multinationals) has an accessible entry point.</w:t>
      </w:r>
    </w:p>
    <w:p>
      <w:pPr>
        <w:pStyle w:val="Heading2"/>
      </w:pPr>
      <w:bookmarkStart w:id="9002" w:name="_Toc100002"/>
      <w:r>
        <w:t xml:space="preserve">1.2 Commercial Model Overview</w:t>
      </w:r>
      <w:bookmarkEnd w:id="9002"/>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7"/>
        <w:gridCol w:w="829"/>
        <w:gridCol w:w="6860"/>
      </w:tblGrid>
      <w:tr>
        <w:trPr>
          <w:cantSplit/>
          <w:tblHeader/>
        </w:trPr>
        <w:tc>
          <w:tcPr>
            <w:tcW w:type="dxa" w:w="2057"/>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Component</w:t>
            </w:r>
          </w:p>
        </w:tc>
        <w:tc>
          <w:tcPr>
            <w:tcW w:type="dxa" w:w="829"/>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Count</w:t>
            </w:r>
          </w:p>
        </w:tc>
        <w:tc>
          <w:tcPr>
            <w:tcW w:type="dxa" w:w="6860"/>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Purpose</w:t>
            </w:r>
          </w:p>
        </w:tc>
      </w:tr>
      <w:tr>
        <w:trPr>
          <w:cantSplit/>
          <w:tblHeader w:val="false"/>
        </w:trPr>
        <w:tc>
          <w:tcPr>
            <w:tcW w:type="dxa" w:w="205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Packs</w:t>
            </w:r>
          </w:p>
        </w:tc>
        <w:tc>
          <w:tcPr>
            <w:tcW w:type="dxa" w:w="82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12</w:t>
            </w:r>
          </w:p>
        </w:tc>
        <w:tc>
          <w:tcPr>
            <w:tcW w:type="dxa" w:w="686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Bundled capability offerings (base + industry + capability)</w:t>
            </w:r>
          </w:p>
        </w:tc>
      </w:tr>
      <w:tr>
        <w:trPr>
          <w:cantSplit/>
          <w:tblHeader w:val="false"/>
        </w:trPr>
        <w:tc>
          <w:tcPr>
            <w:tcW w:type="dxa" w:w="205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Integrations</w:t>
            </w:r>
          </w:p>
        </w:tc>
        <w:tc>
          <w:tcPr>
            <w:tcW w:type="dxa" w:w="82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12</w:t>
            </w:r>
          </w:p>
        </w:tc>
        <w:tc>
          <w:tcPr>
            <w:tcW w:type="dxa" w:w="68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External application connectors that extend platform value</w:t>
            </w:r>
          </w:p>
        </w:tc>
      </w:tr>
      <w:tr>
        <w:trPr>
          <w:cantSplit/>
          <w:tblHeader w:val="false"/>
        </w:trPr>
        <w:tc>
          <w:tcPr>
            <w:tcW w:type="dxa" w:w="205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Add-Ons</w:t>
            </w:r>
          </w:p>
        </w:tc>
        <w:tc>
          <w:tcPr>
            <w:tcW w:type="dxa" w:w="82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12</w:t>
            </w:r>
          </w:p>
        </w:tc>
        <w:tc>
          <w:tcPr>
            <w:tcW w:type="dxa" w:w="686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Modular feature extensions sold a-la-carte</w:t>
            </w:r>
          </w:p>
        </w:tc>
      </w:tr>
      <w:tr>
        <w:trPr>
          <w:cantSplit/>
          <w:tblHeader w:val="false"/>
        </w:trPr>
        <w:tc>
          <w:tcPr>
            <w:tcW w:type="dxa" w:w="205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82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7</w:t>
            </w:r>
          </w:p>
        </w:tc>
        <w:tc>
          <w:tcPr>
            <w:tcW w:type="dxa" w:w="68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From SaaS to Air-Gapped On-Prem</w:t>
            </w:r>
          </w:p>
        </w:tc>
      </w:tr>
    </w:tbl>
    <w:p>
      <w:pPr>
        <w:spacing w:after="160" w:before="0"/>
      </w:pPr>
    </w:p>
    <w:p>
      <w:pPr>
        <w:pStyle w:val="Heading2"/>
      </w:pPr>
      <w:bookmarkStart w:id="9003" w:name="_Toc100003"/>
      <w:r>
        <w:t xml:space="preserve">1.3 Pricing Philosophy</w:t>
      </w:r>
      <w:bookmarkEnd w:id="9003"/>
    </w:p>
    <w:p>
      <w:pPr>
        <w:pStyle w:val="ListBody"/>
        <w:numPr>
          <w:ilvl w:val="0"/>
          <w:numId w:val="2"/>
        </w:numPr>
      </w:pPr>
      <w:r>
        <w:rPr>
          <w:rFonts w:ascii="Times New Roman" w:cs="Times New Roman" w:eastAsia="Times New Roman" w:hAnsi="Times New Roman"/>
          <w:b/>
          <w:bCs/>
          <w:color w:val="3A3A3C"/>
        </w:rPr>
        <w:t xml:space="preserve">Minimum SaaS Price:</w:t>
      </w:r>
      <w:r>
        <w:rPr>
          <w:rFonts w:ascii="Times New Roman" w:cs="Times New Roman" w:eastAsia="Times New Roman" w:hAnsi="Times New Roman"/>
          <w:b w:val="false"/>
          <w:bCs w:val="false"/>
        </w:rPr>
        <w:t xml:space="preserve"> $40/month (DMS-SME — entry point for micro-SMEs)</w:t>
      </w:r>
    </w:p>
    <w:p>
      <w:pPr>
        <w:pStyle w:val="ListBody"/>
        <w:numPr>
          <w:ilvl w:val="0"/>
          <w:numId w:val="2"/>
        </w:numPr>
      </w:pPr>
      <w:r>
        <w:rPr>
          <w:rFonts w:ascii="Times New Roman" w:cs="Times New Roman" w:eastAsia="Times New Roman" w:hAnsi="Times New Roman"/>
          <w:b/>
          <w:bCs/>
          <w:color w:val="3A3A3C"/>
        </w:rPr>
        <w:t xml:space="preserve">Value-Based Pricing:</w:t>
      </w:r>
      <w:r>
        <w:rPr>
          <w:rFonts w:ascii="Times New Roman" w:cs="Times New Roman" w:eastAsia="Times New Roman" w:hAnsi="Times New Roman"/>
          <w:b w:val="false"/>
          <w:bCs w:val="false"/>
        </w:rPr>
        <w:t xml:space="preserve"> Price reflects the compliance, safety, and financial risk mitigated</w:t>
      </w:r>
    </w:p>
    <w:p>
      <w:pPr>
        <w:pStyle w:val="ListBody"/>
        <w:numPr>
          <w:ilvl w:val="0"/>
          <w:numId w:val="2"/>
        </w:numPr>
      </w:pPr>
      <w:r>
        <w:rPr>
          <w:rFonts w:ascii="Times New Roman" w:cs="Times New Roman" w:eastAsia="Times New Roman" w:hAnsi="Times New Roman"/>
          <w:b/>
          <w:bCs/>
          <w:color w:val="3A3A3C"/>
        </w:rPr>
        <w:t xml:space="preserve">Modular:</w:t>
      </w:r>
      <w:r>
        <w:rPr>
          <w:rFonts w:ascii="Times New Roman" w:cs="Times New Roman" w:eastAsia="Times New Roman" w:hAnsi="Times New Roman"/>
          <w:b w:val="false"/>
          <w:bCs w:val="false"/>
        </w:rPr>
        <w:t xml:space="preserve"> Customers buy 1 base pack + 1–2 industry packs + 0–3 capability packs + optional add-ons</w:t>
      </w:r>
    </w:p>
    <w:p>
      <w:pPr>
        <w:pStyle w:val="ListBody"/>
        <w:numPr>
          <w:ilvl w:val="0"/>
          <w:numId w:val="2"/>
        </w:numPr>
      </w:pPr>
      <w:r>
        <w:rPr>
          <w:rFonts w:ascii="Times New Roman" w:cs="Times New Roman" w:eastAsia="Times New Roman" w:hAnsi="Times New Roman"/>
          <w:b/>
          <w:bCs/>
          <w:color w:val="3A3A3C"/>
        </w:rPr>
        <w:t xml:space="preserve">Scales with Isolation:</w:t>
      </w:r>
      <w:r>
        <w:rPr>
          <w:rFonts w:ascii="Times New Roman" w:cs="Times New Roman" w:eastAsia="Times New Roman" w:hAnsi="Times New Roman"/>
          <w:b w:val="false"/>
          <w:bCs w:val="false"/>
        </w:rPr>
        <w:t xml:space="preserve"> More secure deployment modes (Private Cloud, On-Prem, Air-Gapped) carry higher prices</w:t>
      </w:r>
    </w:p>
    <w:p>
      <w:pPr>
        <w:pStyle w:val="ListBody"/>
        <w:numPr>
          <w:ilvl w:val="0"/>
          <w:numId w:val="2"/>
        </w:numPr>
      </w:pPr>
      <w:r>
        <w:rPr>
          <w:rFonts w:ascii="Times New Roman" w:cs="Times New Roman" w:eastAsia="Times New Roman" w:hAnsi="Times New Roman"/>
          <w:b/>
          <w:bCs/>
          <w:color w:val="3A3A3C"/>
        </w:rPr>
        <w:t xml:space="preserve">Annual Discount:</w:t>
      </w:r>
      <w:r>
        <w:rPr>
          <w:rFonts w:ascii="Times New Roman" w:cs="Times New Roman" w:eastAsia="Times New Roman" w:hAnsi="Times New Roman"/>
          <w:b w:val="false"/>
          <w:bCs w:val="false"/>
        </w:rPr>
        <w:t xml:space="preserve"> 15% off for annual commitment; 25% off for 3-year commitment</w:t>
      </w:r>
    </w:p>
    <w:p>
      <w:pPr>
        <w:pStyle w:val="Heading2"/>
      </w:pPr>
      <w:bookmarkStart w:id="9004" w:name="_Toc100004"/>
      <w:r>
        <w:t xml:space="preserve">1.4 Deployment Modes Overview</w:t>
      </w:r>
      <w:bookmarkEnd w:id="9004"/>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734"/>
        <w:gridCol w:w="3399"/>
        <w:gridCol w:w="2899"/>
      </w:tblGrid>
      <w:tr>
        <w:trPr>
          <w:cantSplit/>
          <w:tblHeader/>
        </w:trPr>
        <w:tc>
          <w:tcPr>
            <w:tcW w:type="dxa" w:w="2714"/>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Mode</w:t>
            </w:r>
          </w:p>
        </w:tc>
        <w:tc>
          <w:tcPr>
            <w:tcW w:type="dxa" w:w="734"/>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Code</w:t>
            </w:r>
          </w:p>
        </w:tc>
        <w:tc>
          <w:tcPr>
            <w:tcW w:type="dxa" w:w="3399"/>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Description</w:t>
            </w:r>
          </w:p>
        </w:tc>
        <w:tc>
          <w:tcPr>
            <w:tcW w:type="dxa" w:w="2899"/>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Typical Customer</w:t>
            </w:r>
          </w:p>
        </w:tc>
      </w:tr>
      <w:tr>
        <w:trPr>
          <w:cantSplit/>
          <w:tblHeader w:val="false"/>
        </w:trPr>
        <w:tc>
          <w:tcPr>
            <w:tcW w:type="dxa" w:w="271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SaaS (Multi-Tenant Shared)</w:t>
            </w:r>
          </w:p>
        </w:tc>
        <w:tc>
          <w:tcPr>
            <w:tcW w:type="dxa" w:w="73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DEP-1</w:t>
            </w:r>
          </w:p>
        </w:tc>
        <w:tc>
          <w:tcPr>
            <w:tcW w:type="dxa" w:w="339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Shared infrastructure, logical isolation</w:t>
            </w:r>
          </w:p>
        </w:tc>
        <w:tc>
          <w:tcPr>
            <w:tcW w:type="dxa" w:w="289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SMEs, mid-market</w:t>
            </w:r>
          </w:p>
        </w:tc>
      </w:tr>
      <w:tr>
        <w:trPr>
          <w:cantSplit/>
          <w:tblHeader w:val="false"/>
        </w:trPr>
        <w:tc>
          <w:tcPr>
            <w:tcW w:type="dxa" w:w="271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Public Cloud — Multi-Tenant Subscription</w:t>
            </w:r>
          </w:p>
        </w:tc>
        <w:tc>
          <w:tcPr>
            <w:tcW w:type="dxa" w:w="73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DEP-2</w:t>
            </w:r>
          </w:p>
        </w:tc>
        <w:tc>
          <w:tcPr>
            <w:tcW w:type="dxa" w:w="339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Dedicated instance on shared cloud, multi-tenant logic</w:t>
            </w:r>
          </w:p>
        </w:tc>
        <w:tc>
          <w:tcPr>
            <w:tcW w:type="dxa" w:w="289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Mid-market, multi-site</w:t>
            </w:r>
          </w:p>
        </w:tc>
      </w:tr>
      <w:tr>
        <w:trPr>
          <w:cantSplit/>
          <w:tblHeader w:val="false"/>
        </w:trPr>
        <w:tc>
          <w:tcPr>
            <w:tcW w:type="dxa" w:w="271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Public Cloud — Single-Tenant Subscription</w:t>
            </w:r>
          </w:p>
        </w:tc>
        <w:tc>
          <w:tcPr>
            <w:tcW w:type="dxa" w:w="73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DEP-3</w:t>
            </w:r>
          </w:p>
        </w:tc>
        <w:tc>
          <w:tcPr>
            <w:tcW w:type="dxa" w:w="339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Dedicated infrastructure, single customer</w:t>
            </w:r>
          </w:p>
        </w:tc>
        <w:tc>
          <w:tcPr>
            <w:tcW w:type="dxa" w:w="289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Enterprise, regulated</w:t>
            </w:r>
          </w:p>
        </w:tc>
      </w:tr>
      <w:tr>
        <w:trPr>
          <w:cantSplit/>
          <w:tblHeader w:val="false"/>
        </w:trPr>
        <w:tc>
          <w:tcPr>
            <w:tcW w:type="dxa" w:w="271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Customer Private Cloud</w:t>
            </w:r>
          </w:p>
        </w:tc>
        <w:tc>
          <w:tcPr>
            <w:tcW w:type="dxa" w:w="73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DEP-4</w:t>
            </w:r>
          </w:p>
        </w:tc>
        <w:tc>
          <w:tcPr>
            <w:tcW w:type="dxa" w:w="339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Customer's AWS/Azure/GCP tenancy</w:t>
            </w:r>
          </w:p>
        </w:tc>
        <w:tc>
          <w:tcPr>
            <w:tcW w:type="dxa" w:w="289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Large enterprise, regulated</w:t>
            </w:r>
          </w:p>
        </w:tc>
      </w:tr>
      <w:tr>
        <w:trPr>
          <w:cantSplit/>
          <w:tblHeader w:val="false"/>
        </w:trPr>
        <w:tc>
          <w:tcPr>
            <w:tcW w:type="dxa" w:w="271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Customer On-Prem (Data Center)</w:t>
            </w:r>
          </w:p>
        </w:tc>
        <w:tc>
          <w:tcPr>
            <w:tcW w:type="dxa" w:w="73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DEP-5</w:t>
            </w:r>
          </w:p>
        </w:tc>
        <w:tc>
          <w:tcPr>
            <w:tcW w:type="dxa" w:w="339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Customer's own data center</w:t>
            </w:r>
          </w:p>
        </w:tc>
        <w:tc>
          <w:tcPr>
            <w:tcW w:type="dxa" w:w="289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Regulated industries</w:t>
            </w:r>
          </w:p>
        </w:tc>
      </w:tr>
      <w:tr>
        <w:trPr>
          <w:cantSplit/>
          <w:tblHeader w:val="false"/>
        </w:trPr>
        <w:tc>
          <w:tcPr>
            <w:tcW w:type="dxa" w:w="271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Hybrid (Cloud + On-Prem)</w:t>
            </w:r>
          </w:p>
        </w:tc>
        <w:tc>
          <w:tcPr>
            <w:tcW w:type="dxa" w:w="73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DEP-6</w:t>
            </w:r>
          </w:p>
        </w:tc>
        <w:tc>
          <w:tcPr>
            <w:tcW w:type="dxa" w:w="339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Mix of cloud SaaS + on-prem edge</w:t>
            </w:r>
          </w:p>
        </w:tc>
        <w:tc>
          <w:tcPr>
            <w:tcW w:type="dxa" w:w="289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Distributed operations</w:t>
            </w:r>
          </w:p>
        </w:tc>
      </w:tr>
      <w:tr>
        <w:trPr>
          <w:cantSplit/>
          <w:tblHeader w:val="false"/>
        </w:trPr>
        <w:tc>
          <w:tcPr>
            <w:tcW w:type="dxa" w:w="271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Customer On-Prem — Air-Gapped</w:t>
            </w:r>
          </w:p>
        </w:tc>
        <w:tc>
          <w:tcPr>
            <w:tcW w:type="dxa" w:w="73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DEP-7</w:t>
            </w:r>
          </w:p>
        </w:tc>
        <w:tc>
          <w:tcPr>
            <w:tcW w:type="dxa" w:w="339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Fully isolated, no internet</w:t>
            </w:r>
          </w:p>
        </w:tc>
        <w:tc>
          <w:tcPr>
            <w:tcW w:type="dxa" w:w="289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Defense, government, critical infrastructure</w:t>
            </w:r>
          </w:p>
        </w:tc>
      </w:tr>
    </w:tbl>
    <w:p>
      <w:pPr>
        <w:spacing w:after="160" w:before="0"/>
      </w:pPr>
    </w:p>
    <w:p>
      <w:pPr>
        <w:pStyle w:val="Heading1"/>
        <w:pageBreakBefore/>
      </w:pPr>
      <w:bookmarkStart w:id="9005" w:name="_Toc100005"/>
      <w:r>
        <w:t xml:space="preserve">Part 2 — Packs Catalog (12 Optimized Packs)</w:t>
      </w:r>
      <w:bookmarkEnd w:id="9005"/>
    </w:p>
    <w:p>
      <w:pPr>
        <w:pStyle w:val="Heading2"/>
      </w:pPr>
      <w:bookmarkStart w:id="9006" w:name="_Toc100006"/>
      <w:r>
        <w:t xml:space="preserve">2.1 Pack Overview Table</w:t>
      </w:r>
      <w:bookmarkEnd w:id="9006"/>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3"/>
        <w:gridCol w:w="2669"/>
        <w:gridCol w:w="1156"/>
        <w:gridCol w:w="2987"/>
        <w:gridCol w:w="1961"/>
      </w:tblGrid>
      <w:tr>
        <w:trPr>
          <w:cantSplit/>
          <w:tblHeader/>
        </w:trPr>
        <w:tc>
          <w:tcPr>
            <w:tcW w:type="dxa" w:w="973"/>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Pack ID</w:t>
            </w:r>
          </w:p>
        </w:tc>
        <w:tc>
          <w:tcPr>
            <w:tcW w:type="dxa" w:w="2669"/>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Pack Name</w:t>
            </w:r>
          </w:p>
        </w:tc>
        <w:tc>
          <w:tcPr>
            <w:tcW w:type="dxa" w:w="1156"/>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Type</w:t>
            </w:r>
          </w:p>
        </w:tc>
        <w:tc>
          <w:tcPr>
            <w:tcW w:type="dxa" w:w="2987"/>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Target Segment</w:t>
            </w:r>
          </w:p>
        </w:tc>
        <w:tc>
          <w:tcPr>
            <w:tcW w:type="dxa" w:w="1961"/>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Base SaaS Price (USD/month)</w:t>
            </w:r>
          </w:p>
        </w:tc>
      </w:tr>
      <w:tr>
        <w:trPr>
          <w:cantSplit/>
          <w:tblHeader w:val="false"/>
        </w:trPr>
        <w:tc>
          <w:tcPr>
            <w:tcW w:type="dxa" w:w="97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DMS-SME</w:t>
            </w:r>
          </w:p>
        </w:tc>
        <w:tc>
          <w:tcPr>
            <w:tcW w:type="dxa" w:w="266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SME Essentials</w:t>
            </w:r>
          </w:p>
        </w:tc>
        <w:tc>
          <w:tcPr>
            <w:tcW w:type="dxa" w:w="115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Base</w:t>
            </w:r>
          </w:p>
        </w:tc>
        <w:tc>
          <w:tcPr>
            <w:tcW w:type="dxa" w:w="298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SME</w:t>
            </w:r>
          </w:p>
        </w:tc>
        <w:tc>
          <w:tcPr>
            <w:tcW w:type="dxa" w:w="196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$40</w:t>
            </w:r>
          </w:p>
        </w:tc>
      </w:tr>
      <w:tr>
        <w:trPr>
          <w:cantSplit/>
          <w:tblHeader w:val="false"/>
        </w:trPr>
        <w:tc>
          <w:tcPr>
            <w:tcW w:type="dxa" w:w="97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66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Professional Multi-Standard IMS</w:t>
            </w:r>
          </w:p>
        </w:tc>
        <w:tc>
          <w:tcPr>
            <w:tcW w:type="dxa" w:w="1156"/>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Base</w:t>
            </w:r>
          </w:p>
        </w:tc>
        <w:tc>
          <w:tcPr>
            <w:tcW w:type="dxa" w:w="298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MFG, ELE, AEC, CON, RET, DST, LOG, RFA, TEL, SSE, PED, PUED</w:t>
            </w:r>
          </w:p>
        </w:tc>
        <w:tc>
          <w:tcPr>
            <w:tcW w:type="dxa" w:w="196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$399</w:t>
            </w:r>
          </w:p>
        </w:tc>
      </w:tr>
      <w:tr>
        <w:trPr>
          <w:cantSplit/>
          <w:tblHeader w:val="false"/>
        </w:trPr>
        <w:tc>
          <w:tcPr>
            <w:tcW w:type="dxa" w:w="97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c>
          <w:tcPr>
            <w:tcW w:type="dxa" w:w="266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Enterprise Regulated IMS</w:t>
            </w:r>
          </w:p>
        </w:tc>
        <w:tc>
          <w:tcPr>
            <w:tcW w:type="dxa" w:w="115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Base</w:t>
            </w:r>
          </w:p>
        </w:tc>
        <w:tc>
          <w:tcPr>
            <w:tcW w:type="dxa" w:w="298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AER, HLS, PHM, PHA, ENG, PCH, SHB, SEM, HCA</w:t>
            </w:r>
          </w:p>
        </w:tc>
        <w:tc>
          <w:tcPr>
            <w:tcW w:type="dxa" w:w="196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$1,999</w:t>
            </w:r>
          </w:p>
        </w:tc>
      </w:tr>
      <w:tr>
        <w:trPr>
          <w:cantSplit/>
          <w:tblHeader w:val="false"/>
        </w:trPr>
        <w:tc>
          <w:tcPr>
            <w:tcW w:type="dxa" w:w="97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w:t>
            </w:r>
          </w:p>
        </w:tc>
        <w:tc>
          <w:tcPr>
            <w:tcW w:type="dxa" w:w="266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Automotive, Industrial &amp; Manufacturing Pack</w:t>
            </w:r>
          </w:p>
        </w:tc>
        <w:tc>
          <w:tcPr>
            <w:tcW w:type="dxa" w:w="1156"/>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Industry</w:t>
            </w:r>
          </w:p>
        </w:tc>
        <w:tc>
          <w:tcPr>
            <w:tcW w:type="dxa" w:w="298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AUT, IND, SEM, FAB, MFG, ELE</w:t>
            </w:r>
          </w:p>
        </w:tc>
        <w:tc>
          <w:tcPr>
            <w:tcW w:type="dxa" w:w="196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$699</w:t>
            </w:r>
          </w:p>
        </w:tc>
      </w:tr>
      <w:tr>
        <w:trPr>
          <w:cantSplit/>
          <w:tblHeader w:val="false"/>
        </w:trPr>
        <w:tc>
          <w:tcPr>
            <w:tcW w:type="dxa" w:w="97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DMS-LSCI</w:t>
            </w:r>
          </w:p>
        </w:tc>
        <w:tc>
          <w:tcPr>
            <w:tcW w:type="dxa" w:w="266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Life Sciences &amp; Healthcare Pack</w:t>
            </w:r>
          </w:p>
        </w:tc>
        <w:tc>
          <w:tcPr>
            <w:tcW w:type="dxa" w:w="115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Industry</w:t>
            </w:r>
          </w:p>
        </w:tc>
        <w:tc>
          <w:tcPr>
            <w:tcW w:type="dxa" w:w="298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HLS, PHM, PHA, HCA</w:t>
            </w:r>
          </w:p>
        </w:tc>
        <w:tc>
          <w:tcPr>
            <w:tcW w:type="dxa" w:w="196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$1,299</w:t>
            </w:r>
          </w:p>
        </w:tc>
      </w:tr>
      <w:tr>
        <w:trPr>
          <w:cantSplit/>
          <w:tblHeader w:val="false"/>
        </w:trPr>
        <w:tc>
          <w:tcPr>
            <w:tcW w:type="dxa" w:w="97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DMS-FOOD</w:t>
            </w:r>
          </w:p>
        </w:tc>
        <w:tc>
          <w:tcPr>
            <w:tcW w:type="dxa" w:w="266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Food Safety &amp; Consumer Goods Pack</w:t>
            </w:r>
          </w:p>
        </w:tc>
        <w:tc>
          <w:tcPr>
            <w:tcW w:type="dxa" w:w="1156"/>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Industry</w:t>
            </w:r>
          </w:p>
        </w:tc>
        <w:tc>
          <w:tcPr>
            <w:tcW w:type="dxa" w:w="298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FNB, CPG, PCI, PPG</w:t>
            </w:r>
          </w:p>
        </w:tc>
        <w:tc>
          <w:tcPr>
            <w:tcW w:type="dxa" w:w="196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$699</w:t>
            </w:r>
          </w:p>
        </w:tc>
      </w:tr>
      <w:tr>
        <w:trPr>
          <w:cantSplit/>
          <w:tblHeader w:val="false"/>
        </w:trPr>
        <w:tc>
          <w:tcPr>
            <w:tcW w:type="dxa" w:w="97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w:t>
            </w:r>
          </w:p>
        </w:tc>
        <w:tc>
          <w:tcPr>
            <w:tcW w:type="dxa" w:w="266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Process, Energy &amp; Infrastructure Pack</w:t>
            </w:r>
          </w:p>
        </w:tc>
        <w:tc>
          <w:tcPr>
            <w:tcW w:type="dxa" w:w="115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Industry</w:t>
            </w:r>
          </w:p>
        </w:tc>
        <w:tc>
          <w:tcPr>
            <w:tcW w:type="dxa" w:w="298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ENG, PCH, INF</w:t>
            </w:r>
          </w:p>
        </w:tc>
        <w:tc>
          <w:tcPr>
            <w:tcW w:type="dxa" w:w="196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$1,299</w:t>
            </w:r>
          </w:p>
        </w:tc>
      </w:tr>
      <w:tr>
        <w:trPr>
          <w:cantSplit/>
          <w:tblHeader w:val="false"/>
        </w:trPr>
        <w:tc>
          <w:tcPr>
            <w:tcW w:type="dxa" w:w="97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DMS-AERO</w:t>
            </w:r>
          </w:p>
        </w:tc>
        <w:tc>
          <w:tcPr>
            <w:tcW w:type="dxa" w:w="266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Aerospace &amp; Defense Pack</w:t>
            </w:r>
          </w:p>
        </w:tc>
        <w:tc>
          <w:tcPr>
            <w:tcW w:type="dxa" w:w="1156"/>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Industry</w:t>
            </w:r>
          </w:p>
        </w:tc>
        <w:tc>
          <w:tcPr>
            <w:tcW w:type="dxa" w:w="298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AER</w:t>
            </w:r>
          </w:p>
        </w:tc>
        <w:tc>
          <w:tcPr>
            <w:tcW w:type="dxa" w:w="196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$1,999</w:t>
            </w:r>
          </w:p>
        </w:tc>
      </w:tr>
      <w:tr>
        <w:trPr>
          <w:cantSplit/>
          <w:tblHeader w:val="false"/>
        </w:trPr>
        <w:tc>
          <w:tcPr>
            <w:tcW w:type="dxa" w:w="97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DMS-MARI</w:t>
            </w:r>
          </w:p>
        </w:tc>
        <w:tc>
          <w:tcPr>
            <w:tcW w:type="dxa" w:w="266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Maritime &amp; Shipbuilding Pack</w:t>
            </w:r>
          </w:p>
        </w:tc>
        <w:tc>
          <w:tcPr>
            <w:tcW w:type="dxa" w:w="115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Industry</w:t>
            </w:r>
          </w:p>
        </w:tc>
        <w:tc>
          <w:tcPr>
            <w:tcW w:type="dxa" w:w="298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SHB</w:t>
            </w:r>
          </w:p>
        </w:tc>
        <w:tc>
          <w:tcPr>
            <w:tcW w:type="dxa" w:w="196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$999</w:t>
            </w:r>
          </w:p>
        </w:tc>
      </w:tr>
      <w:tr>
        <w:trPr>
          <w:cantSplit/>
          <w:tblHeader w:val="false"/>
        </w:trPr>
        <w:tc>
          <w:tcPr>
            <w:tcW w:type="dxa" w:w="97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w:t>
            </w:r>
          </w:p>
        </w:tc>
        <w:tc>
          <w:tcPr>
            <w:tcW w:type="dxa" w:w="266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Certification &amp; Audit Accelerator</w:t>
            </w:r>
          </w:p>
        </w:tc>
        <w:tc>
          <w:tcPr>
            <w:tcW w:type="dxa" w:w="1156"/>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Capability</w:t>
            </w:r>
          </w:p>
        </w:tc>
        <w:tc>
          <w:tcPr>
            <w:tcW w:type="dxa" w:w="298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 segments</w:t>
            </w:r>
          </w:p>
        </w:tc>
        <w:tc>
          <w:tcPr>
            <w:tcW w:type="dxa" w:w="196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$399</w:t>
            </w:r>
          </w:p>
        </w:tc>
      </w:tr>
      <w:tr>
        <w:trPr>
          <w:cantSplit/>
          <w:tblHeader w:val="false"/>
        </w:trPr>
        <w:tc>
          <w:tcPr>
            <w:tcW w:type="dxa" w:w="97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DMS-AI</w:t>
            </w:r>
          </w:p>
        </w:tc>
        <w:tc>
          <w:tcPr>
            <w:tcW w:type="dxa" w:w="266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AI Intelligence &amp; Assurance</w:t>
            </w:r>
          </w:p>
        </w:tc>
        <w:tc>
          <w:tcPr>
            <w:tcW w:type="dxa" w:w="115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Capability</w:t>
            </w:r>
          </w:p>
        </w:tc>
        <w:tc>
          <w:tcPr>
            <w:tcW w:type="dxa" w:w="298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 segments</w:t>
            </w:r>
          </w:p>
        </w:tc>
        <w:tc>
          <w:tcPr>
            <w:tcW w:type="dxa" w:w="196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$799</w:t>
            </w:r>
          </w:p>
        </w:tc>
      </w:tr>
      <w:tr>
        <w:trPr>
          <w:cantSplit/>
          <w:tblHeader w:val="false"/>
        </w:trPr>
        <w:tc>
          <w:tcPr>
            <w:tcW w:type="dxa" w:w="97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DMS-ESG</w:t>
            </w:r>
          </w:p>
        </w:tc>
        <w:tc>
          <w:tcPr>
            <w:tcW w:type="dxa" w:w="266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ESG &amp; Sustainability Pack</w:t>
            </w:r>
          </w:p>
        </w:tc>
        <w:tc>
          <w:tcPr>
            <w:tcW w:type="dxa" w:w="1156"/>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Capability</w:t>
            </w:r>
          </w:p>
        </w:tc>
        <w:tc>
          <w:tcPr>
            <w:tcW w:type="dxa" w:w="298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 segments</w:t>
            </w:r>
          </w:p>
        </w:tc>
        <w:tc>
          <w:tcPr>
            <w:tcW w:type="dxa" w:w="196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$599</w:t>
            </w:r>
          </w:p>
        </w:tc>
      </w:tr>
    </w:tbl>
    <w:p>
      <w:pPr>
        <w:spacing w:after="160" w:before="0"/>
      </w:pPr>
    </w:p>
    <w:p>
      <w:pPr>
        <w:pStyle w:val="Heading2"/>
      </w:pPr>
      <w:bookmarkStart w:id="9007" w:name="_Toc100007"/>
      <w:r>
        <w:t xml:space="preserve">2.2 Base Packs</w:t>
      </w:r>
      <w:bookmarkEnd w:id="9007"/>
    </w:p>
    <w:p>
      <w:pPr>
        <w:pStyle w:val="Heading3"/>
      </w:pPr>
      <w:bookmarkStart w:id="9008" w:name="_Toc100008"/>
      <w:r>
        <w:t xml:space="preserve">Pack DMS-SME — SME Essentials</w:t>
      </w:r>
      <w:bookmarkEnd w:id="9008"/>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DMS-SME</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SME Essentials</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V-30 Small &amp; Medium Enterprises (SME)</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Cost-conscious, time-poor, multi-role owners; want quick wins.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No dedicated QHSE staff; complex enterprise tools; informal processes.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Achieve ISO 9001/14001/45001 certification quickly at low cost; digitize tribal knowledge; grow without breaking compliance.</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SME Onboarding, Simplified Process Modeling, Document Templates, Multi-Role User Management, Essential KPI Dashboard, Owner Dashboard, Simplified Risk Register, Simplified NCP</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UMS016, UMS022, UMS031, UMS002, UMS023, UMS006, UMS032, UMS024, UMS001, UMS047, UMS021, UMS011–UMS015, UMS027–UMS029, UMS010, UMS034, UMS036, UMS039, UMS040, GRC001–GRC003, GRC005, GRC008, GRC010, DMS082–DMS087, DMS089, DMS090, DMS092, DMS095, DMS096, DMS097, DMS099</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$40/month</w:t>
            </w:r>
            <w:r>
              <w:rPr>
                <w:rFonts w:ascii="Times New Roman" w:cs="Times New Roman" w:eastAsia="Times New Roman" w:hAnsi="Times New Roman"/>
                <w:b w:val="false"/>
                <w:bCs w:val="false"/>
                <w:sz w:val="19"/>
                <w:szCs w:val="19"/>
              </w:rPr>
              <w:t xml:space="preserve"> (SaaS Multi-Tenant, up to 25 users)</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DEP-1, DEP-2, DEP-3</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User Range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1–25</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Storage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25 GB</w:t>
            </w:r>
          </w:p>
        </w:tc>
      </w:tr>
    </w:tbl>
    <w:p>
      <w:pPr>
        <w:spacing w:after="160" w:before="0"/>
      </w:pPr>
    </w:p>
    <w:p>
      <w:pPr>
        <w:pStyle w:val="Heading3"/>
      </w:pPr>
      <w:bookmarkStart w:id="9009" w:name="_Toc100009"/>
      <w:r>
        <w:t xml:space="preserve">Pack DMS-PRO — Professional Multi-Standard IMS</w:t>
      </w:r>
      <w:bookmarkEnd w:id="9009"/>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DMS-PRO</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Professional Multi-Standard IMS</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MFG, ELE, AEC, CON, RET, DST, LOG, RFA, TEL, SSE, PED, PUED</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Process-driven, multi-site, ISO-certified; require scalability and multi-standard support.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Fragmented QHSE data; disconnected standards; manual audits; high cost of certification maintenance.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Unified IMS across standards; real-time visibility; automated audit readiness; predictable certification cycles.</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Context, Policy, Objectives, Process Architecture, Risk, Compliance, Document Control, Records, Performance Management, Governance, Internal Audit, CAPA, Supplier Quality, Metrology</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Tier 1 (40) + Tier 2 subset + Tier 3 (DMS001, DMS002, DMS003, DMS004, DMS008, DMS014, DMS015, DMS017, DMS020) + Tier 4 (all 7) + Tier 5 (DMS029, DMS034, DMS035, DMS038, DMS039, DMS041, DMS043, DMS044)</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$399/month</w:t>
            </w:r>
            <w:r>
              <w:rPr>
                <w:rFonts w:ascii="Times New Roman" w:cs="Times New Roman" w:eastAsia="Times New Roman" w:hAnsi="Times New Roman"/>
                <w:b w:val="false"/>
                <w:bCs w:val="false"/>
                <w:sz w:val="19"/>
                <w:szCs w:val="19"/>
              </w:rPr>
              <w:t xml:space="preserve"> (SaaS Multi-Tenant, up to 100 users)</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7</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User Range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26–100</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Storage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250 GB</w:t>
            </w:r>
          </w:p>
        </w:tc>
      </w:tr>
    </w:tbl>
    <w:p>
      <w:pPr>
        <w:spacing w:after="160" w:before="0"/>
      </w:pPr>
    </w:p>
    <w:p>
      <w:pPr>
        <w:pStyle w:val="Heading3"/>
      </w:pPr>
      <w:bookmarkStart w:id="9010" w:name="_Toc100010"/>
      <w:r>
        <w:t xml:space="preserve">Pack DMS-ENT — Enterprise Regulated IMS</w:t>
      </w:r>
      <w:bookmarkEnd w:id="9010"/>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DMS-ENT</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Enterprise Regulated IMS</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AER, HLS, PHM, PHA, ENG, PCH, SHB, SEM, HCA</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Highly regulated, multi-national, complex supply chains; require deep compliance and governance.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Multiple certifications; regulatory scrutiny; audit overload; disconnected enterprise systems (ERP, MES, LIMS).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Single source of truth for compliance; predictive risk management; regulatory foresight; full traceability.</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DMS-PRO modules + Advanced Governance + Multi-Tenant + Tenant Sovereignty + Formula Governance + Continuous Controls + Enterprise Simulation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Tier 1 (40) + All Tier 2 (21) + All Tier 3 (20) + All Tier 4 (7) + All Tier 5 (20) + Tier 6 (DMS048–DMS058, DMS061–DMS064, DMS069–DMS074, DMS077–DMS081)</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$1,999/month</w:t>
            </w:r>
            <w:r>
              <w:rPr>
                <w:rFonts w:ascii="Times New Roman" w:cs="Times New Roman" w:eastAsia="Times New Roman" w:hAnsi="Times New Roman"/>
                <w:b w:val="false"/>
                <w:bCs w:val="false"/>
                <w:sz w:val="19"/>
                <w:szCs w:val="19"/>
              </w:rPr>
              <w:t xml:space="preserve"> (SaaS Multi-Tenant, up to 500 users)</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7</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User Range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101–500</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Storage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 TB</w:t>
            </w:r>
          </w:p>
        </w:tc>
      </w:tr>
    </w:tbl>
    <w:p>
      <w:pPr>
        <w:spacing w:after="160" w:before="0"/>
      </w:pPr>
    </w:p>
    <w:p>
      <w:pPr>
        <w:pStyle w:val="Heading2"/>
      </w:pPr>
      <w:bookmarkStart w:id="9011" w:name="_Toc100011"/>
      <w:r>
        <w:t xml:space="preserve">2.3 Industry Packs</w:t>
      </w:r>
      <w:bookmarkEnd w:id="9011"/>
    </w:p>
    <w:p>
      <w:pPr>
        <w:pStyle w:val="Heading3"/>
      </w:pPr>
      <w:bookmarkStart w:id="9012" w:name="_Toc100012"/>
      <w:r>
        <w:t xml:space="preserve">Pack DMS-AUTO — Automotive, Industrial &amp; Manufacturing Pack</w:t>
      </w:r>
      <w:bookmarkEnd w:id="9012"/>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DMS-AUTO</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Automotive, Industrial &amp; Manufacturing Pack</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AUT, IND, SEM, FAB, MFG, ELE</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Safety-critical, high-volume, IATF/ISO 26262-driven; obsessed with PPM and OTD.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Functional safety complexity; ASPICE compliance; supplier PPM escalation; conflict minerals.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Zero-defect manufacturing; ASIL/SIL compliance; multi-tier supplier visibility; certification without disruption.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Functional Safety, ASIL/SIL Management, TARA, Welding Quality, Conflict Minerals, Road Safety, Eco-design, APQP/PPAP, SPC</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DMS048, DMS049, DMS050, DMS051, DMS062, DMS063, DMS067, DMS070, DMS078 + applicable Tier 3–5</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$699/month</w:t>
            </w:r>
            <w:r>
              <w:rPr>
                <w:rFonts w:ascii="Times New Roman" w:cs="Times New Roman" w:eastAsia="Times New Roman" w:hAnsi="Times New Roman"/>
                <w:b w:val="false"/>
                <w:bCs w:val="false"/>
                <w:sz w:val="19"/>
                <w:szCs w:val="19"/>
              </w:rPr>
              <w:t xml:space="preserve"> (SaaS Multi-Tenant add-on)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7</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Add-On To</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w:t>
            </w:r>
          </w:p>
        </w:tc>
      </w:tr>
    </w:tbl>
    <w:p>
      <w:pPr>
        <w:spacing w:after="160" w:before="0"/>
      </w:pPr>
    </w:p>
    <w:p>
      <w:pPr>
        <w:pStyle w:val="Heading3"/>
      </w:pPr>
      <w:bookmarkStart w:id="9013" w:name="_Toc100013"/>
      <w:r>
        <w:t xml:space="preserve">Pack DMS-LSCI — Life Sciences &amp; Healthcare Pack</w:t>
      </w:r>
      <w:bookmarkEnd w:id="9013"/>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DMS-LSCI</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Life Sciences &amp; Healthcare Pack</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HLS, PHM, PHA, HCA</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FDA/MDR/JCI-driven; zero tolerance for patient risk; audit-intensive.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Data integrity (ALCOA+); CSV compliance; cleanroom excursions; adverse events; OOS investigations.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Always audit-ready; zero 483s; MDR/IVDR compliance; patient safety excellence.</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Cleanroom, Medical Lab, Testing Lab, Clinical Data, Data Integrity, CSV, Adverse Events, Batch Release, Serialization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DMS048, DMS061, DMS063, DMS064, DMS075, DMS076, DMS078, DMS079 + applicable Tier 3–5</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$1,299/month</w:t>
            </w:r>
            <w:r>
              <w:rPr>
                <w:rFonts w:ascii="Times New Roman" w:cs="Times New Roman" w:eastAsia="Times New Roman" w:hAnsi="Times New Roman"/>
                <w:b w:val="false"/>
                <w:bCs w:val="false"/>
                <w:sz w:val="19"/>
                <w:szCs w:val="19"/>
              </w:rPr>
              <w:t xml:space="preserve"> (SaaS Multi-Tenant add-on)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7</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Add-On To</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w:t>
            </w:r>
          </w:p>
        </w:tc>
      </w:tr>
    </w:tbl>
    <w:p>
      <w:pPr>
        <w:spacing w:after="160" w:before="0"/>
      </w:pPr>
    </w:p>
    <w:p>
      <w:pPr>
        <w:pStyle w:val="Heading3"/>
      </w:pPr>
      <w:bookmarkStart w:id="9014" w:name="_Toc100014"/>
      <w:r>
        <w:t xml:space="preserve">Pack DMS-FOOD — Food Safety &amp; Consumer Goods Pack</w:t>
      </w:r>
      <w:bookmarkEnd w:id="9014"/>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DMS-FOOD</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Food Safety &amp; Consumer Goods Pack</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FNB, CPG, PCI, PPG</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HACCP/FSSC/BRCGS-driven; recall-sensitive; supply chain intensive.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Allergen cross-contamination; foreign body; supplier verification; cold chain; FSMA/FSVP compliance.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Zero recalls; full traceability; GFSI certification; consumer trust.</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HACCP, Allergen Management, Traceability, Recall, Foreign Body, Water Footprint, LCA, Cold Chain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DMS061, DMS063, DMS064, DMS071, DMS075, DMS079, DMS080 + applicable Tier 3–5</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$699/month</w:t>
            </w:r>
            <w:r>
              <w:rPr>
                <w:rFonts w:ascii="Times New Roman" w:cs="Times New Roman" w:eastAsia="Times New Roman" w:hAnsi="Times New Roman"/>
                <w:b w:val="false"/>
                <w:bCs w:val="false"/>
                <w:sz w:val="19"/>
                <w:szCs w:val="19"/>
              </w:rPr>
              <w:t xml:space="preserve"> (SaaS Multi-Tenant add-on)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7</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Add-On To</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w:t>
            </w:r>
          </w:p>
        </w:tc>
      </w:tr>
    </w:tbl>
    <w:p>
      <w:pPr>
        <w:spacing w:after="160" w:before="0"/>
      </w:pPr>
    </w:p>
    <w:p>
      <w:pPr>
        <w:pStyle w:val="Heading3"/>
      </w:pPr>
      <w:bookmarkStart w:id="9015" w:name="_Toc100015"/>
      <w:r>
        <w:t xml:space="preserve">Pack DMS-PROC — Process, Energy &amp; Infrastructure Pack</w:t>
      </w:r>
      <w:bookmarkEnd w:id="9015"/>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DMS-PROC</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Process, Energy &amp; Infrastructure Pack</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ENG, PCH, INF</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OSHA PSM/NERC CIP-driven; asset-intensive; safety-critical.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PSM compliance; mechanical integrity; NERC CIP audits; water efficiency; exposure monitoring.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Zero process safety incidents; regulatory compliance; asset reliability; ESG performance.</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PHA, PSSR, MOC, Mechanical Integrity, Exposure Monitoring, Medical Surveillance, API 510/570, NERC CIP, Water Efficiency, Asset Reliability</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DMS052, DMS053, DMS054, DMS055, DMS056, DMS057, DMS058, DMS061, DMS071, DMS073, DMS074, DMS080 + applicable Tier 3–5</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$1,299/month</w:t>
            </w:r>
            <w:r>
              <w:rPr>
                <w:rFonts w:ascii="Times New Roman" w:cs="Times New Roman" w:eastAsia="Times New Roman" w:hAnsi="Times New Roman"/>
                <w:b w:val="false"/>
                <w:bCs w:val="false"/>
                <w:sz w:val="19"/>
                <w:szCs w:val="19"/>
              </w:rPr>
              <w:t xml:space="preserve"> (SaaS Multi-Tenant add-on)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7</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Add-On To</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w:t>
            </w:r>
          </w:p>
        </w:tc>
      </w:tr>
    </w:tbl>
    <w:p>
      <w:pPr>
        <w:spacing w:after="160" w:before="0"/>
      </w:pPr>
    </w:p>
    <w:p>
      <w:pPr>
        <w:pStyle w:val="Heading3"/>
      </w:pPr>
      <w:bookmarkStart w:id="9016" w:name="_Toc100016"/>
      <w:r>
        <w:t xml:space="preserve">Pack DMS-AERO — Aerospace &amp; Defense Pack</w:t>
      </w:r>
      <w:bookmarkEnd w:id="9016"/>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DMS-AERO</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Aerospace &amp; Defense Pack</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AER</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AS9100D/NADCAP-driven; ITAR-sensitive; national security.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ITAR/EAR compliance; NADCAP audits; counterfeit parts; export control; CMMC.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Zero non-conformances; ITAR compliance; supply chain integrity; certification dominance.</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AS9100D, NADCAP, ITAR/EAR, AS9120B, Functional Safety, Blockchain Audit Trail, Crisis Communication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DMS048, DMS018 (Blockchain), DMS047 (Crisis) + applicable Tier 3–5</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$1,999/month</w:t>
            </w:r>
            <w:r>
              <w:rPr>
                <w:rFonts w:ascii="Times New Roman" w:cs="Times New Roman" w:eastAsia="Times New Roman" w:hAnsi="Times New Roman"/>
                <w:b w:val="false"/>
                <w:bCs w:val="false"/>
                <w:sz w:val="19"/>
                <w:szCs w:val="19"/>
              </w:rPr>
              <w:t xml:space="preserve"> (SaaS Multi-Tenant add-on)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7 (Air-Gapped critical)</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Add-On To</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r>
    </w:tbl>
    <w:p>
      <w:pPr>
        <w:spacing w:after="160" w:before="0"/>
      </w:pPr>
    </w:p>
    <w:p>
      <w:pPr>
        <w:pStyle w:val="Heading3"/>
      </w:pPr>
      <w:bookmarkStart w:id="9017" w:name="_Toc100017"/>
      <w:r>
        <w:t xml:space="preserve">Pack DMS-MARI — Maritime &amp; Shipbuilding Pack</w:t>
      </w:r>
      <w:bookmarkEnd w:id="9017"/>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DMS-MARI</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Maritime &amp; Shipbuilding Pack</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SHB</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SOLAS/MARPOL/IACS-driven; classification-society dependent.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IMO compliance; welding quality; marine pollution; classification surveys.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Zero detentions; IACS classification; MARPOL compliance; on-time delivery.</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Maritime Safety, Marine Pollution, Welding Quality, Classification Surveys, Port State Control</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DMS059, DMS060, DMS062 + applicable Tier 3–5</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$999/month</w:t>
            </w:r>
            <w:r>
              <w:rPr>
                <w:rFonts w:ascii="Times New Roman" w:cs="Times New Roman" w:eastAsia="Times New Roman" w:hAnsi="Times New Roman"/>
                <w:b w:val="false"/>
                <w:bCs w:val="false"/>
                <w:sz w:val="19"/>
                <w:szCs w:val="19"/>
              </w:rPr>
              <w:t xml:space="preserve"> (SaaS Multi-Tenant add-on)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7</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Add-On To</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w:t>
            </w:r>
          </w:p>
        </w:tc>
      </w:tr>
    </w:tbl>
    <w:p>
      <w:pPr>
        <w:spacing w:after="160" w:before="0"/>
      </w:pPr>
    </w:p>
    <w:p>
      <w:pPr>
        <w:pStyle w:val="Heading2"/>
      </w:pPr>
      <w:bookmarkStart w:id="9018" w:name="_Toc100018"/>
      <w:r>
        <w:t xml:space="preserve">2.4 Capability Packs</w:t>
      </w:r>
      <w:bookmarkEnd w:id="9018"/>
    </w:p>
    <w:p>
      <w:pPr>
        <w:pStyle w:val="Heading3"/>
      </w:pPr>
      <w:bookmarkStart w:id="9019" w:name="_Toc100019"/>
      <w:r>
        <w:t xml:space="preserve">Pack DMS-CERT — Certification &amp; Audit Accelerator</w:t>
      </w:r>
      <w:bookmarkEnd w:id="9019"/>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DMS-CERT</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Certification &amp; Audit Accelerator</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segments seeking certification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First-time certification or multi-standard expansion; time-sensitive.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Costly consultants; long certification cycles; audit surprises; finding gaps late.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Faster certification; lower consulting cost; predictable audits; audit-ready at all times.</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Mock Audit, Certification Coordination, Multi-Standard Portfolio, Gap Diagnosis, Readiness Assessment</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UMS033, UMS037, UMS038, DMS035, DMS044, DMS090, DMS099</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$399/month</w:t>
            </w:r>
            <w:r>
              <w:rPr>
                <w:rFonts w:ascii="Times New Roman" w:cs="Times New Roman" w:eastAsia="Times New Roman" w:hAnsi="Times New Roman"/>
                <w:b w:val="false"/>
                <w:bCs w:val="false"/>
                <w:sz w:val="19"/>
                <w:szCs w:val="19"/>
              </w:rPr>
              <w:t xml:space="preserve"> (SaaS Multi-Tenant add-on)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 7</w:t>
            </w:r>
          </w:p>
        </w:tc>
      </w:tr>
    </w:tbl>
    <w:p>
      <w:pPr>
        <w:spacing w:after="160" w:before="0"/>
      </w:pPr>
    </w:p>
    <w:p>
      <w:pPr>
        <w:pStyle w:val="Heading3"/>
      </w:pPr>
      <w:bookmarkStart w:id="9020" w:name="_Toc100020"/>
      <w:r>
        <w:t xml:space="preserve">Pack DMS-AI — AI Intelligence &amp; Assurance</w:t>
      </w:r>
      <w:bookmarkEnd w:id="9020"/>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DMS-AI</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AI Intelligence &amp; Assurance</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segments wanting predictive capabilities</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Data-driven, innovation-focused; early adopters of AI.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Reactive compliance; missed early warnings; manual RCA; slow CAPA.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Predictive risk; automated RCA; AI-assisted CAPA; foresight over hindsight.</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AI Predictive Risk, Predictive Compliance, Automated CAPA, NCP Knowledge Base (RAG), AI Agent Orchestration, AI Explainability, Automated Regulatory Scanning</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DMS001, DMS002, DMS003, DMS004, DMS005, DMS014, DMS015, DMS017, DMS019, DMS020, DMS021, DMS022, DMS023, DMS026, DMS027, DMS031, DMS038, DMS045</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$799/month</w:t>
            </w:r>
            <w:r>
              <w:rPr>
                <w:rFonts w:ascii="Times New Roman" w:cs="Times New Roman" w:eastAsia="Times New Roman" w:hAnsi="Times New Roman"/>
                <w:b w:val="false"/>
                <w:bCs w:val="false"/>
                <w:sz w:val="19"/>
                <w:szCs w:val="19"/>
              </w:rPr>
              <w:t xml:space="preserve"> (SaaS Multi-Tenant add-on)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DEP-1 to DEP-6</w:t>
            </w:r>
          </w:p>
        </w:tc>
      </w:tr>
    </w:tbl>
    <w:p>
      <w:pPr>
        <w:spacing w:after="160" w:before="0"/>
      </w:pPr>
    </w:p>
    <w:p>
      <w:pPr>
        <w:pStyle w:val="Heading3"/>
      </w:pPr>
      <w:bookmarkStart w:id="9021" w:name="_Toc100021"/>
      <w:r>
        <w:t xml:space="preserve">Pack DMS-ESG — ESG &amp; Sustainability Pack</w:t>
      </w:r>
      <w:bookmarkEnd w:id="902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7071"/>
      </w:tblGrid>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ID</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DMS-ESG</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Pack Name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ESG &amp; Sustainability Pack</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Target Segment</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 segments with ESG reporting obligations</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Investor-driven, customer-driven ESG; CSRD/TCFD reporting; sustainability goals.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Scope 3 data; carbon accounting; ESG reporting frameworks; stakeholder pressure.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ESG compliance; net-zero trajectory; investor confidence; brand differentiation.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Modules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ESG Management, Carbon Footprint, Scope 3, LCA, Water Footprint, Human Rights, Conflict Minerals, Modern Slavery, Eco-design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Related Macro Processes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DMS006, DMS007, DMS045, DMS066, DMS067, DMS068, DMS078, DMS079, DMS080, DMS081</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Suggested Price</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$599/month</w:t>
            </w:r>
            <w:r>
              <w:rPr>
                <w:rFonts w:ascii="Times New Roman" w:cs="Times New Roman" w:eastAsia="Times New Roman" w:hAnsi="Times New Roman"/>
                <w:b w:val="false"/>
                <w:bCs w:val="false"/>
                <w:sz w:val="19"/>
                <w:szCs w:val="19"/>
              </w:rPr>
              <w:t xml:space="preserve"> (SaaS Multi-Tenant add-on)</w:t>
            </w:r>
          </w:p>
        </w:tc>
      </w:tr>
      <w:tr>
        <w:trPr>
          <w:cantSplit/>
          <w:tblHeader w:val="false"/>
        </w:trPr>
        <w:tc>
          <w:tcPr>
            <w:tcW w:type="dxa" w:w="267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Deployment Modes</w:t>
            </w:r>
          </w:p>
        </w:tc>
        <w:tc>
          <w:tcPr>
            <w:tcW w:type="dxa" w:w="70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 7</w:t>
            </w:r>
          </w:p>
        </w:tc>
      </w:tr>
    </w:tbl>
    <w:p>
      <w:pPr>
        <w:spacing w:after="160" w:before="0"/>
      </w:pPr>
    </w:p>
    <w:p>
      <w:pPr>
        <w:pStyle w:val="Heading2"/>
      </w:pPr>
      <w:bookmarkStart w:id="9022" w:name="_Toc100022"/>
      <w:r>
        <w:t xml:space="preserve">2.5 Segment-to-Pack Mapping Matrix</w:t>
      </w:r>
      <w:bookmarkEnd w:id="9022"/>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1694"/>
        <w:gridCol w:w="2288"/>
        <w:gridCol w:w="4070"/>
      </w:tblGrid>
      <w:tr>
        <w:trPr>
          <w:cantSplit/>
          <w:tblHeader/>
        </w:trPr>
        <w:tc>
          <w:tcPr>
            <w:tcW w:type="dxa" w:w="1694"/>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Segment</w:t>
            </w:r>
          </w:p>
        </w:tc>
        <w:tc>
          <w:tcPr>
            <w:tcW w:type="dxa" w:w="1694"/>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Base Pack</w:t>
            </w:r>
          </w:p>
        </w:tc>
        <w:tc>
          <w:tcPr>
            <w:tcW w:type="dxa" w:w="2288"/>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Industry Pack</w:t>
            </w:r>
          </w:p>
        </w:tc>
        <w:tc>
          <w:tcPr>
            <w:tcW w:type="dxa" w:w="4070"/>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Recommended Add-Ons</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V-01 AUT</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 DMS-ESG</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V-02 AER</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DMS-AERO</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V-03 IND</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V-04 HLS</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DMS-LSCI</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V-05 ELE</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DMS-ESG</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V-06 AEC</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DMS-ESG</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V-07 FNB</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DMS-FOOD</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 DMS-ESG</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V-08 SSE</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DMS-ESG</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V-09 PHM</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DMS-LSCI</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 DMS-ESG</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V-10 RFA</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DMS-ESG</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V-11 CPG</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DMS-FOOD</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DMS-ESG</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V-12 ENG</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 DMS-ESG</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V-13 TEL</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V-14 PCH</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 DMS-ESG</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V-15 SHB</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DMS-MARI</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DMS-ESG</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V-16 CON</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DMS-ESG</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V-17 PCI</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DMS-FOOD</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DMS-ESG</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V-18 INF</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DMS-ESG</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V-19 FAB</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V-20 PPG</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DMS-FOOD</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DMS-ESG</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V-21 SEM</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V-22 RET</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V-23 DST</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V-24 LOG</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V-25 PHA</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DMS-LSCI</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 DMS-ESG</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V-26 MFG</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 DMS-ESG</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V-27 PED</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V-28 PUED</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w:t>
            </w:r>
          </w:p>
        </w:tc>
      </w:tr>
      <w:tr>
        <w:trPr>
          <w:cantSplit/>
          <w:tblHeader w:val="false"/>
        </w:trPr>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V-29 HCA</w:t>
            </w:r>
          </w:p>
        </w:tc>
        <w:tc>
          <w:tcPr>
            <w:tcW w:type="dxa" w:w="16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228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DMS-LSCI</w:t>
            </w:r>
          </w:p>
        </w:tc>
        <w:tc>
          <w:tcPr>
            <w:tcW w:type="dxa" w:w="407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w:t>
            </w:r>
          </w:p>
        </w:tc>
      </w:tr>
      <w:tr>
        <w:trPr>
          <w:cantSplit/>
          <w:tblHeader w:val="false"/>
        </w:trPr>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V-30 SME</w:t>
            </w:r>
          </w:p>
        </w:tc>
        <w:tc>
          <w:tcPr>
            <w:tcW w:type="dxa" w:w="16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DMS-SME</w:t>
            </w:r>
          </w:p>
        </w:tc>
        <w:tc>
          <w:tcPr>
            <w:tcW w:type="dxa" w:w="228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w:t>
            </w:r>
          </w:p>
        </w:tc>
        <w:tc>
          <w:tcPr>
            <w:tcW w:type="dxa" w:w="407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 DMS-AI</w:t>
            </w:r>
          </w:p>
        </w:tc>
      </w:tr>
    </w:tbl>
    <w:p>
      <w:pPr>
        <w:spacing w:after="160" w:before="0"/>
      </w:pPr>
    </w:p>
    <w:p>
      <w:pPr>
        <w:pStyle w:val="Heading1"/>
        <w:pageBreakBefore/>
      </w:pPr>
      <w:bookmarkStart w:id="9023" w:name="_Toc100023"/>
      <w:r>
        <w:t xml:space="preserve">Part 3 — Integrations Catalog (12 Integrations)</w:t>
      </w:r>
      <w:bookmarkEnd w:id="9023"/>
    </w:p>
    <w:p>
      <w:pPr>
        <w:pStyle w:val="Heading2"/>
      </w:pPr>
      <w:bookmarkStart w:id="9024" w:name="_Toc100024"/>
      <w:r>
        <w:t xml:space="preserve">3.1 Integration Overview Table</w:t>
      </w:r>
      <w:bookmarkEnd w:id="9024"/>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7"/>
        <w:gridCol w:w="4398"/>
        <w:gridCol w:w="1259"/>
        <w:gridCol w:w="3072"/>
      </w:tblGrid>
      <w:tr>
        <w:trPr>
          <w:cantSplit/>
          <w:tblHeader/>
        </w:trPr>
        <w:tc>
          <w:tcPr>
            <w:tcW w:type="dxa" w:w="1017"/>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ID</w:t>
            </w:r>
          </w:p>
        </w:tc>
        <w:tc>
          <w:tcPr>
            <w:tcW w:type="dxa" w:w="4398"/>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Name</w:t>
            </w:r>
          </w:p>
        </w:tc>
        <w:tc>
          <w:tcPr>
            <w:tcW w:type="dxa" w:w="1259"/>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Category</w:t>
            </w:r>
          </w:p>
        </w:tc>
        <w:tc>
          <w:tcPr>
            <w:tcW w:type="dxa" w:w="3072"/>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Related Packs</w:t>
            </w:r>
          </w:p>
        </w:tc>
      </w:tr>
      <w:tr>
        <w:trPr>
          <w:cantSplit/>
          <w:tblHeader w:val="false"/>
        </w:trPr>
        <w:tc>
          <w:tcPr>
            <w:tcW w:type="dxa" w:w="101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INT-01</w:t>
            </w:r>
          </w:p>
        </w:tc>
        <w:tc>
          <w:tcPr>
            <w:tcW w:type="dxa" w:w="439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Odoo ERP Integration</w:t>
            </w:r>
          </w:p>
        </w:tc>
        <w:tc>
          <w:tcPr>
            <w:tcW w:type="dxa" w:w="125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ERP</w:t>
            </w:r>
          </w:p>
        </w:tc>
        <w:tc>
          <w:tcPr>
            <w:tcW w:type="dxa" w:w="307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DMS-SME, DMS-PRO</w:t>
            </w:r>
          </w:p>
        </w:tc>
      </w:tr>
      <w:tr>
        <w:trPr>
          <w:cantSplit/>
          <w:tblHeader w:val="false"/>
        </w:trPr>
        <w:tc>
          <w:tcPr>
            <w:tcW w:type="dxa" w:w="101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INT-02</w:t>
            </w:r>
          </w:p>
        </w:tc>
        <w:tc>
          <w:tcPr>
            <w:tcW w:type="dxa" w:w="439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SAP ERP / S/4HANA Integration</w:t>
            </w:r>
          </w:p>
        </w:tc>
        <w:tc>
          <w:tcPr>
            <w:tcW w:type="dxa" w:w="125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ERP</w:t>
            </w:r>
          </w:p>
        </w:tc>
        <w:tc>
          <w:tcPr>
            <w:tcW w:type="dxa" w:w="307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DMS-PRO</w:t>
            </w:r>
          </w:p>
        </w:tc>
      </w:tr>
      <w:tr>
        <w:trPr>
          <w:cantSplit/>
          <w:tblHeader w:val="false"/>
        </w:trPr>
        <w:tc>
          <w:tcPr>
            <w:tcW w:type="dxa" w:w="101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INT-03</w:t>
            </w:r>
          </w:p>
        </w:tc>
        <w:tc>
          <w:tcPr>
            <w:tcW w:type="dxa" w:w="439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ZenHR HRMS Integration</w:t>
            </w:r>
          </w:p>
        </w:tc>
        <w:tc>
          <w:tcPr>
            <w:tcW w:type="dxa" w:w="125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HR</w:t>
            </w:r>
          </w:p>
        </w:tc>
        <w:tc>
          <w:tcPr>
            <w:tcW w:type="dxa" w:w="307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(MENA)</w:t>
            </w:r>
          </w:p>
        </w:tc>
      </w:tr>
      <w:tr>
        <w:trPr>
          <w:cantSplit/>
          <w:tblHeader w:val="false"/>
        </w:trPr>
        <w:tc>
          <w:tcPr>
            <w:tcW w:type="dxa" w:w="101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INT-04</w:t>
            </w:r>
          </w:p>
        </w:tc>
        <w:tc>
          <w:tcPr>
            <w:tcW w:type="dxa" w:w="439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Personio HR Integration</w:t>
            </w:r>
          </w:p>
        </w:tc>
        <w:tc>
          <w:tcPr>
            <w:tcW w:type="dxa" w:w="125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HR</w:t>
            </w:r>
          </w:p>
        </w:tc>
        <w:tc>
          <w:tcPr>
            <w:tcW w:type="dxa" w:w="307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(Europe)</w:t>
            </w:r>
          </w:p>
        </w:tc>
      </w:tr>
      <w:tr>
        <w:trPr>
          <w:cantSplit/>
          <w:tblHeader w:val="false"/>
        </w:trPr>
        <w:tc>
          <w:tcPr>
            <w:tcW w:type="dxa" w:w="101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INT-05</w:t>
            </w:r>
          </w:p>
        </w:tc>
        <w:tc>
          <w:tcPr>
            <w:tcW w:type="dxa" w:w="439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HubSpot CRM Integration</w:t>
            </w:r>
          </w:p>
        </w:tc>
        <w:tc>
          <w:tcPr>
            <w:tcW w:type="dxa" w:w="125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CRM</w:t>
            </w:r>
          </w:p>
        </w:tc>
        <w:tc>
          <w:tcPr>
            <w:tcW w:type="dxa" w:w="307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DMS-SME</w:t>
            </w:r>
          </w:p>
        </w:tc>
      </w:tr>
      <w:tr>
        <w:trPr>
          <w:cantSplit/>
          <w:tblHeader w:val="false"/>
        </w:trPr>
        <w:tc>
          <w:tcPr>
            <w:tcW w:type="dxa" w:w="101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INT-06</w:t>
            </w:r>
          </w:p>
        </w:tc>
        <w:tc>
          <w:tcPr>
            <w:tcW w:type="dxa" w:w="439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Siemens Opcenter MES Integration</w:t>
            </w:r>
          </w:p>
        </w:tc>
        <w:tc>
          <w:tcPr>
            <w:tcW w:type="dxa" w:w="125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MES</w:t>
            </w:r>
          </w:p>
        </w:tc>
        <w:tc>
          <w:tcPr>
            <w:tcW w:type="dxa" w:w="307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 DMS-PRO</w:t>
            </w:r>
          </w:p>
        </w:tc>
      </w:tr>
      <w:tr>
        <w:trPr>
          <w:cantSplit/>
          <w:tblHeader w:val="false"/>
        </w:trPr>
        <w:tc>
          <w:tcPr>
            <w:tcW w:type="dxa" w:w="101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INT-07</w:t>
            </w:r>
          </w:p>
        </w:tc>
        <w:tc>
          <w:tcPr>
            <w:tcW w:type="dxa" w:w="439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Thermo Fisher SampleManager LIMS</w:t>
            </w:r>
          </w:p>
        </w:tc>
        <w:tc>
          <w:tcPr>
            <w:tcW w:type="dxa" w:w="125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LIMS</w:t>
            </w:r>
          </w:p>
        </w:tc>
        <w:tc>
          <w:tcPr>
            <w:tcW w:type="dxa" w:w="307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DMS-LSCI, DMS-FOOD</w:t>
            </w:r>
          </w:p>
        </w:tc>
      </w:tr>
      <w:tr>
        <w:trPr>
          <w:cantSplit/>
          <w:tblHeader w:val="false"/>
        </w:trPr>
        <w:tc>
          <w:tcPr>
            <w:tcW w:type="dxa" w:w="101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INT-08</w:t>
            </w:r>
          </w:p>
        </w:tc>
        <w:tc>
          <w:tcPr>
            <w:tcW w:type="dxa" w:w="439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ManWinWin CMMS Integration</w:t>
            </w:r>
          </w:p>
        </w:tc>
        <w:tc>
          <w:tcPr>
            <w:tcW w:type="dxa" w:w="125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CMMS</w:t>
            </w:r>
          </w:p>
        </w:tc>
        <w:tc>
          <w:tcPr>
            <w:tcW w:type="dxa" w:w="307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 DMS-PRO</w:t>
            </w:r>
          </w:p>
        </w:tc>
      </w:tr>
      <w:tr>
        <w:trPr>
          <w:cantSplit/>
          <w:tblHeader w:val="false"/>
        </w:trPr>
        <w:tc>
          <w:tcPr>
            <w:tcW w:type="dxa" w:w="101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INT-09</w:t>
            </w:r>
          </w:p>
        </w:tc>
        <w:tc>
          <w:tcPr>
            <w:tcW w:type="dxa" w:w="439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EcoOnline EHS Software Integration</w:t>
            </w:r>
          </w:p>
        </w:tc>
        <w:tc>
          <w:tcPr>
            <w:tcW w:type="dxa" w:w="125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EHS</w:t>
            </w:r>
          </w:p>
        </w:tc>
        <w:tc>
          <w:tcPr>
            <w:tcW w:type="dxa" w:w="307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DMS-PRO</w:t>
            </w:r>
          </w:p>
        </w:tc>
      </w:tr>
      <w:tr>
        <w:trPr>
          <w:cantSplit/>
          <w:tblHeader w:val="false"/>
        </w:trPr>
        <w:tc>
          <w:tcPr>
            <w:tcW w:type="dxa" w:w="101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INT-10</w:t>
            </w:r>
          </w:p>
        </w:tc>
        <w:tc>
          <w:tcPr>
            <w:tcW w:type="dxa" w:w="439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AVEVA System Platform / SCADA</w:t>
            </w:r>
          </w:p>
        </w:tc>
        <w:tc>
          <w:tcPr>
            <w:tcW w:type="dxa" w:w="125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SCADA</w:t>
            </w:r>
          </w:p>
        </w:tc>
        <w:tc>
          <w:tcPr>
            <w:tcW w:type="dxa" w:w="307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 DMS-AUTO</w:t>
            </w:r>
          </w:p>
        </w:tc>
      </w:tr>
      <w:tr>
        <w:trPr>
          <w:cantSplit/>
          <w:tblHeader w:val="false"/>
        </w:trPr>
        <w:tc>
          <w:tcPr>
            <w:tcW w:type="dxa" w:w="101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INT-11</w:t>
            </w:r>
          </w:p>
        </w:tc>
        <w:tc>
          <w:tcPr>
            <w:tcW w:type="dxa" w:w="439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Cercli Payroll Integration</w:t>
            </w:r>
          </w:p>
        </w:tc>
        <w:tc>
          <w:tcPr>
            <w:tcW w:type="dxa" w:w="125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Payroll</w:t>
            </w:r>
          </w:p>
        </w:tc>
        <w:tc>
          <w:tcPr>
            <w:tcW w:type="dxa" w:w="307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(MENA)</w:t>
            </w:r>
          </w:p>
        </w:tc>
      </w:tr>
      <w:tr>
        <w:trPr>
          <w:cantSplit/>
          <w:tblHeader w:val="false"/>
        </w:trPr>
        <w:tc>
          <w:tcPr>
            <w:tcW w:type="dxa" w:w="101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INT-12</w:t>
            </w:r>
          </w:p>
        </w:tc>
        <w:tc>
          <w:tcPr>
            <w:tcW w:type="dxa" w:w="439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PaySpace Payroll Integration</w:t>
            </w:r>
          </w:p>
        </w:tc>
        <w:tc>
          <w:tcPr>
            <w:tcW w:type="dxa" w:w="125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Payroll</w:t>
            </w:r>
          </w:p>
        </w:tc>
        <w:tc>
          <w:tcPr>
            <w:tcW w:type="dxa" w:w="307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(Africa)</w:t>
            </w:r>
          </w:p>
        </w:tc>
      </w:tr>
    </w:tbl>
    <w:p>
      <w:pPr>
        <w:spacing w:after="160" w:before="0"/>
      </w:pPr>
    </w:p>
    <w:p>
      <w:pPr>
        <w:pStyle w:val="Heading2"/>
      </w:pPr>
      <w:bookmarkStart w:id="9025" w:name="_Toc100025"/>
      <w:r>
        <w:t xml:space="preserve">3.2 Detailed Integration Specifications</w:t>
      </w:r>
      <w:bookmarkEnd w:id="9025"/>
    </w:p>
    <w:p>
      <w:pPr>
        <w:pStyle w:val="Heading3"/>
      </w:pPr>
      <w:bookmarkStart w:id="9026" w:name="_Toc100026"/>
      <w:r>
        <w:t xml:space="preserve">INT-01 — Odoo ERP Integration</w:t>
      </w:r>
      <w:bookmarkEnd w:id="9026"/>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INT-01</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Odoo ERP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Sync master data (customers/suppliers/products); auto-create NCP from QC; pull Cost of Quality; push supplier audit findings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Morocco:</w:t>
            </w:r>
            <w:r>
              <w:rPr>
                <w:rFonts w:ascii="Times New Roman" w:cs="Times New Roman" w:eastAsia="Times New Roman" w:hAnsi="Times New Roman"/>
                <w:b w:val="false"/>
                <w:bCs w:val="false"/>
                <w:sz w:val="19"/>
                <w:szCs w:val="19"/>
              </w:rPr>
              <w:t xml:space="preserve"> Most widely deployed ERP among SMEs. </w:t>
            </w:r>
            <w:r>
              <w:rPr>
                <w:rFonts w:ascii="Times New Roman" w:cs="Times New Roman" w:eastAsia="Times New Roman" w:hAnsi="Times New Roman"/>
                <w:b/>
                <w:bCs/>
                <w:color w:val="3A3A3C"/>
                <w:sz w:val="19"/>
                <w:szCs w:val="19"/>
              </w:rPr>
              <w:t xml:space="preserve">Europe:</w:t>
            </w:r>
            <w:r>
              <w:rPr>
                <w:rFonts w:ascii="Times New Roman" w:cs="Times New Roman" w:eastAsia="Times New Roman" w:hAnsi="Times New Roman"/>
                <w:b w:val="false"/>
                <w:bCs w:val="false"/>
                <w:sz w:val="19"/>
                <w:szCs w:val="19"/>
              </w:rPr>
              <w:t xml:space="preserve"> Growing modular alternative. </w:t>
            </w:r>
            <w:r>
              <w:rPr>
                <w:rFonts w:ascii="Times New Roman" w:cs="Times New Roman" w:eastAsia="Times New Roman" w:hAnsi="Times New Roman"/>
                <w:b/>
                <w:bCs/>
                <w:color w:val="3A3A3C"/>
                <w:sz w:val="19"/>
                <w:szCs w:val="19"/>
              </w:rPr>
              <w:t xml:space="preserve">Africa:</w:t>
            </w:r>
            <w:r>
              <w:rPr>
                <w:rFonts w:ascii="Times New Roman" w:cs="Times New Roman" w:eastAsia="Times New Roman" w:hAnsi="Times New Roman"/>
                <w:b w:val="false"/>
                <w:bCs w:val="false"/>
                <w:sz w:val="19"/>
                <w:szCs w:val="19"/>
              </w:rPr>
              <w:t xml:space="preserve"> "Fastest-growing ERP." </w:t>
            </w:r>
            <w:r>
              <w:rPr>
                <w:rFonts w:ascii="Times New Roman" w:cs="Times New Roman" w:eastAsia="Times New Roman" w:hAnsi="Times New Roman"/>
                <w:b/>
                <w:bCs/>
                <w:color w:val="3A3A3C"/>
                <w:sz w:val="19"/>
                <w:szCs w:val="19"/>
              </w:rPr>
              <w:t xml:space="preserve">Middle East:</w:t>
            </w:r>
            <w:r>
              <w:rPr>
                <w:rFonts w:ascii="Times New Roman" w:cs="Times New Roman" w:eastAsia="Times New Roman" w:hAnsi="Times New Roman"/>
                <w:b w:val="false"/>
                <w:bCs w:val="false"/>
                <w:sz w:val="19"/>
                <w:szCs w:val="19"/>
              </w:rPr>
              <w:t xml:space="preserve"> Recognized player</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Cost-conscious, agile SMEs.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Data silos; manual reporting; unclear quality ROI.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Unified business view; automation; demonstrated quality ROI</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DMS-SME, DMS-PRO, DMS-AUTO, DMS-FOOD, DMS-CERT</w:t>
            </w:r>
          </w:p>
        </w:tc>
      </w:tr>
    </w:tbl>
    <w:p>
      <w:pPr>
        <w:spacing w:after="160" w:before="0"/>
      </w:pPr>
    </w:p>
    <w:p>
      <w:pPr>
        <w:pStyle w:val="Heading3"/>
      </w:pPr>
      <w:bookmarkStart w:id="9027" w:name="_Toc100027"/>
      <w:r>
        <w:t xml:space="preserve">INT-02 — SAP ERP / S/4HANA Integration</w:t>
      </w:r>
      <w:bookmarkEnd w:id="9027"/>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INT-02</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SAP ERP / S/4HANA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Bidirectional material master sync; push inspection results to SAP QM; pull production/batch data; align GRC risk</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Morocco:</w:t>
            </w:r>
            <w:r>
              <w:rPr>
                <w:rFonts w:ascii="Times New Roman" w:cs="Times New Roman" w:eastAsia="Times New Roman" w:hAnsi="Times New Roman"/>
                <w:b w:val="false"/>
                <w:bCs w:val="false"/>
                <w:sz w:val="19"/>
                <w:szCs w:val="19"/>
              </w:rPr>
              <w:t xml:space="preserve"> International groups. </w:t>
            </w:r>
            <w:r>
              <w:rPr>
                <w:rFonts w:ascii="Times New Roman" w:cs="Times New Roman" w:eastAsia="Times New Roman" w:hAnsi="Times New Roman"/>
                <w:b/>
                <w:bCs/>
                <w:color w:val="3A3A3C"/>
                <w:sz w:val="19"/>
                <w:szCs w:val="19"/>
              </w:rPr>
              <w:t xml:space="preserve">Europe:</w:t>
            </w:r>
            <w:r>
              <w:rPr>
                <w:rFonts w:ascii="Times New Roman" w:cs="Times New Roman" w:eastAsia="Times New Roman" w:hAnsi="Times New Roman"/>
                <w:b w:val="false"/>
                <w:bCs w:val="false"/>
                <w:sz w:val="19"/>
                <w:szCs w:val="19"/>
              </w:rPr>
              <w:t xml:space="preserve"> ~55% market share. </w:t>
            </w:r>
            <w:r>
              <w:rPr>
                <w:rFonts w:ascii="Times New Roman" w:cs="Times New Roman" w:eastAsia="Times New Roman" w:hAnsi="Times New Roman"/>
                <w:b/>
                <w:bCs/>
                <w:color w:val="3A3A3C"/>
                <w:sz w:val="19"/>
                <w:szCs w:val="19"/>
              </w:rPr>
              <w:t xml:space="preserve">Africa:</w:t>
            </w:r>
            <w:r>
              <w:rPr>
                <w:rFonts w:ascii="Times New Roman" w:cs="Times New Roman" w:eastAsia="Times New Roman" w:hAnsi="Times New Roman"/>
                <w:b w:val="false"/>
                <w:bCs w:val="false"/>
                <w:sz w:val="19"/>
                <w:szCs w:val="19"/>
              </w:rPr>
              <w:t xml:space="preserve"> Large enterprises. </w:t>
            </w:r>
            <w:r>
              <w:rPr>
                <w:rFonts w:ascii="Times New Roman" w:cs="Times New Roman" w:eastAsia="Times New Roman" w:hAnsi="Times New Roman"/>
                <w:b/>
                <w:bCs/>
                <w:color w:val="3A3A3C"/>
                <w:sz w:val="19"/>
                <w:szCs w:val="19"/>
              </w:rPr>
              <w:t xml:space="preserve">Middle East:</w:t>
            </w:r>
            <w:r>
              <w:rPr>
                <w:rFonts w:ascii="Times New Roman" w:cs="Times New Roman" w:eastAsia="Times New Roman" w:hAnsi="Times New Roman"/>
                <w:b w:val="false"/>
                <w:bCs w:val="false"/>
                <w:sz w:val="19"/>
                <w:szCs w:val="19"/>
              </w:rPr>
              <w:t xml:space="preserve"> GCC enterprises with ZATCA/WPS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Complex, regulated, global.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SAP-QHSE disconnect; data latency; compliance gaps.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Closed-loop quality; boardroom visibility; brand protection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DMS-PRO, DMS-AUTO, DMS-LSCI, DMS-PROC</w:t>
            </w:r>
          </w:p>
        </w:tc>
      </w:tr>
    </w:tbl>
    <w:p>
      <w:pPr>
        <w:spacing w:after="160" w:before="0"/>
      </w:pPr>
    </w:p>
    <w:p>
      <w:pPr>
        <w:pStyle w:val="Heading3"/>
      </w:pPr>
      <w:bookmarkStart w:id="9028" w:name="_Toc100028"/>
      <w:r>
        <w:t xml:space="preserve">INT-03 — ZenHR HRMS Integration (Middle East)</w:t>
      </w:r>
      <w:bookmarkEnd w:id="9028"/>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INT-03</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ZenHR HRMS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Sync employee records for RBAC; trigger onboarding/offboarding; pull absence data; push training/competency records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Middle East:</w:t>
            </w:r>
            <w:r>
              <w:rPr>
                <w:rFonts w:ascii="Times New Roman" w:cs="Times New Roman" w:eastAsia="Times New Roman" w:hAnsi="Times New Roman"/>
                <w:b w:val="false"/>
                <w:bCs w:val="false"/>
                <w:sz w:val="19"/>
                <w:szCs w:val="19"/>
              </w:rPr>
              <w:t xml:space="preserve"> Leading cloud HRMS for KSA and MENA; compliant with local labor laws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MENA-focused, regulation-aware.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HR-QHSE disconnect; manual compliance.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Unified workforce view; compliant operations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DMS-SME, DMS-LSCI, DMS-PROC</w:t>
            </w:r>
          </w:p>
        </w:tc>
      </w:tr>
    </w:tbl>
    <w:p>
      <w:pPr>
        <w:spacing w:after="160" w:before="0"/>
      </w:pPr>
    </w:p>
    <w:p>
      <w:pPr>
        <w:pStyle w:val="Heading3"/>
      </w:pPr>
      <w:bookmarkStart w:id="9029" w:name="_Toc100029"/>
      <w:r>
        <w:t xml:space="preserve">INT-04 — Personio HR Integration (Europe)</w:t>
      </w:r>
      <w:bookmarkEnd w:id="9029"/>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INT-04</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Personio HR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Sync employee data; automate personnel files for audits; manage health &amp; safety training; track absences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Europe:</w:t>
            </w:r>
            <w:r>
              <w:rPr>
                <w:rFonts w:ascii="Times New Roman" w:cs="Times New Roman" w:eastAsia="Times New Roman" w:hAnsi="Times New Roman"/>
                <w:b w:val="false"/>
                <w:bCs w:val="false"/>
                <w:sz w:val="19"/>
                <w:szCs w:val="19"/>
              </w:rPr>
              <w:t xml:space="preserve"> Leading HR platform for SMEs (200–1,000 employees)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Efficiency-focused European SMEs.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Fragmented HR/QHSE systems.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Single source of truth; compliance proof</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DMS-SME, DMS-CERT, DMS-AI</w:t>
            </w:r>
          </w:p>
        </w:tc>
      </w:tr>
    </w:tbl>
    <w:p>
      <w:pPr>
        <w:spacing w:after="160" w:before="0"/>
      </w:pPr>
    </w:p>
    <w:p>
      <w:pPr>
        <w:pStyle w:val="Heading3"/>
      </w:pPr>
      <w:bookmarkStart w:id="9030" w:name="_Toc100030"/>
      <w:r>
        <w:t xml:space="preserve">INT-05 — HubSpot CRM Integration</w:t>
      </w:r>
      <w:bookmarkEnd w:id="9030"/>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INT-05</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HubSpot CRM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Auto-create complaints from deals/tickets; link CSAT/NPS; trigger investigations; push resolution back</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Morocco:</w:t>
            </w:r>
            <w:r>
              <w:rPr>
                <w:rFonts w:ascii="Times New Roman" w:cs="Times New Roman" w:eastAsia="Times New Roman" w:hAnsi="Times New Roman"/>
                <w:b w:val="false"/>
                <w:bCs w:val="false"/>
                <w:sz w:val="19"/>
                <w:szCs w:val="19"/>
              </w:rPr>
              <w:t xml:space="preserve"> Popular with startups/SMEs. </w:t>
            </w:r>
            <w:r>
              <w:rPr>
                <w:rFonts w:ascii="Times New Roman" w:cs="Times New Roman" w:eastAsia="Times New Roman" w:hAnsi="Times New Roman"/>
                <w:b/>
                <w:bCs/>
                <w:color w:val="3A3A3C"/>
                <w:sz w:val="19"/>
                <w:szCs w:val="19"/>
              </w:rPr>
              <w:t xml:space="preserve">Europe:</w:t>
            </w:r>
            <w:r>
              <w:rPr>
                <w:rFonts w:ascii="Times New Roman" w:cs="Times New Roman" w:eastAsia="Times New Roman" w:hAnsi="Times New Roman"/>
                <w:b w:val="false"/>
                <w:bCs w:val="false"/>
                <w:sz w:val="19"/>
                <w:szCs w:val="19"/>
              </w:rPr>
              <w:t xml:space="preserve"> Primary CRM. </w:t>
            </w:r>
            <w:r>
              <w:rPr>
                <w:rFonts w:ascii="Times New Roman" w:cs="Times New Roman" w:eastAsia="Times New Roman" w:hAnsi="Times New Roman"/>
                <w:b/>
                <w:bCs/>
                <w:color w:val="3A3A3C"/>
                <w:sz w:val="19"/>
                <w:szCs w:val="19"/>
              </w:rPr>
              <w:t xml:space="preserve">Africa:</w:t>
            </w:r>
            <w:r>
              <w:rPr>
                <w:rFonts w:ascii="Times New Roman" w:cs="Times New Roman" w:eastAsia="Times New Roman" w:hAnsi="Times New Roman"/>
                <w:b w:val="false"/>
                <w:bCs w:val="false"/>
                <w:sz w:val="19"/>
                <w:szCs w:val="19"/>
              </w:rPr>
              <w:t xml:space="preserve"> Widely used. </w:t>
            </w:r>
            <w:r>
              <w:rPr>
                <w:rFonts w:ascii="Times New Roman" w:cs="Times New Roman" w:eastAsia="Times New Roman" w:hAnsi="Times New Roman"/>
                <w:b/>
                <w:bCs/>
                <w:color w:val="3A3A3C"/>
                <w:sz w:val="19"/>
                <w:szCs w:val="19"/>
              </w:rPr>
              <w:t xml:space="preserve">Middle East:</w:t>
            </w:r>
            <w:r>
              <w:rPr>
                <w:rFonts w:ascii="Times New Roman" w:cs="Times New Roman" w:eastAsia="Times New Roman" w:hAnsi="Times New Roman"/>
                <w:b w:val="false"/>
                <w:bCs w:val="false"/>
                <w:sz w:val="19"/>
                <w:szCs w:val="19"/>
              </w:rPr>
              <w:t xml:space="preserve"> Recognized CRM</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Customer-centric, marketing-led.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CX-QHSE silo; recurring complaints.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Truly customer-centric; loyalty</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DMS-SME, DMS-CERT, DMS-AI, DMS-ESG</w:t>
            </w:r>
          </w:p>
        </w:tc>
      </w:tr>
    </w:tbl>
    <w:p>
      <w:pPr>
        <w:spacing w:after="160" w:before="0"/>
      </w:pPr>
    </w:p>
    <w:p>
      <w:pPr>
        <w:pStyle w:val="Heading3"/>
      </w:pPr>
      <w:bookmarkStart w:id="9031" w:name="_Toc100031"/>
      <w:r>
        <w:t xml:space="preserve">INT-06 — Siemens Opcenter MES Integration</w:t>
      </w:r>
      <w:bookmarkEnd w:id="903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INT-06</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Siemens Opcenter MES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Capture production data; trigger NCP from shop floor; push batch/genealogy; digital work instructions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Europe:</w:t>
            </w:r>
            <w:r>
              <w:rPr>
                <w:rFonts w:ascii="Times New Roman" w:cs="Times New Roman" w:eastAsia="Times New Roman" w:hAnsi="Times New Roman"/>
                <w:b w:val="false"/>
                <w:bCs w:val="false"/>
                <w:sz w:val="19"/>
                <w:szCs w:val="19"/>
              </w:rPr>
              <w:t xml:space="preserve"> Leading MES. </w:t>
            </w:r>
            <w:r>
              <w:rPr>
                <w:rFonts w:ascii="Times New Roman" w:cs="Times New Roman" w:eastAsia="Times New Roman" w:hAnsi="Times New Roman"/>
                <w:b/>
                <w:bCs/>
                <w:color w:val="3A3A3C"/>
                <w:sz w:val="19"/>
                <w:szCs w:val="19"/>
              </w:rPr>
              <w:t xml:space="preserve">Africa:</w:t>
            </w:r>
            <w:r>
              <w:rPr>
                <w:rFonts w:ascii="Times New Roman" w:cs="Times New Roman" w:eastAsia="Times New Roman" w:hAnsi="Times New Roman"/>
                <w:b w:val="false"/>
                <w:bCs w:val="false"/>
                <w:sz w:val="19"/>
                <w:szCs w:val="19"/>
              </w:rPr>
              <w:t xml:space="preserve"> Dominant industrial automation. </w:t>
            </w:r>
            <w:r>
              <w:rPr>
                <w:rFonts w:ascii="Times New Roman" w:cs="Times New Roman" w:eastAsia="Times New Roman" w:hAnsi="Times New Roman"/>
                <w:b/>
                <w:bCs/>
                <w:color w:val="3A3A3C"/>
                <w:sz w:val="19"/>
                <w:szCs w:val="19"/>
              </w:rPr>
              <w:t xml:space="preserve">Middle East:</w:t>
            </w:r>
            <w:r>
              <w:rPr>
                <w:rFonts w:ascii="Times New Roman" w:cs="Times New Roman" w:eastAsia="Times New Roman" w:hAnsi="Times New Roman"/>
                <w:b w:val="false"/>
                <w:bCs w:val="false"/>
                <w:sz w:val="19"/>
                <w:szCs w:val="19"/>
              </w:rPr>
              <w:t xml:space="preserve"> Major GCC player</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Operations excellence, Industry 4.0.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Time-to-quality gap; large non-conforming batches.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Real-time QC; zero defects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 DMS-PRO, DMS-ENT, DMS-FOOD, DMS-LSCI</w:t>
            </w:r>
          </w:p>
        </w:tc>
      </w:tr>
    </w:tbl>
    <w:p>
      <w:pPr>
        <w:spacing w:after="160" w:before="0"/>
      </w:pPr>
    </w:p>
    <w:p>
      <w:pPr>
        <w:pStyle w:val="Heading3"/>
      </w:pPr>
      <w:bookmarkStart w:id="9032" w:name="_Toc100032"/>
      <w:r>
        <w:t xml:space="preserve">INT-07 — Thermo Fisher SampleManager LIMS Integration</w:t>
      </w:r>
      <w:bookmarkEnd w:id="9032"/>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INT-07</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Thermo Fisher SampleManager LIMS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Auto-create OOS/OOT investigations; sync sample results; manage calibration/competence; ensure data integrity</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Europe:</w:t>
            </w:r>
            <w:r>
              <w:rPr>
                <w:rFonts w:ascii="Times New Roman" w:cs="Times New Roman" w:eastAsia="Times New Roman" w:hAnsi="Times New Roman"/>
                <w:b w:val="false"/>
                <w:bCs w:val="false"/>
                <w:sz w:val="19"/>
                <w:szCs w:val="19"/>
              </w:rPr>
              <w:t xml:space="preserve"> Major LIMS player. </w:t>
            </w:r>
            <w:r>
              <w:rPr>
                <w:rFonts w:ascii="Times New Roman" w:cs="Times New Roman" w:eastAsia="Times New Roman" w:hAnsi="Times New Roman"/>
                <w:b/>
                <w:bCs/>
                <w:color w:val="3A3A3C"/>
                <w:sz w:val="19"/>
                <w:szCs w:val="19"/>
              </w:rPr>
              <w:t xml:space="preserve">Africa:</w:t>
            </w:r>
            <w:r>
              <w:rPr>
                <w:rFonts w:ascii="Times New Roman" w:cs="Times New Roman" w:eastAsia="Times New Roman" w:hAnsi="Times New Roman"/>
                <w:b w:val="false"/>
                <w:bCs w:val="false"/>
                <w:sz w:val="19"/>
                <w:szCs w:val="19"/>
              </w:rPr>
              <w:t xml:space="preserve"> Kenya Ministry of Health. </w:t>
            </w:r>
            <w:r>
              <w:rPr>
                <w:rFonts w:ascii="Times New Roman" w:cs="Times New Roman" w:eastAsia="Times New Roman" w:hAnsi="Times New Roman"/>
                <w:b/>
                <w:bCs/>
                <w:color w:val="3A3A3C"/>
                <w:sz w:val="19"/>
                <w:szCs w:val="19"/>
              </w:rPr>
              <w:t xml:space="preserve">Middle East:</w:t>
            </w:r>
            <w:r>
              <w:rPr>
                <w:rFonts w:ascii="Times New Roman" w:cs="Times New Roman" w:eastAsia="Times New Roman" w:hAnsi="Times New Roman"/>
                <w:b w:val="false"/>
                <w:bCs w:val="false"/>
                <w:sz w:val="19"/>
                <w:szCs w:val="19"/>
              </w:rPr>
              <w:t xml:space="preserve"> MAAZ in Saudi Arabia</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Scientific, regulated.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LIMS-QMS disconnect; manual entries.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Audit-ready at all times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DMS-LSCI, DMS-FOOD, DMS-PROC, DMS-ENT</w:t>
            </w:r>
          </w:p>
        </w:tc>
      </w:tr>
    </w:tbl>
    <w:p>
      <w:pPr>
        <w:spacing w:after="160" w:before="0"/>
      </w:pPr>
    </w:p>
    <w:p>
      <w:pPr>
        <w:pStyle w:val="Heading3"/>
      </w:pPr>
      <w:bookmarkStart w:id="9033" w:name="_Toc100033"/>
      <w:r>
        <w:t xml:space="preserve">INT-08 — ManWinWin CMMS Integration</w:t>
      </w:r>
      <w:bookmarkEnd w:id="9033"/>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INT-08</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ManWinWin CMMS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Trigger NCP/work order from equipment failure; sync calibration schedules; pull equipment history; manage spare parts quality</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Morocco/Africa:</w:t>
            </w:r>
            <w:r>
              <w:rPr>
                <w:rFonts w:ascii="Times New Roman" w:cs="Times New Roman" w:eastAsia="Times New Roman" w:hAnsi="Times New Roman"/>
                <w:b w:val="false"/>
                <w:bCs w:val="false"/>
                <w:sz w:val="19"/>
                <w:szCs w:val="19"/>
              </w:rPr>
              <w:t xml:space="preserve"> Strong in PALOP and Zambia. </w:t>
            </w:r>
            <w:r>
              <w:rPr>
                <w:rFonts w:ascii="Times New Roman" w:cs="Times New Roman" w:eastAsia="Times New Roman" w:hAnsi="Times New Roman"/>
                <w:b/>
                <w:bCs/>
                <w:color w:val="3A3A3C"/>
                <w:sz w:val="19"/>
                <w:szCs w:val="19"/>
              </w:rPr>
              <w:t xml:space="preserve">Europe:</w:t>
            </w:r>
            <w:r>
              <w:rPr>
                <w:rFonts w:ascii="Times New Roman" w:cs="Times New Roman" w:eastAsia="Times New Roman" w:hAnsi="Times New Roman"/>
                <w:b w:val="false"/>
                <w:bCs w:val="false"/>
                <w:sz w:val="19"/>
                <w:szCs w:val="19"/>
              </w:rPr>
              <w:t xml:space="preserve"> Established in Southern Europe</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Asset-intensive, pragmatic.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Unpredictable downtime; no link to QHSE.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Proactive maintenance; reliability excellence</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 DMS-PRO, DMS-ENT, DMS-AUTO</w:t>
            </w:r>
          </w:p>
        </w:tc>
      </w:tr>
    </w:tbl>
    <w:p>
      <w:pPr>
        <w:spacing w:after="160" w:before="0"/>
      </w:pPr>
    </w:p>
    <w:p>
      <w:pPr>
        <w:pStyle w:val="Heading3"/>
      </w:pPr>
      <w:bookmarkStart w:id="9034" w:name="_Toc100034"/>
      <w:r>
        <w:t xml:space="preserve">INT-09 — EcoOnline EHS Software Integration</w:t>
      </w:r>
      <w:bookmarkEnd w:id="9034"/>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INT-09</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EcoOnline EHS Software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Consolidate incident reporting; sync chemical inventories/SDS; manage audits; roll up ESG metrics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Europe:</w:t>
            </w:r>
            <w:r>
              <w:rPr>
                <w:rFonts w:ascii="Times New Roman" w:cs="Times New Roman" w:eastAsia="Times New Roman" w:hAnsi="Times New Roman"/>
                <w:b w:val="false"/>
                <w:bCs w:val="false"/>
                <w:sz w:val="19"/>
                <w:szCs w:val="19"/>
              </w:rPr>
              <w:t xml:space="preserve"> Leading EHSQ SaaS. </w:t>
            </w:r>
            <w:r>
              <w:rPr>
                <w:rFonts w:ascii="Times New Roman" w:cs="Times New Roman" w:eastAsia="Times New Roman" w:hAnsi="Times New Roman"/>
                <w:b/>
                <w:bCs/>
                <w:color w:val="3A3A3C"/>
                <w:sz w:val="19"/>
                <w:szCs w:val="19"/>
              </w:rPr>
              <w:t xml:space="preserve">Africa:</w:t>
            </w:r>
            <w:r>
              <w:rPr>
                <w:rFonts w:ascii="Times New Roman" w:cs="Times New Roman" w:eastAsia="Times New Roman" w:hAnsi="Times New Roman"/>
                <w:b w:val="false"/>
                <w:bCs w:val="false"/>
                <w:sz w:val="19"/>
                <w:szCs w:val="19"/>
              </w:rPr>
              <w:t xml:space="preserve"> Available for South Africa</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Multinational, integrated GRC.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Fragmented EHS/QHSE data.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Unified One Company, One System</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DMS-PRO, DMS-PROC, DMS-AERO</w:t>
            </w:r>
          </w:p>
        </w:tc>
      </w:tr>
    </w:tbl>
    <w:p>
      <w:pPr>
        <w:spacing w:after="160" w:before="0"/>
      </w:pPr>
    </w:p>
    <w:p>
      <w:pPr>
        <w:pStyle w:val="Heading3"/>
      </w:pPr>
      <w:bookmarkStart w:id="9035" w:name="_Toc100035"/>
      <w:r>
        <w:t xml:space="preserve">INT-10 — AVEVA System Platform / SCADA Integration</w:t>
      </w:r>
      <w:bookmarkEnd w:id="9035"/>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INT-10</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AVEVA System Platform / SCADA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Ingest real-time sensor data; auto-trigger NCP on threshold breach; use historical data for AI; unified dashboard</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Europe:</w:t>
            </w:r>
            <w:r>
              <w:rPr>
                <w:rFonts w:ascii="Times New Roman" w:cs="Times New Roman" w:eastAsia="Times New Roman" w:hAnsi="Times New Roman"/>
                <w:b w:val="false"/>
                <w:bCs w:val="false"/>
                <w:sz w:val="19"/>
                <w:szCs w:val="19"/>
              </w:rPr>
              <w:t xml:space="preserve"> Market leader. </w:t>
            </w:r>
            <w:r>
              <w:rPr>
                <w:rFonts w:ascii="Times New Roman" w:cs="Times New Roman" w:eastAsia="Times New Roman" w:hAnsi="Times New Roman"/>
                <w:b/>
                <w:bCs/>
                <w:color w:val="3A3A3C"/>
                <w:sz w:val="19"/>
                <w:szCs w:val="19"/>
              </w:rPr>
              <w:t xml:space="preserve">Africa:</w:t>
            </w:r>
            <w:r>
              <w:rPr>
                <w:rFonts w:ascii="Times New Roman" w:cs="Times New Roman" w:eastAsia="Times New Roman" w:hAnsi="Times New Roman"/>
                <w:b w:val="false"/>
                <w:bCs w:val="false"/>
                <w:sz w:val="19"/>
                <w:szCs w:val="19"/>
              </w:rPr>
              <w:t xml:space="preserve"> Expanding in mining/energy. </w:t>
            </w:r>
            <w:r>
              <w:rPr>
                <w:rFonts w:ascii="Times New Roman" w:cs="Times New Roman" w:eastAsia="Times New Roman" w:hAnsi="Times New Roman"/>
                <w:b/>
                <w:bCs/>
                <w:color w:val="3A3A3C"/>
                <w:sz w:val="19"/>
                <w:szCs w:val="19"/>
              </w:rPr>
              <w:t xml:space="preserve">Middle East:</w:t>
            </w:r>
            <w:r>
              <w:rPr>
                <w:rFonts w:ascii="Times New Roman" w:cs="Times New Roman" w:eastAsia="Times New Roman" w:hAnsi="Times New Roman"/>
                <w:b w:val="false"/>
                <w:bCs w:val="false"/>
                <w:sz w:val="19"/>
                <w:szCs w:val="19"/>
              </w:rPr>
              <w:t xml:space="preserve"> Major modernization projects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Asset-intensive, digital transformation.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OT/IT gap; missed warnings.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Unlock operational data; proactive prevention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 DMS-AUTO, DMS-ENT, DMS-AI</w:t>
            </w:r>
          </w:p>
        </w:tc>
      </w:tr>
    </w:tbl>
    <w:p>
      <w:pPr>
        <w:spacing w:after="160" w:before="0"/>
      </w:pPr>
    </w:p>
    <w:p>
      <w:pPr>
        <w:pStyle w:val="Heading3"/>
      </w:pPr>
      <w:bookmarkStart w:id="9036" w:name="_Toc100036"/>
      <w:r>
        <w:t xml:space="preserve">INT-11 — Cercli Payroll Integration (Middle East)</w:t>
      </w:r>
      <w:bookmarkEnd w:id="9036"/>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INT-11</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Cercli Payroll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Sync employee/payroll data; calculate wages for medical leave; provide payroll data for fatigue analysis; labor law compliance</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Middle East:</w:t>
            </w:r>
            <w:r>
              <w:rPr>
                <w:rFonts w:ascii="Times New Roman" w:cs="Times New Roman" w:eastAsia="Times New Roman" w:hAnsi="Times New Roman"/>
                <w:b w:val="false"/>
                <w:bCs w:val="false"/>
                <w:sz w:val="19"/>
                <w:szCs w:val="19"/>
              </w:rPr>
              <w:t xml:space="preserve"> Modern employee data platform for MENA; automates payroll, compliance, reimbursement</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GCC-focused, WPS-compliant.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Complex labor laws across GCC.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Compliant payroll linked to operations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DMS-SME</w:t>
            </w:r>
          </w:p>
        </w:tc>
      </w:tr>
    </w:tbl>
    <w:p>
      <w:pPr>
        <w:spacing w:after="160" w:before="0"/>
      </w:pPr>
    </w:p>
    <w:p>
      <w:pPr>
        <w:pStyle w:val="Heading3"/>
      </w:pPr>
      <w:bookmarkStart w:id="9037" w:name="_Toc100037"/>
      <w:r>
        <w:t xml:space="preserve">INT-12 — PaySpace Payroll Integration (Africa)</w:t>
      </w:r>
      <w:bookmarkEnd w:id="9037"/>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7386"/>
      </w:tblGrid>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INT-12</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PaySpace Payroll Integration</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Sync employee data across 40+ African countries; automate statutory contributions; manage cross-border payroll; DEI metrics</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Example Applications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Africa:</w:t>
            </w:r>
            <w:r>
              <w:rPr>
                <w:rFonts w:ascii="Times New Roman" w:cs="Times New Roman" w:eastAsia="Times New Roman" w:hAnsi="Times New Roman"/>
                <w:b w:val="false"/>
                <w:bCs w:val="false"/>
                <w:sz w:val="19"/>
                <w:szCs w:val="19"/>
              </w:rPr>
              <w:t xml:space="preserve"> True cloud HR/payroll across 40+ countries; used by Absa Group</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Multi-country African operators.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Legislative compliance across regimes.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Unified African workforce view</w:t>
            </w:r>
          </w:p>
        </w:tc>
      </w:tr>
      <w:tr>
        <w:trPr>
          <w:cantSplit/>
          <w:tblHeader w:val="false"/>
        </w:trPr>
        <w:tc>
          <w:tcPr>
            <w:tcW w:type="dxa" w:w="236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38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DMS-SME, DMS-ESG</w:t>
            </w:r>
          </w:p>
        </w:tc>
      </w:tr>
    </w:tbl>
    <w:p>
      <w:pPr>
        <w:spacing w:after="160" w:before="0"/>
      </w:pPr>
    </w:p>
    <w:p>
      <w:pPr>
        <w:pStyle w:val="Heading2"/>
      </w:pPr>
      <w:bookmarkStart w:id="9038" w:name="_Toc100038"/>
      <w:r>
        <w:t xml:space="preserve">3.3 Integration-to-Pack Mapping</w:t>
      </w:r>
      <w:bookmarkEnd w:id="9038"/>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3"/>
        <w:gridCol w:w="6223"/>
      </w:tblGrid>
      <w:tr>
        <w:trPr>
          <w:cantSplit/>
          <w:tblHeader/>
        </w:trPr>
        <w:tc>
          <w:tcPr>
            <w:tcW w:type="dxa" w:w="3523"/>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Integration</w:t>
            </w:r>
          </w:p>
        </w:tc>
        <w:tc>
          <w:tcPr>
            <w:tcW w:type="dxa" w:w="6223"/>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Related Packs</w:t>
            </w:r>
          </w:p>
        </w:tc>
      </w:tr>
      <w:tr>
        <w:trPr>
          <w:cantSplit/>
          <w:tblHeader w:val="false"/>
        </w:trPr>
        <w:tc>
          <w:tcPr>
            <w:tcW w:type="dxa" w:w="35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INT-01 Odoo</w:t>
            </w:r>
          </w:p>
        </w:tc>
        <w:tc>
          <w:tcPr>
            <w:tcW w:type="dxa" w:w="62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DMS-SME, DMS-PRO, DMS-AUTO, DMS-FOOD, DMS-CERT</w:t>
            </w:r>
          </w:p>
        </w:tc>
      </w:tr>
      <w:tr>
        <w:trPr>
          <w:cantSplit/>
          <w:tblHeader w:val="false"/>
        </w:trPr>
        <w:tc>
          <w:tcPr>
            <w:tcW w:type="dxa" w:w="35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INT-02 SAP</w:t>
            </w:r>
          </w:p>
        </w:tc>
        <w:tc>
          <w:tcPr>
            <w:tcW w:type="dxa" w:w="62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DMS-PRO, DMS-AUTO, DMS-LSCI, DMS-PROC</w:t>
            </w:r>
          </w:p>
        </w:tc>
      </w:tr>
      <w:tr>
        <w:trPr>
          <w:cantSplit/>
          <w:tblHeader w:val="false"/>
        </w:trPr>
        <w:tc>
          <w:tcPr>
            <w:tcW w:type="dxa" w:w="35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INT-03 ZenHR</w:t>
            </w:r>
          </w:p>
        </w:tc>
        <w:tc>
          <w:tcPr>
            <w:tcW w:type="dxa" w:w="62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DMS-SME, DMS-LSCI, DMS-PROC</w:t>
            </w:r>
          </w:p>
        </w:tc>
      </w:tr>
      <w:tr>
        <w:trPr>
          <w:cantSplit/>
          <w:tblHeader w:val="false"/>
        </w:trPr>
        <w:tc>
          <w:tcPr>
            <w:tcW w:type="dxa" w:w="35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INT-04 Personio</w:t>
            </w:r>
          </w:p>
        </w:tc>
        <w:tc>
          <w:tcPr>
            <w:tcW w:type="dxa" w:w="62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DMS-SME, DMS-CERT, DMS-AI</w:t>
            </w:r>
          </w:p>
        </w:tc>
      </w:tr>
      <w:tr>
        <w:trPr>
          <w:cantSplit/>
          <w:tblHeader w:val="false"/>
        </w:trPr>
        <w:tc>
          <w:tcPr>
            <w:tcW w:type="dxa" w:w="35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INT-05 HubSpot</w:t>
            </w:r>
          </w:p>
        </w:tc>
        <w:tc>
          <w:tcPr>
            <w:tcW w:type="dxa" w:w="62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DMS-SME, DMS-CERT, DMS-AI, DMS-ESG</w:t>
            </w:r>
          </w:p>
        </w:tc>
      </w:tr>
      <w:tr>
        <w:trPr>
          <w:cantSplit/>
          <w:tblHeader w:val="false"/>
        </w:trPr>
        <w:tc>
          <w:tcPr>
            <w:tcW w:type="dxa" w:w="35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INT-06 Siemens Opcenter</w:t>
            </w:r>
          </w:p>
        </w:tc>
        <w:tc>
          <w:tcPr>
            <w:tcW w:type="dxa" w:w="62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 DMS-PRO, DMS-ENT, DMS-FOOD, DMS-LSCI</w:t>
            </w:r>
          </w:p>
        </w:tc>
      </w:tr>
      <w:tr>
        <w:trPr>
          <w:cantSplit/>
          <w:tblHeader w:val="false"/>
        </w:trPr>
        <w:tc>
          <w:tcPr>
            <w:tcW w:type="dxa" w:w="35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INT-07 Thermo Fisher LIMS</w:t>
            </w:r>
          </w:p>
        </w:tc>
        <w:tc>
          <w:tcPr>
            <w:tcW w:type="dxa" w:w="62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DMS-LSCI, DMS-FOOD, DMS-PROC, DMS-ENT</w:t>
            </w:r>
          </w:p>
        </w:tc>
      </w:tr>
      <w:tr>
        <w:trPr>
          <w:cantSplit/>
          <w:tblHeader w:val="false"/>
        </w:trPr>
        <w:tc>
          <w:tcPr>
            <w:tcW w:type="dxa" w:w="35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INT-08 ManWinWin</w:t>
            </w:r>
          </w:p>
        </w:tc>
        <w:tc>
          <w:tcPr>
            <w:tcW w:type="dxa" w:w="62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 DMS-PRO, DMS-ENT, DMS-AUTO</w:t>
            </w:r>
          </w:p>
        </w:tc>
      </w:tr>
      <w:tr>
        <w:trPr>
          <w:cantSplit/>
          <w:tblHeader w:val="false"/>
        </w:trPr>
        <w:tc>
          <w:tcPr>
            <w:tcW w:type="dxa" w:w="35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INT-09 EcoOnline</w:t>
            </w:r>
          </w:p>
        </w:tc>
        <w:tc>
          <w:tcPr>
            <w:tcW w:type="dxa" w:w="62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DMS-PRO, DMS-PROC, DMS-AERO</w:t>
            </w:r>
          </w:p>
        </w:tc>
      </w:tr>
      <w:tr>
        <w:trPr>
          <w:cantSplit/>
          <w:tblHeader w:val="false"/>
        </w:trPr>
        <w:tc>
          <w:tcPr>
            <w:tcW w:type="dxa" w:w="35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INT-10 AVEVA SCADA</w:t>
            </w:r>
          </w:p>
        </w:tc>
        <w:tc>
          <w:tcPr>
            <w:tcW w:type="dxa" w:w="62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 DMS-AUTO, DMS-ENT, DMS-AI</w:t>
            </w:r>
          </w:p>
        </w:tc>
      </w:tr>
      <w:tr>
        <w:trPr>
          <w:cantSplit/>
          <w:tblHeader w:val="false"/>
        </w:trPr>
        <w:tc>
          <w:tcPr>
            <w:tcW w:type="dxa" w:w="35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INT-11 Cercli</w:t>
            </w:r>
          </w:p>
        </w:tc>
        <w:tc>
          <w:tcPr>
            <w:tcW w:type="dxa" w:w="622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DMS-SME</w:t>
            </w:r>
          </w:p>
        </w:tc>
      </w:tr>
      <w:tr>
        <w:trPr>
          <w:cantSplit/>
          <w:tblHeader w:val="false"/>
        </w:trPr>
        <w:tc>
          <w:tcPr>
            <w:tcW w:type="dxa" w:w="35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INT-12 PaySpace</w:t>
            </w:r>
          </w:p>
        </w:tc>
        <w:tc>
          <w:tcPr>
            <w:tcW w:type="dxa" w:w="622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DMS-SME, DMS-ESG</w:t>
            </w:r>
          </w:p>
        </w:tc>
      </w:tr>
    </w:tbl>
    <w:p>
      <w:pPr>
        <w:spacing w:after="160" w:before="0"/>
      </w:pPr>
    </w:p>
    <w:p>
      <w:pPr>
        <w:pStyle w:val="Heading1"/>
        <w:pageBreakBefore/>
      </w:pPr>
      <w:bookmarkStart w:id="9039" w:name="_Toc100039"/>
      <w:r>
        <w:t xml:space="preserve">Part 4 — Add-Ons Catalog (12 Add-Ons)</w:t>
      </w:r>
      <w:bookmarkEnd w:id="9039"/>
    </w:p>
    <w:p>
      <w:pPr>
        <w:pStyle w:val="Heading2"/>
      </w:pPr>
      <w:bookmarkStart w:id="9040" w:name="_Toc100040"/>
      <w:r>
        <w:t xml:space="preserve">4.1 Add-On Overview Table</w:t>
      </w:r>
      <w:bookmarkEnd w:id="9040"/>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5"/>
        <w:gridCol w:w="3153"/>
        <w:gridCol w:w="1447"/>
        <w:gridCol w:w="3052"/>
        <w:gridCol w:w="1249"/>
      </w:tblGrid>
      <w:tr>
        <w:trPr>
          <w:cantSplit/>
          <w:tblHeader/>
        </w:trPr>
        <w:tc>
          <w:tcPr>
            <w:tcW w:type="dxa" w:w="845"/>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ID</w:t>
            </w:r>
          </w:p>
        </w:tc>
        <w:tc>
          <w:tcPr>
            <w:tcW w:type="dxa" w:w="3153"/>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Name</w:t>
            </w:r>
          </w:p>
        </w:tc>
        <w:tc>
          <w:tcPr>
            <w:tcW w:type="dxa" w:w="1447"/>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Category</w:t>
            </w:r>
          </w:p>
        </w:tc>
        <w:tc>
          <w:tcPr>
            <w:tcW w:type="dxa" w:w="3052"/>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Related Packs</w:t>
            </w:r>
          </w:p>
        </w:tc>
        <w:tc>
          <w:tcPr>
            <w:tcW w:type="dxa" w:w="1249"/>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Base Price</w:t>
            </w:r>
          </w:p>
        </w:tc>
      </w:tr>
      <w:tr>
        <w:trPr>
          <w:cantSplit/>
          <w:tblHeader w:val="false"/>
        </w:trPr>
        <w:tc>
          <w:tcPr>
            <w:tcW w:type="dxa" w:w="845"/>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ADD-01</w:t>
            </w:r>
          </w:p>
        </w:tc>
        <w:tc>
          <w:tcPr>
            <w:tcW w:type="dxa" w:w="315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Mobile Field Operations</w:t>
            </w:r>
          </w:p>
        </w:tc>
        <w:tc>
          <w:tcPr>
            <w:tcW w:type="dxa" w:w="144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Mobility</w:t>
            </w:r>
          </w:p>
        </w:tc>
        <w:tc>
          <w:tcPr>
            <w:tcW w:type="dxa" w:w="305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w:t>
            </w:r>
          </w:p>
        </w:tc>
        <w:tc>
          <w:tcPr>
            <w:tcW w:type="dxa" w:w="124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$99/mo</w:t>
            </w:r>
          </w:p>
        </w:tc>
      </w:tr>
      <w:tr>
        <w:trPr>
          <w:cantSplit/>
          <w:tblHeader w:val="false"/>
        </w:trPr>
        <w:tc>
          <w:tcPr>
            <w:tcW w:type="dxa" w:w="8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ADD-02</w:t>
            </w:r>
          </w:p>
        </w:tc>
        <w:tc>
          <w:tcPr>
            <w:tcW w:type="dxa" w:w="315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Voice-to-Text Reporting</w:t>
            </w:r>
          </w:p>
        </w:tc>
        <w:tc>
          <w:tcPr>
            <w:tcW w:type="dxa" w:w="144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AI</w:t>
            </w:r>
          </w:p>
        </w:tc>
        <w:tc>
          <w:tcPr>
            <w:tcW w:type="dxa" w:w="305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DMS-AI</w:t>
            </w:r>
          </w:p>
        </w:tc>
        <w:tc>
          <w:tcPr>
            <w:tcW w:type="dxa" w:w="124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$149/mo</w:t>
            </w:r>
          </w:p>
        </w:tc>
      </w:tr>
      <w:tr>
        <w:trPr>
          <w:cantSplit/>
          <w:tblHeader w:val="false"/>
        </w:trPr>
        <w:tc>
          <w:tcPr>
            <w:tcW w:type="dxa" w:w="845"/>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ADD-03</w:t>
            </w:r>
          </w:p>
        </w:tc>
        <w:tc>
          <w:tcPr>
            <w:tcW w:type="dxa" w:w="315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Augmented Reality Audits</w:t>
            </w:r>
          </w:p>
        </w:tc>
        <w:tc>
          <w:tcPr>
            <w:tcW w:type="dxa" w:w="144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Innovation</w:t>
            </w:r>
          </w:p>
        </w:tc>
        <w:tc>
          <w:tcPr>
            <w:tcW w:type="dxa" w:w="305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 DMS-PROC, DMS-ENT</w:t>
            </w:r>
          </w:p>
        </w:tc>
        <w:tc>
          <w:tcPr>
            <w:tcW w:type="dxa" w:w="124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$299/mo</w:t>
            </w:r>
          </w:p>
        </w:tc>
      </w:tr>
      <w:tr>
        <w:trPr>
          <w:cantSplit/>
          <w:tblHeader w:val="false"/>
        </w:trPr>
        <w:tc>
          <w:tcPr>
            <w:tcW w:type="dxa" w:w="8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ADD-04</w:t>
            </w:r>
          </w:p>
        </w:tc>
        <w:tc>
          <w:tcPr>
            <w:tcW w:type="dxa" w:w="315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Digital Signatures (eIDAS)</w:t>
            </w:r>
          </w:p>
        </w:tc>
        <w:tc>
          <w:tcPr>
            <w:tcW w:type="dxa" w:w="144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Compliance</w:t>
            </w:r>
          </w:p>
        </w:tc>
        <w:tc>
          <w:tcPr>
            <w:tcW w:type="dxa" w:w="305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w:t>
            </w:r>
          </w:p>
        </w:tc>
        <w:tc>
          <w:tcPr>
            <w:tcW w:type="dxa" w:w="124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$79/mo</w:t>
            </w:r>
          </w:p>
        </w:tc>
      </w:tr>
      <w:tr>
        <w:trPr>
          <w:cantSplit/>
          <w:tblHeader w:val="false"/>
        </w:trPr>
        <w:tc>
          <w:tcPr>
            <w:tcW w:type="dxa" w:w="845"/>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ADD-05</w:t>
            </w:r>
          </w:p>
        </w:tc>
        <w:tc>
          <w:tcPr>
            <w:tcW w:type="dxa" w:w="315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Blockchain Audit Trail</w:t>
            </w:r>
          </w:p>
        </w:tc>
        <w:tc>
          <w:tcPr>
            <w:tcW w:type="dxa" w:w="144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Trust</w:t>
            </w:r>
          </w:p>
        </w:tc>
        <w:tc>
          <w:tcPr>
            <w:tcW w:type="dxa" w:w="305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DMS-AERO, DMS-LSCI, DMS-ENT</w:t>
            </w:r>
          </w:p>
        </w:tc>
        <w:tc>
          <w:tcPr>
            <w:tcW w:type="dxa" w:w="124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$399/mo</w:t>
            </w:r>
          </w:p>
        </w:tc>
      </w:tr>
      <w:tr>
        <w:trPr>
          <w:cantSplit/>
          <w:tblHeader w:val="false"/>
        </w:trPr>
        <w:tc>
          <w:tcPr>
            <w:tcW w:type="dxa" w:w="8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ADD-06</w:t>
            </w:r>
          </w:p>
        </w:tc>
        <w:tc>
          <w:tcPr>
            <w:tcW w:type="dxa" w:w="315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Supplier Collaboration Portal</w:t>
            </w:r>
          </w:p>
        </w:tc>
        <w:tc>
          <w:tcPr>
            <w:tcW w:type="dxa" w:w="144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Ecosystem</w:t>
            </w:r>
          </w:p>
        </w:tc>
        <w:tc>
          <w:tcPr>
            <w:tcW w:type="dxa" w:w="305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DMS-AUTO</w:t>
            </w:r>
          </w:p>
        </w:tc>
        <w:tc>
          <w:tcPr>
            <w:tcW w:type="dxa" w:w="124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$199/mo</w:t>
            </w:r>
          </w:p>
        </w:tc>
      </w:tr>
      <w:tr>
        <w:trPr>
          <w:cantSplit/>
          <w:tblHeader w:val="false"/>
        </w:trPr>
        <w:tc>
          <w:tcPr>
            <w:tcW w:type="dxa" w:w="845"/>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ADD-07</w:t>
            </w:r>
          </w:p>
        </w:tc>
        <w:tc>
          <w:tcPr>
            <w:tcW w:type="dxa" w:w="315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Customer Feedback Portal</w:t>
            </w:r>
          </w:p>
        </w:tc>
        <w:tc>
          <w:tcPr>
            <w:tcW w:type="dxa" w:w="144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CX</w:t>
            </w:r>
          </w:p>
        </w:tc>
        <w:tc>
          <w:tcPr>
            <w:tcW w:type="dxa" w:w="305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DMS-SME</w:t>
            </w:r>
          </w:p>
        </w:tc>
        <w:tc>
          <w:tcPr>
            <w:tcW w:type="dxa" w:w="124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$149/mo</w:t>
            </w:r>
          </w:p>
        </w:tc>
      </w:tr>
      <w:tr>
        <w:trPr>
          <w:cantSplit/>
          <w:tblHeader w:val="false"/>
        </w:trPr>
        <w:tc>
          <w:tcPr>
            <w:tcW w:type="dxa" w:w="8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ADD-08</w:t>
            </w:r>
          </w:p>
        </w:tc>
        <w:tc>
          <w:tcPr>
            <w:tcW w:type="dxa" w:w="315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Low-Code Process Builder</w:t>
            </w:r>
          </w:p>
        </w:tc>
        <w:tc>
          <w:tcPr>
            <w:tcW w:type="dxa" w:w="144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Innovation</w:t>
            </w:r>
          </w:p>
        </w:tc>
        <w:tc>
          <w:tcPr>
            <w:tcW w:type="dxa" w:w="305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w:t>
            </w:r>
          </w:p>
        </w:tc>
        <w:tc>
          <w:tcPr>
            <w:tcW w:type="dxa" w:w="124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$249/mo</w:t>
            </w:r>
          </w:p>
        </w:tc>
      </w:tr>
      <w:tr>
        <w:trPr>
          <w:cantSplit/>
          <w:tblHeader w:val="false"/>
        </w:trPr>
        <w:tc>
          <w:tcPr>
            <w:tcW w:type="dxa" w:w="845"/>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ADD-09</w:t>
            </w:r>
          </w:p>
        </w:tc>
        <w:tc>
          <w:tcPr>
            <w:tcW w:type="dxa" w:w="315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Marketplace Access</w:t>
            </w:r>
          </w:p>
        </w:tc>
        <w:tc>
          <w:tcPr>
            <w:tcW w:type="dxa" w:w="144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Ecosystem</w:t>
            </w:r>
          </w:p>
        </w:tc>
        <w:tc>
          <w:tcPr>
            <w:tcW w:type="dxa" w:w="305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w:t>
            </w:r>
          </w:p>
        </w:tc>
        <w:tc>
          <w:tcPr>
            <w:tcW w:type="dxa" w:w="124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$99/mo</w:t>
            </w:r>
          </w:p>
        </w:tc>
      </w:tr>
      <w:tr>
        <w:trPr>
          <w:cantSplit/>
          <w:tblHeader w:val="false"/>
        </w:trPr>
        <w:tc>
          <w:tcPr>
            <w:tcW w:type="dxa" w:w="8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ADD-10</w:t>
            </w:r>
          </w:p>
        </w:tc>
        <w:tc>
          <w:tcPr>
            <w:tcW w:type="dxa" w:w="315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Digital Twin Simulation</w:t>
            </w:r>
          </w:p>
        </w:tc>
        <w:tc>
          <w:tcPr>
            <w:tcW w:type="dxa" w:w="144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Innovation</w:t>
            </w:r>
          </w:p>
        </w:tc>
        <w:tc>
          <w:tcPr>
            <w:tcW w:type="dxa" w:w="305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 DMS-PROC, DMS-ENT</w:t>
            </w:r>
          </w:p>
        </w:tc>
        <w:tc>
          <w:tcPr>
            <w:tcW w:type="dxa" w:w="124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$499/mo</w:t>
            </w:r>
          </w:p>
        </w:tc>
      </w:tr>
      <w:tr>
        <w:trPr>
          <w:cantSplit/>
          <w:tblHeader w:val="false"/>
        </w:trPr>
        <w:tc>
          <w:tcPr>
            <w:tcW w:type="dxa" w:w="845"/>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ADD-11</w:t>
            </w:r>
          </w:p>
        </w:tc>
        <w:tc>
          <w:tcPr>
            <w:tcW w:type="dxa" w:w="315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Voice of Customer Analytics</w:t>
            </w:r>
          </w:p>
        </w:tc>
        <w:tc>
          <w:tcPr>
            <w:tcW w:type="dxa" w:w="1447"/>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CX</w:t>
            </w:r>
          </w:p>
        </w:tc>
        <w:tc>
          <w:tcPr>
            <w:tcW w:type="dxa" w:w="305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DMS-ESG</w:t>
            </w:r>
          </w:p>
        </w:tc>
        <w:tc>
          <w:tcPr>
            <w:tcW w:type="dxa" w:w="124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$199/mo</w:t>
            </w:r>
          </w:p>
        </w:tc>
      </w:tr>
      <w:tr>
        <w:trPr>
          <w:cantSplit/>
          <w:tblHeader w:val="false"/>
        </w:trPr>
        <w:tc>
          <w:tcPr>
            <w:tcW w:type="dxa" w:w="8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ADD-12</w:t>
            </w:r>
          </w:p>
        </w:tc>
        <w:tc>
          <w:tcPr>
            <w:tcW w:type="dxa" w:w="315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IoT Sensor Integration</w:t>
            </w:r>
          </w:p>
        </w:tc>
        <w:tc>
          <w:tcPr>
            <w:tcW w:type="dxa" w:w="1447"/>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Industry 4.0</w:t>
            </w:r>
          </w:p>
        </w:tc>
        <w:tc>
          <w:tcPr>
            <w:tcW w:type="dxa" w:w="305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 DMS-PROC, DMS-FOOD</w:t>
            </w:r>
          </w:p>
        </w:tc>
        <w:tc>
          <w:tcPr>
            <w:tcW w:type="dxa" w:w="124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$299/mo</w:t>
            </w:r>
          </w:p>
        </w:tc>
      </w:tr>
    </w:tbl>
    <w:p>
      <w:pPr>
        <w:spacing w:after="160" w:before="0"/>
      </w:pPr>
    </w:p>
    <w:p>
      <w:pPr>
        <w:pStyle w:val="Heading2"/>
      </w:pPr>
      <w:bookmarkStart w:id="9041" w:name="_Toc100041"/>
      <w:r>
        <w:t xml:space="preserve">4.2 Detailed Add-On Specifications</w:t>
      </w:r>
      <w:bookmarkEnd w:id="9041"/>
    </w:p>
    <w:p>
      <w:pPr>
        <w:pStyle w:val="Heading3"/>
      </w:pPr>
      <w:bookmarkStart w:id="9042" w:name="_Toc100042"/>
      <w:r>
        <w:t xml:space="preserve">ADD-01 — Mobile Field Operations</w:t>
      </w:r>
      <w:bookmarkEnd w:id="9042"/>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ADD-01</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Mobile Field Operations</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Native iOS/Android apps; offline data capture; photo/video/voice evidence; GPS tagging; barcode scanning</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Field-heavy operations (construction, utilities, field service).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Paper forms; delayed data entry; poor field UX.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Real-time field data; evidence capture; remote oversight</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 (especially DMS-PRO, DMS-ENT, DMS-SME, DMS-PROC)</w:t>
            </w:r>
          </w:p>
        </w:tc>
      </w:tr>
    </w:tbl>
    <w:p>
      <w:pPr>
        <w:spacing w:after="160" w:before="0"/>
      </w:pPr>
    </w:p>
    <w:p>
      <w:pPr>
        <w:pStyle w:val="Heading3"/>
      </w:pPr>
      <w:bookmarkStart w:id="9043" w:name="_Toc100043"/>
      <w:r>
        <w:t xml:space="preserve">ADD-02 — Voice-to-Text Reporting</w:t>
      </w:r>
      <w:bookmarkEnd w:id="9043"/>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ADD-02</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Voice-to-Text Reporting</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Hands-free incident/audit reporting; speech-to-text in EN/FR/AR; structured data extraction; auto-classification</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Multilingual workforces (MENA, Africa); hands-busy roles.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Typing delays; language barriers; incomplete reports.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Fast, accurate, multilingual reporting</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DMS-AI, DMS-LSCI, DMS-PROC</w:t>
            </w:r>
          </w:p>
        </w:tc>
      </w:tr>
    </w:tbl>
    <w:p>
      <w:pPr>
        <w:spacing w:after="160" w:before="0"/>
      </w:pPr>
    </w:p>
    <w:p>
      <w:pPr>
        <w:pStyle w:val="Heading3"/>
      </w:pPr>
      <w:bookmarkStart w:id="9044" w:name="_Toc100044"/>
      <w:r>
        <w:t xml:space="preserve">ADD-03 — Augmented Reality Audits</w:t>
      </w:r>
      <w:bookmarkEnd w:id="9044"/>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ADD-03</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Augmented Reality Audits</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AR overlays for audit guidance; step-by-step visual instructions; remote expert assistance; AR evidence capture</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Complex equipment; remote expertise needed.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Auditor expertise gaps; travel costs; inconsistent audits.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Expert-guided audits; consistent quality; reduced travel</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 DMS-PROC, DMS-ENT, DMS-AERO, DMS-PCH</w:t>
            </w:r>
          </w:p>
        </w:tc>
      </w:tr>
    </w:tbl>
    <w:p>
      <w:pPr>
        <w:spacing w:after="160" w:before="0"/>
      </w:pPr>
    </w:p>
    <w:p>
      <w:pPr>
        <w:pStyle w:val="Heading3"/>
      </w:pPr>
      <w:bookmarkStart w:id="9045" w:name="_Toc100045"/>
      <w:r>
        <w:t xml:space="preserve">ADD-04 — Digital Signatures (eIDAS)</w:t>
      </w:r>
      <w:bookmarkEnd w:id="9045"/>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ADD-04</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Digital Signatures (eIDAS)</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Legally binding signatures; eIDAS/ESIGN compliance; automated workflows; signature audit trail</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Regulated industries; paper-heavy processes.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Wet signatures; slow approvals; compliance risk.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Paperless; fast approvals; legal certainty</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w:t>
            </w:r>
          </w:p>
        </w:tc>
      </w:tr>
    </w:tbl>
    <w:p>
      <w:pPr>
        <w:spacing w:after="160" w:before="0"/>
      </w:pPr>
    </w:p>
    <w:p>
      <w:pPr>
        <w:pStyle w:val="Heading3"/>
      </w:pPr>
      <w:bookmarkStart w:id="9046" w:name="_Toc100046"/>
      <w:r>
        <w:t xml:space="preserve">ADD-05 — Blockchain Audit Trail</w:t>
      </w:r>
      <w:bookmarkEnd w:id="9046"/>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ADD-05</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Blockchain Audit Trail</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Immutable audit trail; tamper-proof records; integrity verification; regulator access</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Highly regulated; high-stakes compliance.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Data tampering risk; audit verification cost.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Immutable trust; regulator confidence</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DMS-AERO, DMS-LSCI, DMS-ENT, DMS-PROC</w:t>
            </w:r>
          </w:p>
        </w:tc>
      </w:tr>
    </w:tbl>
    <w:p>
      <w:pPr>
        <w:spacing w:after="160" w:before="0"/>
      </w:pPr>
    </w:p>
    <w:p>
      <w:pPr>
        <w:pStyle w:val="Heading3"/>
      </w:pPr>
      <w:bookmarkStart w:id="9047" w:name="_Toc100047"/>
      <w:r>
        <w:t xml:space="preserve">ADD-06 — Supplier Collaboration Portal</w:t>
      </w:r>
      <w:bookmarkEnd w:id="9047"/>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ADD-06</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Supplier Collaboration Portal</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Supplier self-service; quality submissions; automated onboarding; performance dashboards; CAPA collaboration</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Complex supply chains; multi-tier visibility.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Supplier data chase; manual SCARs.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Real-time supplier visibility; faster response</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DMS-AUTO, DMS-FOOD</w:t>
            </w:r>
          </w:p>
        </w:tc>
      </w:tr>
    </w:tbl>
    <w:p>
      <w:pPr>
        <w:spacing w:after="160" w:before="0"/>
      </w:pPr>
    </w:p>
    <w:p>
      <w:pPr>
        <w:pStyle w:val="Heading3"/>
      </w:pPr>
      <w:bookmarkStart w:id="9048" w:name="_Toc100048"/>
      <w:r>
        <w:t xml:space="preserve">ADD-07 — Customer Feedback Portal</w:t>
      </w:r>
      <w:bookmarkEnd w:id="9048"/>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ADD-07</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Customer Feedback Portal</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Customer self-service; complaint capture; auto-routing; lifecycle tracking; NCP/CAPA link</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B2C or B2B customer-facing.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Complaints in email; slow resolution.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Fast resolution; customer trust</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DMS-SME, DMS-RC, DMS-CERT</w:t>
            </w:r>
          </w:p>
        </w:tc>
      </w:tr>
    </w:tbl>
    <w:p>
      <w:pPr>
        <w:spacing w:after="160" w:before="0"/>
      </w:pPr>
    </w:p>
    <w:p>
      <w:pPr>
        <w:pStyle w:val="Heading3"/>
      </w:pPr>
      <w:bookmarkStart w:id="9049" w:name="_Toc100049"/>
      <w:r>
        <w:t xml:space="preserve">ADD-08 — Low-Code Process Builder</w:t>
      </w:r>
      <w:bookmarkEnd w:id="9049"/>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ADD-08</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Low-Code Process Builder</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Drag-and-drop workflow design; citizen developer enablement; sandbox testing; version governance</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Process-innovation-hungry; IT-constrained.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IT backlog; slow change.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Rapid digitization; business autonomy</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DMS-CERT</w:t>
            </w:r>
          </w:p>
        </w:tc>
      </w:tr>
    </w:tbl>
    <w:p>
      <w:pPr>
        <w:spacing w:after="160" w:before="0"/>
      </w:pPr>
    </w:p>
    <w:p>
      <w:pPr>
        <w:pStyle w:val="Heading3"/>
      </w:pPr>
      <w:bookmarkStart w:id="9050" w:name="_Toc100050"/>
      <w:r>
        <w:t xml:space="preserve">ADD-09 — Marketplace Access</w:t>
      </w:r>
      <w:bookmarkEnd w:id="9050"/>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ADD-09</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Marketplace Access</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Access to templates, connectors, industry packs; third-party contributions; ratings/reviews</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Ecosystem-oriented; accelerator-seeking.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Slow deployment; custom build cost.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Fast deployment; best practices reuse</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All</w:t>
            </w:r>
          </w:p>
        </w:tc>
      </w:tr>
    </w:tbl>
    <w:p>
      <w:pPr>
        <w:spacing w:after="160" w:before="0"/>
      </w:pPr>
    </w:p>
    <w:p>
      <w:pPr>
        <w:pStyle w:val="Heading3"/>
      </w:pPr>
      <w:bookmarkStart w:id="9051" w:name="_Toc100051"/>
      <w:r>
        <w:t xml:space="preserve">ADD-10 — Digital Twin Simulation</w:t>
      </w:r>
      <w:bookmarkEnd w:id="905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ADD-10</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Digital Twin Simulation</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Digital twin of processes; scenario simulation; outcome prediction; optimization recommendations</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Innovation-focused; data-rich.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Costly experiments; uncertain outcomes.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Virtual experimentation; confident decisions</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 DMS-PROC, DMS-ENT, DMS-AI</w:t>
            </w:r>
          </w:p>
        </w:tc>
      </w:tr>
    </w:tbl>
    <w:p>
      <w:pPr>
        <w:spacing w:after="160" w:before="0"/>
      </w:pPr>
    </w:p>
    <w:p>
      <w:pPr>
        <w:pStyle w:val="Heading3"/>
      </w:pPr>
      <w:bookmarkStart w:id="9052" w:name="_Toc100052"/>
      <w:r>
        <w:t xml:space="preserve">ADD-11 — Voice of Customer Analytics</w:t>
      </w:r>
      <w:bookmarkEnd w:id="9052"/>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ADD-11</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Voice of Customer Analytics</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Aggregate VoC from all sources; NLP theme identification; prioritization; impact measurement</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Customer-centric; data-driven.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VoC noise; unclear priorities.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Systematic VoC; improvement prioritization</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DMS-ENT, DMS-ESG, DMS-RC</w:t>
            </w:r>
          </w:p>
        </w:tc>
      </w:tr>
    </w:tbl>
    <w:p>
      <w:pPr>
        <w:spacing w:after="160" w:before="0"/>
      </w:pPr>
    </w:p>
    <w:p>
      <w:pPr>
        <w:pStyle w:val="Heading3"/>
      </w:pPr>
      <w:bookmarkStart w:id="9053" w:name="_Toc100053"/>
      <w:r>
        <w:t xml:space="preserve">ADD-12 — IoT Sensor Integration</w:t>
      </w:r>
      <w:bookmarkEnd w:id="9053"/>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7701"/>
      </w:tblGrid>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ID</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ADD-12</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Name</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IoT Sensor Integration</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Goals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Real-time sensor ingestion; threshold/anomaly detection; auto-triggered workflows; predictive quality models</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Value Proposition</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r>
              <w:rPr>
                <w:rFonts w:ascii="Times New Roman" w:cs="Times New Roman" w:eastAsia="Times New Roman" w:hAnsi="Times New Roman"/>
                <w:b w:val="false"/>
                <w:bCs w:val="false"/>
                <w:sz w:val="19"/>
                <w:szCs w:val="19"/>
              </w:rPr>
              <w:t xml:space="preserve"> Industry 4.0; real-time visibility. </w:t>
            </w:r>
            <w:r>
              <w:rPr>
                <w:rFonts w:ascii="Times New Roman" w:cs="Times New Roman" w:eastAsia="Times New Roman" w:hAnsi="Times New Roman"/>
                <w:b/>
                <w:bCs/>
                <w:color w:val="3A3A3C"/>
                <w:sz w:val="19"/>
                <w:szCs w:val="19"/>
              </w:rPr>
              <w:t xml:space="preserve">Pain Points:</w:t>
            </w:r>
            <w:r>
              <w:rPr>
                <w:rFonts w:ascii="Times New Roman" w:cs="Times New Roman" w:eastAsia="Times New Roman" w:hAnsi="Times New Roman"/>
                <w:b w:val="false"/>
                <w:bCs w:val="false"/>
                <w:sz w:val="19"/>
                <w:szCs w:val="19"/>
              </w:rPr>
              <w:t xml:space="preserve"> Delayed detection; manual monitoring. </w:t>
            </w:r>
            <w:r>
              <w:rPr>
                <w:rFonts w:ascii="Times New Roman" w:cs="Times New Roman" w:eastAsia="Times New Roman" w:hAnsi="Times New Roman"/>
                <w:b/>
                <w:bCs/>
                <w:color w:val="3A3A3C"/>
                <w:sz w:val="19"/>
                <w:szCs w:val="19"/>
              </w:rPr>
              <w:t xml:space="preserve">Hopes:</w:t>
            </w:r>
            <w:r>
              <w:rPr>
                <w:rFonts w:ascii="Times New Roman" w:cs="Times New Roman" w:eastAsia="Times New Roman" w:hAnsi="Times New Roman"/>
                <w:b w:val="false"/>
                <w:bCs w:val="false"/>
                <w:sz w:val="19"/>
                <w:szCs w:val="19"/>
              </w:rPr>
              <w:t xml:space="preserve"> Real-time quality; predictive safety</w:t>
            </w:r>
          </w:p>
        </w:tc>
      </w:tr>
      <w:tr>
        <w:trPr>
          <w:cantSplit/>
          <w:tblHeader w:val="false"/>
        </w:trPr>
        <w:tc>
          <w:tcPr>
            <w:tcW w:type="dxa" w:w="20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Related Packs</w:t>
            </w:r>
          </w:p>
        </w:tc>
        <w:tc>
          <w:tcPr>
            <w:tcW w:type="dxa" w:w="77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 DMS-PROC, DMS-FOOD, DMS-ENT</w:t>
            </w:r>
          </w:p>
        </w:tc>
      </w:tr>
    </w:tbl>
    <w:p>
      <w:pPr>
        <w:spacing w:after="160" w:before="0"/>
      </w:pPr>
    </w:p>
    <w:p>
      <w:pPr>
        <w:pStyle w:val="Heading1"/>
        <w:pageBreakBefore/>
      </w:pPr>
      <w:bookmarkStart w:id="9054" w:name="_Toc100054"/>
      <w:r>
        <w:t xml:space="preserve">Part 5 — Deployment Modes &amp; Pricing Matrix</w:t>
      </w:r>
      <w:bookmarkEnd w:id="9054"/>
    </w:p>
    <w:p>
      <w:pPr>
        <w:pStyle w:val="Heading2"/>
      </w:pPr>
      <w:bookmarkStart w:id="9055" w:name="_Toc100055"/>
      <w:r>
        <w:t xml:space="preserve">5.1 The Seven Deployment Modes</w:t>
      </w:r>
      <w:bookmarkEnd w:id="9055"/>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5"/>
        <w:gridCol w:w="600"/>
        <w:gridCol w:w="1898"/>
        <w:gridCol w:w="1931"/>
        <w:gridCol w:w="1836"/>
        <w:gridCol w:w="1896"/>
      </w:tblGrid>
      <w:tr>
        <w:trPr>
          <w:cantSplit/>
          <w:tblHeader/>
        </w:trPr>
        <w:tc>
          <w:tcPr>
            <w:tcW w:type="dxa" w:w="1585"/>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Mode</w:t>
            </w:r>
          </w:p>
        </w:tc>
        <w:tc>
          <w:tcPr>
            <w:tcW w:type="dxa" w:w="600"/>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Code</w:t>
            </w:r>
          </w:p>
        </w:tc>
        <w:tc>
          <w:tcPr>
            <w:tcW w:type="dxa" w:w="1898"/>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Description</w:t>
            </w:r>
          </w:p>
        </w:tc>
        <w:tc>
          <w:tcPr>
            <w:tcW w:type="dxa" w:w="1931"/>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Isolation</w:t>
            </w:r>
          </w:p>
        </w:tc>
        <w:tc>
          <w:tcPr>
            <w:tcW w:type="dxa" w:w="1836"/>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Data Residency</w:t>
            </w:r>
          </w:p>
        </w:tc>
        <w:tc>
          <w:tcPr>
            <w:tcW w:type="dxa" w:w="1896"/>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Typical Customer</w:t>
            </w:r>
          </w:p>
        </w:tc>
      </w:tr>
      <w:tr>
        <w:trPr>
          <w:cantSplit/>
          <w:tblHeader w:val="false"/>
        </w:trPr>
        <w:tc>
          <w:tcPr>
            <w:tcW w:type="dxa" w:w="1585"/>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SaaS Multi-Tenant Shared</w:t>
            </w:r>
          </w:p>
        </w:tc>
        <w:tc>
          <w:tcPr>
            <w:tcW w:type="dxa" w:w="600"/>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DEP-1</w:t>
            </w:r>
          </w:p>
        </w:tc>
        <w:tc>
          <w:tcPr>
            <w:tcW w:type="dxa" w:w="189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Shared infrastructure, logical isolation</w:t>
            </w:r>
          </w:p>
        </w:tc>
        <w:tc>
          <w:tcPr>
            <w:tcW w:type="dxa" w:w="1931"/>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Logical</w:t>
            </w:r>
          </w:p>
        </w:tc>
        <w:tc>
          <w:tcPr>
            <w:tcW w:type="dxa" w:w="1836"/>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Vendor-controlled</w:t>
            </w:r>
          </w:p>
        </w:tc>
        <w:tc>
          <w:tcPr>
            <w:tcW w:type="dxa" w:w="1896"/>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SMEs, mid-market</w:t>
            </w:r>
          </w:p>
        </w:tc>
      </w:tr>
      <w:tr>
        <w:trPr>
          <w:cantSplit/>
          <w:tblHeader w:val="false"/>
        </w:trPr>
        <w:tc>
          <w:tcPr>
            <w:tcW w:type="dxa" w:w="1585"/>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Public Cloud Multi-Tenant Sub.</w:t>
            </w:r>
          </w:p>
        </w:tc>
        <w:tc>
          <w:tcPr>
            <w:tcW w:type="dxa" w:w="600"/>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DEP-2</w:t>
            </w:r>
          </w:p>
        </w:tc>
        <w:tc>
          <w:tcPr>
            <w:tcW w:type="dxa" w:w="189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Dedicated instance, multi-tenant logic</w:t>
            </w:r>
          </w:p>
        </w:tc>
        <w:tc>
          <w:tcPr>
            <w:tcW w:type="dxa" w:w="1931"/>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Logical + instance</w:t>
            </w:r>
          </w:p>
        </w:tc>
        <w:tc>
          <w:tcPr>
            <w:tcW w:type="dxa" w:w="1836"/>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Vendor-controlled</w:t>
            </w:r>
          </w:p>
        </w:tc>
        <w:tc>
          <w:tcPr>
            <w:tcW w:type="dxa" w:w="1896"/>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Mid-market, multi-site</w:t>
            </w:r>
          </w:p>
        </w:tc>
      </w:tr>
      <w:tr>
        <w:trPr>
          <w:cantSplit/>
          <w:tblHeader w:val="false"/>
        </w:trPr>
        <w:tc>
          <w:tcPr>
            <w:tcW w:type="dxa" w:w="1585"/>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Public Cloud Single-Tenant Sub.</w:t>
            </w:r>
          </w:p>
        </w:tc>
        <w:tc>
          <w:tcPr>
            <w:tcW w:type="dxa" w:w="600"/>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DEP-3</w:t>
            </w:r>
          </w:p>
        </w:tc>
        <w:tc>
          <w:tcPr>
            <w:tcW w:type="dxa" w:w="189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Dedicated infrastructure, single customer</w:t>
            </w:r>
          </w:p>
        </w:tc>
        <w:tc>
          <w:tcPr>
            <w:tcW w:type="dxa" w:w="1931"/>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Physical + logical</w:t>
            </w:r>
          </w:p>
        </w:tc>
        <w:tc>
          <w:tcPr>
            <w:tcW w:type="dxa" w:w="1836"/>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Vendor-controlled region</w:t>
            </w:r>
          </w:p>
        </w:tc>
        <w:tc>
          <w:tcPr>
            <w:tcW w:type="dxa" w:w="1896"/>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Enterprise, regulated</w:t>
            </w:r>
          </w:p>
        </w:tc>
      </w:tr>
      <w:tr>
        <w:trPr>
          <w:cantSplit/>
          <w:tblHeader w:val="false"/>
        </w:trPr>
        <w:tc>
          <w:tcPr>
            <w:tcW w:type="dxa" w:w="1585"/>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Customer Private Cloud</w:t>
            </w:r>
          </w:p>
        </w:tc>
        <w:tc>
          <w:tcPr>
            <w:tcW w:type="dxa" w:w="600"/>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DEP-4</w:t>
            </w:r>
          </w:p>
        </w:tc>
        <w:tc>
          <w:tcPr>
            <w:tcW w:type="dxa" w:w="189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Customer's AWS/Azure/GCP tenancy</w:t>
            </w:r>
          </w:p>
        </w:tc>
        <w:tc>
          <w:tcPr>
            <w:tcW w:type="dxa" w:w="1931"/>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Physical + customer-controlled</w:t>
            </w:r>
          </w:p>
        </w:tc>
        <w:tc>
          <w:tcPr>
            <w:tcW w:type="dxa" w:w="1836"/>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Customer-controlled</w:t>
            </w:r>
          </w:p>
        </w:tc>
        <w:tc>
          <w:tcPr>
            <w:tcW w:type="dxa" w:w="1896"/>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Large enterprise</w:t>
            </w:r>
          </w:p>
        </w:tc>
      </w:tr>
      <w:tr>
        <w:trPr>
          <w:cantSplit/>
          <w:tblHeader w:val="false"/>
        </w:trPr>
        <w:tc>
          <w:tcPr>
            <w:tcW w:type="dxa" w:w="1585"/>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Customer On-Prem (Data Center)</w:t>
            </w:r>
          </w:p>
        </w:tc>
        <w:tc>
          <w:tcPr>
            <w:tcW w:type="dxa" w:w="600"/>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DEP-5</w:t>
            </w:r>
          </w:p>
        </w:tc>
        <w:tc>
          <w:tcPr>
            <w:tcW w:type="dxa" w:w="189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Customer's own data center</w:t>
            </w:r>
          </w:p>
        </w:tc>
        <w:tc>
          <w:tcPr>
            <w:tcW w:type="dxa" w:w="1931"/>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Full isolation</w:t>
            </w:r>
          </w:p>
        </w:tc>
        <w:tc>
          <w:tcPr>
            <w:tcW w:type="dxa" w:w="1836"/>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Fully customer-controlled</w:t>
            </w:r>
          </w:p>
        </w:tc>
        <w:tc>
          <w:tcPr>
            <w:tcW w:type="dxa" w:w="1896"/>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Regulated industries</w:t>
            </w:r>
          </w:p>
        </w:tc>
      </w:tr>
      <w:tr>
        <w:trPr>
          <w:cantSplit/>
          <w:tblHeader w:val="false"/>
        </w:trPr>
        <w:tc>
          <w:tcPr>
            <w:tcW w:type="dxa" w:w="1585"/>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Hybrid (Cloud + On-Prem)</w:t>
            </w:r>
          </w:p>
        </w:tc>
        <w:tc>
          <w:tcPr>
            <w:tcW w:type="dxa" w:w="600"/>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DEP-6</w:t>
            </w:r>
          </w:p>
        </w:tc>
        <w:tc>
          <w:tcPr>
            <w:tcW w:type="dxa" w:w="189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Mix of cloud SaaS + on-prem edge</w:t>
            </w:r>
          </w:p>
        </w:tc>
        <w:tc>
          <w:tcPr>
            <w:tcW w:type="dxa" w:w="1931"/>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Mixed</w:t>
            </w:r>
          </w:p>
        </w:tc>
        <w:tc>
          <w:tcPr>
            <w:tcW w:type="dxa" w:w="1836"/>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Mixed</w:t>
            </w:r>
          </w:p>
        </w:tc>
        <w:tc>
          <w:tcPr>
            <w:tcW w:type="dxa" w:w="1896"/>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Distributed operations</w:t>
            </w:r>
          </w:p>
        </w:tc>
      </w:tr>
      <w:tr>
        <w:trPr>
          <w:cantSplit/>
          <w:tblHeader w:val="false"/>
        </w:trPr>
        <w:tc>
          <w:tcPr>
            <w:tcW w:type="dxa" w:w="1585"/>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On-Prem — Air-Gapped</w:t>
            </w:r>
          </w:p>
        </w:tc>
        <w:tc>
          <w:tcPr>
            <w:tcW w:type="dxa" w:w="600"/>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DEP-7</w:t>
            </w:r>
          </w:p>
        </w:tc>
        <w:tc>
          <w:tcPr>
            <w:tcW w:type="dxa" w:w="189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Fully isolated, no internet</w:t>
            </w:r>
          </w:p>
        </w:tc>
        <w:tc>
          <w:tcPr>
            <w:tcW w:type="dxa" w:w="1931"/>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Physical + network</w:t>
            </w:r>
          </w:p>
        </w:tc>
        <w:tc>
          <w:tcPr>
            <w:tcW w:type="dxa" w:w="1836"/>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Fully customer-controlled</w:t>
            </w:r>
          </w:p>
        </w:tc>
        <w:tc>
          <w:tcPr>
            <w:tcW w:type="dxa" w:w="1896"/>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Defense, government, critical infrastructure</w:t>
            </w:r>
          </w:p>
        </w:tc>
      </w:tr>
    </w:tbl>
    <w:p>
      <w:pPr>
        <w:spacing w:after="160" w:before="0"/>
      </w:pPr>
    </w:p>
    <w:p>
      <w:pPr>
        <w:pStyle w:val="Heading2"/>
      </w:pPr>
      <w:bookmarkStart w:id="9056" w:name="_Toc100056"/>
      <w:r>
        <w:t xml:space="preserve">5.2 Pricing Multipliers per Mode</w:t>
      </w:r>
      <w:bookmarkEnd w:id="9056"/>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8"/>
        <w:gridCol w:w="748"/>
        <w:gridCol w:w="1252"/>
        <w:gridCol w:w="4378"/>
      </w:tblGrid>
      <w:tr>
        <w:trPr>
          <w:cantSplit/>
          <w:tblHeader/>
        </w:trPr>
        <w:tc>
          <w:tcPr>
            <w:tcW w:type="dxa" w:w="3368"/>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Mode</w:t>
            </w:r>
          </w:p>
        </w:tc>
        <w:tc>
          <w:tcPr>
            <w:tcW w:type="dxa" w:w="748"/>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Code</w:t>
            </w:r>
          </w:p>
        </w:tc>
        <w:tc>
          <w:tcPr>
            <w:tcW w:type="dxa" w:w="1252"/>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Multiplier</w:t>
            </w:r>
          </w:p>
        </w:tc>
        <w:tc>
          <w:tcPr>
            <w:tcW w:type="dxa" w:w="4378"/>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Rationale</w:t>
            </w:r>
          </w:p>
        </w:tc>
      </w:tr>
      <w:tr>
        <w:trPr>
          <w:cantSplit/>
          <w:tblHeader w:val="false"/>
        </w:trPr>
        <w:tc>
          <w:tcPr>
            <w:tcW w:type="dxa" w:w="336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SaaS Multi-Tenant Shared</w:t>
            </w:r>
          </w:p>
        </w:tc>
        <w:tc>
          <w:tcPr>
            <w:tcW w:type="dxa" w:w="74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DEP-1</w:t>
            </w:r>
          </w:p>
        </w:tc>
        <w:tc>
          <w:tcPr>
            <w:tcW w:type="dxa" w:w="125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1.0x</w:t>
            </w:r>
          </w:p>
        </w:tc>
        <w:tc>
          <w:tcPr>
            <w:tcW w:type="dxa" w:w="437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Lowest cost of delivery</w:t>
            </w:r>
          </w:p>
        </w:tc>
      </w:tr>
      <w:tr>
        <w:trPr>
          <w:cantSplit/>
          <w:tblHeader w:val="false"/>
        </w:trPr>
        <w:tc>
          <w:tcPr>
            <w:tcW w:type="dxa" w:w="336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Public Cloud Multi-Tenant Sub.</w:t>
            </w:r>
          </w:p>
        </w:tc>
        <w:tc>
          <w:tcPr>
            <w:tcW w:type="dxa" w:w="74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DEP-2</w:t>
            </w:r>
          </w:p>
        </w:tc>
        <w:tc>
          <w:tcPr>
            <w:tcW w:type="dxa" w:w="125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1.3x</w:t>
            </w:r>
          </w:p>
        </w:tc>
        <w:tc>
          <w:tcPr>
            <w:tcW w:type="dxa" w:w="437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Dedicated instance overhead</w:t>
            </w:r>
          </w:p>
        </w:tc>
      </w:tr>
      <w:tr>
        <w:trPr>
          <w:cantSplit/>
          <w:tblHeader w:val="false"/>
        </w:trPr>
        <w:tc>
          <w:tcPr>
            <w:tcW w:type="dxa" w:w="336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Public Cloud Single-Tenant Sub.</w:t>
            </w:r>
          </w:p>
        </w:tc>
        <w:tc>
          <w:tcPr>
            <w:tcW w:type="dxa" w:w="74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DEP-3</w:t>
            </w:r>
          </w:p>
        </w:tc>
        <w:tc>
          <w:tcPr>
            <w:tcW w:type="dxa" w:w="125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1.5x</w:t>
            </w:r>
          </w:p>
        </w:tc>
        <w:tc>
          <w:tcPr>
            <w:tcW w:type="dxa" w:w="437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Full dedicated infrastructure</w:t>
            </w:r>
          </w:p>
        </w:tc>
      </w:tr>
      <w:tr>
        <w:trPr>
          <w:cantSplit/>
          <w:tblHeader w:val="false"/>
        </w:trPr>
        <w:tc>
          <w:tcPr>
            <w:tcW w:type="dxa" w:w="336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Customer Private Cloud</w:t>
            </w:r>
          </w:p>
        </w:tc>
        <w:tc>
          <w:tcPr>
            <w:tcW w:type="dxa" w:w="74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DEP-4</w:t>
            </w:r>
          </w:p>
        </w:tc>
        <w:tc>
          <w:tcPr>
            <w:tcW w:type="dxa" w:w="125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2.0x</w:t>
            </w:r>
          </w:p>
        </w:tc>
        <w:tc>
          <w:tcPr>
            <w:tcW w:type="dxa" w:w="437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Customer tenancy, high support</w:t>
            </w:r>
          </w:p>
        </w:tc>
      </w:tr>
      <w:tr>
        <w:trPr>
          <w:cantSplit/>
          <w:tblHeader w:val="false"/>
        </w:trPr>
        <w:tc>
          <w:tcPr>
            <w:tcW w:type="dxa" w:w="336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Customer On-Prem (Data Center)</w:t>
            </w:r>
          </w:p>
        </w:tc>
        <w:tc>
          <w:tcPr>
            <w:tcW w:type="dxa" w:w="74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DEP-5</w:t>
            </w:r>
          </w:p>
        </w:tc>
        <w:tc>
          <w:tcPr>
            <w:tcW w:type="dxa" w:w="125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2.5x</w:t>
            </w:r>
          </w:p>
        </w:tc>
        <w:tc>
          <w:tcPr>
            <w:tcW w:type="dxa" w:w="437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Hardware, deployment, support</w:t>
            </w:r>
          </w:p>
        </w:tc>
      </w:tr>
      <w:tr>
        <w:trPr>
          <w:cantSplit/>
          <w:tblHeader w:val="false"/>
        </w:trPr>
        <w:tc>
          <w:tcPr>
            <w:tcW w:type="dxa" w:w="336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Hybrid (Cloud + On-Prem)</w:t>
            </w:r>
          </w:p>
        </w:tc>
        <w:tc>
          <w:tcPr>
            <w:tcW w:type="dxa" w:w="74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DEP-6</w:t>
            </w:r>
          </w:p>
        </w:tc>
        <w:tc>
          <w:tcPr>
            <w:tcW w:type="dxa" w:w="125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2.2x</w:t>
            </w:r>
          </w:p>
        </w:tc>
        <w:tc>
          <w:tcPr>
            <w:tcW w:type="dxa" w:w="437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Mixed infrastructure</w:t>
            </w:r>
          </w:p>
        </w:tc>
      </w:tr>
      <w:tr>
        <w:trPr>
          <w:cantSplit/>
          <w:tblHeader w:val="false"/>
        </w:trPr>
        <w:tc>
          <w:tcPr>
            <w:tcW w:type="dxa" w:w="336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On-Prem — Air-Gapped</w:t>
            </w:r>
          </w:p>
        </w:tc>
        <w:tc>
          <w:tcPr>
            <w:tcW w:type="dxa" w:w="74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DEP-7</w:t>
            </w:r>
          </w:p>
        </w:tc>
        <w:tc>
          <w:tcPr>
            <w:tcW w:type="dxa" w:w="125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4.0x</w:t>
            </w:r>
          </w:p>
        </w:tc>
        <w:tc>
          <w:tcPr>
            <w:tcW w:type="dxa" w:w="437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Full isolation, on-site support, upgrades</w:t>
            </w:r>
          </w:p>
        </w:tc>
      </w:tr>
    </w:tbl>
    <w:p>
      <w:pPr>
        <w:spacing w:after="160" w:before="0"/>
      </w:pPr>
    </w:p>
    <w:p>
      <w:pPr>
        <w:pStyle w:val="Heading2"/>
      </w:pPr>
      <w:bookmarkStart w:id="9057" w:name="_Toc100057"/>
      <w:r>
        <w:t xml:space="preserve">5.3 Full Pricing Matrix per Pack per Mode (USD/month)</w:t>
      </w:r>
      <w:bookmarkEnd w:id="9057"/>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044"/>
        <w:gridCol w:w="1044"/>
        <w:gridCol w:w="1044"/>
        <w:gridCol w:w="1044"/>
        <w:gridCol w:w="1044"/>
        <w:gridCol w:w="1044"/>
        <w:gridCol w:w="1048"/>
      </w:tblGrid>
      <w:tr>
        <w:trPr>
          <w:cantSplit/>
          <w:tblHeader/>
        </w:trPr>
        <w:tc>
          <w:tcPr>
            <w:tcW w:type="dxa" w:w="2434"/>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Pack ID</w:t>
            </w:r>
          </w:p>
        </w:tc>
        <w:tc>
          <w:tcPr>
            <w:tcW w:type="dxa" w:w="1044"/>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DEP-1</w:t>
            </w:r>
          </w:p>
        </w:tc>
        <w:tc>
          <w:tcPr>
            <w:tcW w:type="dxa" w:w="1044"/>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DEP-2</w:t>
            </w:r>
          </w:p>
        </w:tc>
        <w:tc>
          <w:tcPr>
            <w:tcW w:type="dxa" w:w="1044"/>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DEP-3</w:t>
            </w:r>
          </w:p>
        </w:tc>
        <w:tc>
          <w:tcPr>
            <w:tcW w:type="dxa" w:w="1044"/>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DEP-4</w:t>
            </w:r>
          </w:p>
        </w:tc>
        <w:tc>
          <w:tcPr>
            <w:tcW w:type="dxa" w:w="1044"/>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DEP-5</w:t>
            </w:r>
          </w:p>
        </w:tc>
        <w:tc>
          <w:tcPr>
            <w:tcW w:type="dxa" w:w="1044"/>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DEP-6</w:t>
            </w:r>
          </w:p>
        </w:tc>
        <w:tc>
          <w:tcPr>
            <w:tcW w:type="dxa" w:w="1048"/>
            <w:tcBorders>
              <w:top w:val="single" w:color="E3E3E4" w:sz="4"/>
              <w:left w:val="single" w:color="E3E3E4" w:sz="4"/>
              <w:bottom w:val="single" w:color="E3E3E4" w:sz="4"/>
              <w:right w:val="single" w:color="E3E3E4" w:sz="4"/>
            </w:tcBorders>
            <w:shd w:fill="F8931D" w:color="auto" w:val="clear"/>
            <w:tcMar>
              <w:top w:type="dxa" w:w="55"/>
              <w:left w:type="dxa" w:w="80"/>
              <w:bottom w:type="dxa" w:w="55"/>
              <w:right w:type="dxa" w:w="80"/>
            </w:tcMar>
            <w:vAlign w:val="center"/>
          </w:tcPr>
          <w:p>
            <w:pPr>
              <w:keepNext w:val="false"/>
              <w:spacing w:after="0" w:before="0" w:line="240"/>
              <w:jc w:val="left"/>
            </w:pPr>
            <w:r>
              <w:rPr>
                <w:rFonts w:ascii="Times New Roman" w:cs="Times New Roman" w:eastAsia="Times New Roman" w:hAnsi="Times New Roman"/>
                <w:b/>
                <w:bCs/>
                <w:color w:val="FFFFFF"/>
                <w:sz w:val="17"/>
                <w:szCs w:val="17"/>
              </w:rPr>
              <w:t xml:space="preserve">DEP-7</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DMS-SME</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$40</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$52</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$60</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$80</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$100</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$88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$160</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DMS-PRO</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$519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$998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$878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$1,596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DMS-ENT</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$2,599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$2,999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$3,998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$4,998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$4,398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$7,996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DMS-AUTO</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$699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$909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$1,049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$1,398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$1,748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$1,538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$2,796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DMS-LSCI</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$1,299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$1,689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$1,949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$2,598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$3,248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$2,858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$5,196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DMS-FOOD</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$699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$909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$1,049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$1,398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$1,748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$1,538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$2,796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DMS-PROC</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$1,299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$1,689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$1,949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$2,598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$3,248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$2,858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$5,196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DMS-AERO</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$2,599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$2,999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$3,998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$4,998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$4,398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$7,996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DMS-MARI</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$999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$1,299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$1,499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$2,498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$2,198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$3,996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DMS-CERT</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$519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$998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$878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$1,596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DMS-AI</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$1,039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$1,199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$1,598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$1,758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$3,196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DMS-ESG</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$779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$899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$1,198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$1,498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$1,318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$2,396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ADD-01 Mobile</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$129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$149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$248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$218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ADD-02 Voice</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$149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$194</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$224</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$373</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$328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$596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ADD-03 AR</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$389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$449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$748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$658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$1,196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ADD-04 eSign</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$103</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$119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$158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$174</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$316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ADD-05 Blockchain</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$519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$998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$878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$1,596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ADD-06 Supplier</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$259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$438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$796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ADD-07 Customer</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$149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$194</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$224</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$373</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$328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ADD-08 Low-Code</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$249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$324</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$374</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$623</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$548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$996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ADD-09 Market</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$129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$149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$248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$218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ADD-10 Twin</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$649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$749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$998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$1,248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$1,098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$1,996</w:t>
            </w:r>
          </w:p>
        </w:tc>
      </w:tr>
      <w:tr>
        <w:trPr>
          <w:cantSplit/>
          <w:tblHeader w:val="false"/>
        </w:trPr>
        <w:tc>
          <w:tcPr>
            <w:tcW w:type="dxa" w:w="243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ADD-11 VoC</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$259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$299</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$498</w:t>
            </w:r>
          </w:p>
        </w:tc>
        <w:tc>
          <w:tcPr>
            <w:tcW w:type="dxa" w:w="1044"/>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$438</w:t>
            </w:r>
          </w:p>
        </w:tc>
        <w:tc>
          <w:tcPr>
            <w:tcW w:type="dxa" w:w="1048"/>
            <w:tcBorders>
              <w:top w:val="single" w:color="E3E3E4" w:sz="4"/>
              <w:left w:val="single" w:color="E3E3E4" w:sz="4"/>
              <w:bottom w:val="single" w:color="E3E3E4" w:sz="4"/>
              <w:right w:val="single" w:color="E3E3E4" w:sz="4"/>
            </w:tcBorders>
            <w:shd w:fill="FFFFFF"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$796</w:t>
            </w:r>
          </w:p>
        </w:tc>
      </w:tr>
      <w:tr>
        <w:trPr>
          <w:cantSplit/>
          <w:tblHeader w:val="false"/>
        </w:trPr>
        <w:tc>
          <w:tcPr>
            <w:tcW w:type="dxa" w:w="243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ADD-12 IoT</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$299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$389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$449</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$598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$748</w:t>
            </w:r>
          </w:p>
        </w:tc>
        <w:tc>
          <w:tcPr>
            <w:tcW w:type="dxa" w:w="1044"/>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$658</w:t>
            </w:r>
          </w:p>
        </w:tc>
        <w:tc>
          <w:tcPr>
            <w:tcW w:type="dxa" w:w="1048"/>
            <w:tcBorders>
              <w:top w:val="single" w:color="E3E3E4" w:sz="4"/>
              <w:left w:val="single" w:color="E3E3E4" w:sz="4"/>
              <w:bottom w:val="single" w:color="E3E3E4" w:sz="4"/>
              <w:right w:val="single" w:color="E3E3E4" w:sz="4"/>
            </w:tcBorders>
            <w:shd w:fill="F2F2F3" w:color="auto" w:val="clear"/>
            <w:tcMar>
              <w:top w:type="dxa" w:w="55"/>
              <w:left w:type="dxa" w:w="80"/>
              <w:bottom w:type="dxa" w:w="55"/>
              <w:right w:type="dxa" w:w="80"/>
            </w:tcMar>
            <w:vAlign w:val="top"/>
          </w:tcPr>
          <w:p>
            <w:pPr>
              <w:keepNext w:val="false"/>
              <w:spacing w:after="0" w:before="0" w:line="240"/>
              <w:jc w:val="left"/>
            </w:pPr>
            <w:r>
              <w:rPr>
                <w:rFonts w:ascii="Times New Roman" w:cs="Times New Roman" w:eastAsia="Times New Roman" w:hAnsi="Times New Roman"/>
                <w:b w:val="false"/>
                <w:bCs w:val="false"/>
                <w:sz w:val="17"/>
                <w:szCs w:val="17"/>
              </w:rPr>
              <w:t xml:space="preserve">$1,196</w:t>
            </w:r>
          </w:p>
        </w:tc>
      </w:tr>
    </w:tbl>
    <w:p>
      <w:pPr>
        <w:spacing w:after="160" w:before="0"/>
      </w:pPr>
    </w:p>
    <w:p>
      <w:pPr>
        <w:pStyle w:val="Heading1"/>
        <w:pageBreakBefore/>
      </w:pPr>
      <w:bookmarkStart w:id="9058" w:name="_Toc100058"/>
      <w:r>
        <w:t xml:space="preserve">Part 6 — Bundling Recommendations</w:t>
      </w:r>
      <w:bookmarkEnd w:id="9058"/>
    </w:p>
    <w:p>
      <w:pPr>
        <w:pStyle w:val="Heading2"/>
      </w:pPr>
      <w:bookmarkStart w:id="9059" w:name="_Toc100059"/>
      <w:r>
        <w:t xml:space="preserve">6.1 Recommended Bundles per Segment</w:t>
      </w:r>
      <w:bookmarkEnd w:id="9059"/>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5994"/>
        <w:gridCol w:w="1822"/>
      </w:tblGrid>
      <w:tr>
        <w:trPr>
          <w:cantSplit/>
          <w:tblHeader/>
        </w:trPr>
        <w:tc>
          <w:tcPr>
            <w:tcW w:type="dxa" w:w="1930"/>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Segment</w:t>
            </w:r>
          </w:p>
        </w:tc>
        <w:tc>
          <w:tcPr>
            <w:tcW w:type="dxa" w:w="5994"/>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Recommended Bundle</w:t>
            </w:r>
          </w:p>
        </w:tc>
        <w:tc>
          <w:tcPr>
            <w:tcW w:type="dxa" w:w="1822"/>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DEP-1 Monthly Price</w:t>
            </w:r>
          </w:p>
        </w:tc>
      </w:tr>
      <w:tr>
        <w:trPr>
          <w:cantSplit/>
          <w:tblHeader w:val="false"/>
        </w:trPr>
        <w:tc>
          <w:tcPr>
            <w:tcW w:type="dxa" w:w="193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SME</w:t>
            </w:r>
          </w:p>
        </w:tc>
        <w:tc>
          <w:tcPr>
            <w:tcW w:type="dxa" w:w="59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DMS-SME + DMS-CERT + ADD-04</w:t>
            </w:r>
          </w:p>
        </w:tc>
        <w:tc>
          <w:tcPr>
            <w:tcW w:type="dxa" w:w="182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$518</w:t>
            </w:r>
          </w:p>
        </w:tc>
      </w:tr>
      <w:tr>
        <w:trPr>
          <w:cantSplit/>
          <w:tblHeader w:val="false"/>
        </w:trPr>
        <w:tc>
          <w:tcPr>
            <w:tcW w:type="dxa" w:w="193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Small Manufacturing</w:t>
            </w:r>
          </w:p>
        </w:tc>
        <w:tc>
          <w:tcPr>
            <w:tcW w:type="dxa" w:w="59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 DMS-AUTO + DMS-CERT + ADD-01</w:t>
            </w:r>
          </w:p>
        </w:tc>
        <w:tc>
          <w:tcPr>
            <w:tcW w:type="dxa" w:w="182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$1,596</w:t>
            </w:r>
          </w:p>
        </w:tc>
      </w:tr>
      <w:tr>
        <w:trPr>
          <w:cantSplit/>
          <w:tblHeader w:val="false"/>
        </w:trPr>
        <w:tc>
          <w:tcPr>
            <w:tcW w:type="dxa" w:w="193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Mid-Size Food</w:t>
            </w:r>
          </w:p>
        </w:tc>
        <w:tc>
          <w:tcPr>
            <w:tcW w:type="dxa" w:w="59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 DMS-FOOD + DMS-CERT + DMS-ESG + ADD-01 + ADD-06</w:t>
            </w:r>
          </w:p>
        </w:tc>
        <w:tc>
          <w:tcPr>
            <w:tcW w:type="dxa" w:w="182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$2,345</w:t>
            </w:r>
          </w:p>
        </w:tc>
      </w:tr>
      <w:tr>
        <w:trPr>
          <w:cantSplit/>
          <w:tblHeader w:val="false"/>
        </w:trPr>
        <w:tc>
          <w:tcPr>
            <w:tcW w:type="dxa" w:w="193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Large Automotive</w:t>
            </w:r>
          </w:p>
        </w:tc>
        <w:tc>
          <w:tcPr>
            <w:tcW w:type="dxa" w:w="59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 DMS-AUTO + DMS-AI + DMS-CERT + ADD-01 + ADD-03 + ADD-06 + ADD-12</w:t>
            </w:r>
          </w:p>
        </w:tc>
        <w:tc>
          <w:tcPr>
            <w:tcW w:type="dxa" w:w="182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$5,094</w:t>
            </w:r>
          </w:p>
        </w:tc>
      </w:tr>
      <w:tr>
        <w:trPr>
          <w:cantSplit/>
          <w:tblHeader w:val="false"/>
        </w:trPr>
        <w:tc>
          <w:tcPr>
            <w:tcW w:type="dxa" w:w="193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Pharma</w:t>
            </w:r>
          </w:p>
        </w:tc>
        <w:tc>
          <w:tcPr>
            <w:tcW w:type="dxa" w:w="59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 DMS-LSCI + DMS-AI + DMS-ESG + ADD-04 + ADD-05 + ADD-07</w:t>
            </w:r>
          </w:p>
        </w:tc>
        <w:tc>
          <w:tcPr>
            <w:tcW w:type="dxa" w:w="182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$6,044</w:t>
            </w:r>
          </w:p>
        </w:tc>
      </w:tr>
      <w:tr>
        <w:trPr>
          <w:cantSplit/>
          <w:tblHeader w:val="false"/>
        </w:trPr>
        <w:tc>
          <w:tcPr>
            <w:tcW w:type="dxa" w:w="193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Oil &amp; Gas</w:t>
            </w:r>
          </w:p>
        </w:tc>
        <w:tc>
          <w:tcPr>
            <w:tcW w:type="dxa" w:w="59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 DMS-PROC + DMS-AI + DMS-ESG + ADD-01 + ADD-10 + ADD-12</w:t>
            </w:r>
          </w:p>
        </w:tc>
        <w:tc>
          <w:tcPr>
            <w:tcW w:type="dxa" w:w="182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$7,094</w:t>
            </w:r>
          </w:p>
        </w:tc>
      </w:tr>
      <w:tr>
        <w:trPr>
          <w:cantSplit/>
          <w:tblHeader w:val="false"/>
        </w:trPr>
        <w:tc>
          <w:tcPr>
            <w:tcW w:type="dxa" w:w="1930"/>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Aerospace</w:t>
            </w:r>
          </w:p>
        </w:tc>
        <w:tc>
          <w:tcPr>
            <w:tcW w:type="dxa" w:w="599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 DMS-AERO + DMS-CERT + DMS-AI + ADD-05 + ADD-09</w:t>
            </w:r>
          </w:p>
        </w:tc>
        <w:tc>
          <w:tcPr>
            <w:tcW w:type="dxa" w:w="182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$6,395</w:t>
            </w:r>
          </w:p>
        </w:tc>
      </w:tr>
      <w:tr>
        <w:trPr>
          <w:cantSplit/>
          <w:tblHeader w:val="false"/>
        </w:trPr>
        <w:tc>
          <w:tcPr>
            <w:tcW w:type="dxa" w:w="193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Retail</w:t>
            </w:r>
          </w:p>
        </w:tc>
        <w:tc>
          <w:tcPr>
            <w:tcW w:type="dxa" w:w="599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 DMS-ESG + DMS-CERT + ADD-07 + ADD-11</w:t>
            </w:r>
          </w:p>
        </w:tc>
        <w:tc>
          <w:tcPr>
            <w:tcW w:type="dxa" w:w="182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$2,396</w:t>
            </w:r>
          </w:p>
        </w:tc>
      </w:tr>
    </w:tbl>
    <w:p>
      <w:pPr>
        <w:spacing w:after="160" w:before="0"/>
      </w:pPr>
    </w:p>
    <w:p>
      <w:pPr>
        <w:pStyle w:val="Heading2"/>
      </w:pPr>
      <w:bookmarkStart w:id="9060" w:name="_Toc100060"/>
      <w:r>
        <w:t xml:space="preserve">6.2 Bundle Discounts</w:t>
      </w:r>
      <w:bookmarkEnd w:id="9060"/>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01"/>
        <w:gridCol w:w="2645"/>
      </w:tblGrid>
      <w:tr>
        <w:trPr>
          <w:cantSplit/>
          <w:tblHeader/>
        </w:trPr>
        <w:tc>
          <w:tcPr>
            <w:tcW w:type="dxa" w:w="7101"/>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Bundle Type</w:t>
            </w:r>
          </w:p>
        </w:tc>
        <w:tc>
          <w:tcPr>
            <w:tcW w:type="dxa" w:w="2645"/>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Discount</w:t>
            </w:r>
          </w:p>
        </w:tc>
      </w:tr>
      <w:tr>
        <w:trPr>
          <w:cantSplit/>
          <w:tblHeader w:val="false"/>
        </w:trPr>
        <w:tc>
          <w:tcPr>
            <w:tcW w:type="dxa" w:w="71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Base Pack + 1 Industry Pack</w:t>
            </w:r>
          </w:p>
        </w:tc>
        <w:tc>
          <w:tcPr>
            <w:tcW w:type="dxa" w:w="2645"/>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5% off total</w:t>
            </w:r>
          </w:p>
        </w:tc>
      </w:tr>
      <w:tr>
        <w:trPr>
          <w:cantSplit/>
          <w:tblHeader w:val="false"/>
        </w:trPr>
        <w:tc>
          <w:tcPr>
            <w:tcW w:type="dxa" w:w="710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Base Pack + 1 Industry + 1 Capability</w:t>
            </w:r>
          </w:p>
        </w:tc>
        <w:tc>
          <w:tcPr>
            <w:tcW w:type="dxa" w:w="26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10% off total</w:t>
            </w:r>
          </w:p>
        </w:tc>
      </w:tr>
      <w:tr>
        <w:trPr>
          <w:cantSplit/>
          <w:tblHeader w:val="false"/>
        </w:trPr>
        <w:tc>
          <w:tcPr>
            <w:tcW w:type="dxa" w:w="71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Base Pack + 1 Industry + 2 Capabilities</w:t>
            </w:r>
          </w:p>
        </w:tc>
        <w:tc>
          <w:tcPr>
            <w:tcW w:type="dxa" w:w="2645"/>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15% off total</w:t>
            </w:r>
          </w:p>
        </w:tc>
      </w:tr>
      <w:tr>
        <w:trPr>
          <w:cantSplit/>
          <w:tblHeader w:val="false"/>
        </w:trPr>
        <w:tc>
          <w:tcPr>
            <w:tcW w:type="dxa" w:w="710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Base Pack + 2 Industry + 2 Capabilities</w:t>
            </w:r>
          </w:p>
        </w:tc>
        <w:tc>
          <w:tcPr>
            <w:tcW w:type="dxa" w:w="2645"/>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20% off total</w:t>
            </w:r>
          </w:p>
        </w:tc>
      </w:tr>
      <w:tr>
        <w:trPr>
          <w:cantSplit/>
          <w:tblHeader w:val="false"/>
        </w:trPr>
        <w:tc>
          <w:tcPr>
            <w:tcW w:type="dxa" w:w="710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Enterprise Agreement (3-year)</w:t>
            </w:r>
          </w:p>
        </w:tc>
        <w:tc>
          <w:tcPr>
            <w:tcW w:type="dxa" w:w="2645"/>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25% off total</w:t>
            </w:r>
          </w:p>
        </w:tc>
      </w:tr>
    </w:tbl>
    <w:p>
      <w:pPr>
        <w:spacing w:after="160" w:before="0"/>
      </w:pPr>
    </w:p>
    <w:p>
      <w:pPr>
        <w:pStyle w:val="Heading2"/>
      </w:pPr>
      <w:bookmarkStart w:id="9061" w:name="_Toc100061"/>
      <w:r>
        <w:t xml:space="preserve">6.3 Enterprise Agreement Structures</w:t>
      </w:r>
      <w:bookmarkEnd w:id="906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1"/>
        <w:gridCol w:w="1482"/>
        <w:gridCol w:w="1611"/>
        <w:gridCol w:w="2779"/>
        <w:gridCol w:w="2003"/>
      </w:tblGrid>
      <w:tr>
        <w:trPr>
          <w:cantSplit/>
          <w:tblHeader/>
        </w:trPr>
        <w:tc>
          <w:tcPr>
            <w:tcW w:type="dxa" w:w="1871"/>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Tier</w:t>
            </w:r>
          </w:p>
        </w:tc>
        <w:tc>
          <w:tcPr>
            <w:tcW w:type="dxa" w:w="1482"/>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Users</w:t>
            </w:r>
          </w:p>
        </w:tc>
        <w:tc>
          <w:tcPr>
            <w:tcW w:type="dxa" w:w="1611"/>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Commitment</w:t>
            </w:r>
          </w:p>
        </w:tc>
        <w:tc>
          <w:tcPr>
            <w:tcW w:type="dxa" w:w="2779"/>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Discount</w:t>
            </w:r>
          </w:p>
        </w:tc>
        <w:tc>
          <w:tcPr>
            <w:tcW w:type="dxa" w:w="2003"/>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SLA</w:t>
            </w:r>
          </w:p>
        </w:tc>
      </w:tr>
      <w:tr>
        <w:trPr>
          <w:cantSplit/>
          <w:tblHeader w:val="false"/>
        </w:trPr>
        <w:tc>
          <w:tcPr>
            <w:tcW w:type="dxa" w:w="18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Standard</w:t>
            </w:r>
          </w:p>
        </w:tc>
        <w:tc>
          <w:tcPr>
            <w:tcW w:type="dxa" w:w="148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Up to 100</w:t>
            </w:r>
          </w:p>
        </w:tc>
        <w:tc>
          <w:tcPr>
            <w:tcW w:type="dxa" w:w="161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Annual</w:t>
            </w:r>
          </w:p>
        </w:tc>
        <w:tc>
          <w:tcPr>
            <w:tcW w:type="dxa" w:w="277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15%</w:t>
            </w:r>
          </w:p>
        </w:tc>
        <w:tc>
          <w:tcPr>
            <w:tcW w:type="dxa" w:w="200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99.5% uptime</w:t>
            </w:r>
          </w:p>
        </w:tc>
      </w:tr>
      <w:tr>
        <w:trPr>
          <w:cantSplit/>
          <w:tblHeader w:val="false"/>
        </w:trPr>
        <w:tc>
          <w:tcPr>
            <w:tcW w:type="dxa" w:w="187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Professional</w:t>
            </w:r>
          </w:p>
        </w:tc>
        <w:tc>
          <w:tcPr>
            <w:tcW w:type="dxa" w:w="148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101–500</w:t>
            </w:r>
          </w:p>
        </w:tc>
        <w:tc>
          <w:tcPr>
            <w:tcW w:type="dxa" w:w="161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Annual</w:t>
            </w:r>
          </w:p>
        </w:tc>
        <w:tc>
          <w:tcPr>
            <w:tcW w:type="dxa" w:w="277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20%</w:t>
            </w:r>
          </w:p>
        </w:tc>
        <w:tc>
          <w:tcPr>
            <w:tcW w:type="dxa" w:w="200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99.9% uptime</w:t>
            </w:r>
          </w:p>
        </w:tc>
      </w:tr>
      <w:tr>
        <w:trPr>
          <w:cantSplit/>
          <w:tblHeader w:val="false"/>
        </w:trPr>
        <w:tc>
          <w:tcPr>
            <w:tcW w:type="dxa" w:w="187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Enterprise</w:t>
            </w:r>
          </w:p>
        </w:tc>
        <w:tc>
          <w:tcPr>
            <w:tcW w:type="dxa" w:w="1482"/>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501–2,000</w:t>
            </w:r>
          </w:p>
        </w:tc>
        <w:tc>
          <w:tcPr>
            <w:tcW w:type="dxa" w:w="1611"/>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3-year</w:t>
            </w:r>
          </w:p>
        </w:tc>
        <w:tc>
          <w:tcPr>
            <w:tcW w:type="dxa" w:w="2779"/>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25%</w:t>
            </w:r>
          </w:p>
        </w:tc>
        <w:tc>
          <w:tcPr>
            <w:tcW w:type="dxa" w:w="2003"/>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99.95% uptime</w:t>
            </w:r>
          </w:p>
        </w:tc>
      </w:tr>
      <w:tr>
        <w:trPr>
          <w:cantSplit/>
          <w:tblHeader w:val="false"/>
        </w:trPr>
        <w:tc>
          <w:tcPr>
            <w:tcW w:type="dxa" w:w="187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Global</w:t>
            </w:r>
          </w:p>
        </w:tc>
        <w:tc>
          <w:tcPr>
            <w:tcW w:type="dxa" w:w="1482"/>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2,000+</w:t>
            </w:r>
          </w:p>
        </w:tc>
        <w:tc>
          <w:tcPr>
            <w:tcW w:type="dxa" w:w="1611"/>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3-year</w:t>
            </w:r>
          </w:p>
        </w:tc>
        <w:tc>
          <w:tcPr>
            <w:tcW w:type="dxa" w:w="2779"/>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30% + dedicated CSM</w:t>
            </w:r>
          </w:p>
        </w:tc>
        <w:tc>
          <w:tcPr>
            <w:tcW w:type="dxa" w:w="2003"/>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99.99% uptime</w:t>
            </w:r>
          </w:p>
        </w:tc>
      </w:tr>
    </w:tbl>
    <w:p>
      <w:pPr>
        <w:spacing w:after="160" w:before="0"/>
      </w:pPr>
    </w:p>
    <w:p>
      <w:pPr>
        <w:pStyle w:val="Heading1"/>
        <w:pageBreakBefore/>
      </w:pPr>
      <w:bookmarkStart w:id="9062" w:name="_Toc100062"/>
      <w:r>
        <w:t xml:space="preserve">Part 7 — Customer Profile &amp; Value Fit</w:t>
      </w:r>
      <w:bookmarkEnd w:id="9062"/>
    </w:p>
    <w:p>
      <w:pPr>
        <w:pStyle w:val="Heading2"/>
      </w:pPr>
      <w:bookmarkStart w:id="9063" w:name="_Toc100063"/>
      <w:r>
        <w:t xml:space="preserve">7.1 Customer Behavior, Pain Points &amp; Hopes per Segment Cluster</w:t>
      </w:r>
      <w:bookmarkEnd w:id="9063"/>
    </w:p>
    <w:p>
      <w:pPr>
        <w:pStyle w:val="Heading3"/>
      </w:pPr>
      <w:bookmarkStart w:id="9064" w:name="_Toc100064"/>
      <w:r>
        <w:t xml:space="preserve">SME Cluster (V-30)</w:t>
      </w:r>
      <w:bookmarkEnd w:id="9064"/>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146"/>
      </w:tblGrid>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Owner-operated; cost-conscious; multi-role employees; informal processes; growth-driven</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Pain Points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No QHSE staff; complex enterprise tools; manual compliance; fear of audits</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Hopes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Fast certification; low cost; digital tribal knowledge; scale without breaking</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Pack Fit</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DMS-SME at $40/mo with optional DMS-CERT and DMS-AI</w:t>
            </w:r>
          </w:p>
        </w:tc>
      </w:tr>
    </w:tbl>
    <w:p>
      <w:pPr>
        <w:spacing w:after="160" w:before="0"/>
      </w:pPr>
    </w:p>
    <w:p>
      <w:pPr>
        <w:pStyle w:val="Heading3"/>
      </w:pPr>
      <w:bookmarkStart w:id="9065" w:name="_Toc100065"/>
      <w:r>
        <w:t xml:space="preserve">Professional Cluster (MFG, ELE, AEC, CON, RET, DST, LOG, RFA, TEL, SSE, PED, PUED)</w:t>
      </w:r>
      <w:bookmarkEnd w:id="9065"/>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146"/>
      </w:tblGrid>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Process-driven; ISO-certified; multi-site; efficiency-focused</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Pain Points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Fragmented QHSE; disconnected standards; manual audits; high certification cost</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Hopes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Unified IMS; real-time visibility; automated audit readiness</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Pack Fit</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at $399/mo + 1 Industry Pack + 1–2 Capability Packs</w:t>
            </w:r>
          </w:p>
        </w:tc>
      </w:tr>
    </w:tbl>
    <w:p>
      <w:pPr>
        <w:spacing w:after="160" w:before="0"/>
      </w:pPr>
    </w:p>
    <w:p>
      <w:pPr>
        <w:pStyle w:val="Heading3"/>
      </w:pPr>
      <w:bookmarkStart w:id="9066" w:name="_Toc100066"/>
      <w:r>
        <w:t xml:space="preserve">Enterprise Regulated Cluster (AER, HLS, PHM, PHA, ENG, PCH, SHB, SEM, HCA)</w:t>
      </w:r>
      <w:bookmarkEnd w:id="9066"/>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146"/>
      </w:tblGrid>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Highly regulated; multi-national; complex supply chains; audit-intensive</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Pain Points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Multiple certifications; regulatory scrutiny; enterprise system silos</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Hopes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Single source of truth; predictive risk; regulatory foresight; full traceability</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Pack Fit</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at $1,999/mo + 1–2 Industry Packs + 2–3 Capability Packs</w:t>
            </w:r>
          </w:p>
        </w:tc>
      </w:tr>
    </w:tbl>
    <w:p>
      <w:pPr>
        <w:spacing w:after="160" w:before="0"/>
      </w:pPr>
    </w:p>
    <w:p>
      <w:pPr>
        <w:pStyle w:val="Heading3"/>
      </w:pPr>
      <w:bookmarkStart w:id="9067" w:name="_Toc100067"/>
      <w:r>
        <w:t xml:space="preserve">Automotive Cluster (AUT, IND, SEM, FAB, MFG)</w:t>
      </w:r>
      <w:bookmarkEnd w:id="9067"/>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146"/>
      </w:tblGrid>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Safety-critical; high-volume; IATF/ISO 26262-driven; PPM/OTD-obsessed</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Pain Points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Functional safety; ASPICE; supplier PPM; conflict minerals</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Hopes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Zero defects; ASIL/SIL compliance; multi-tier visibility</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Pack Fit</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 DMS-AUTO + DMS-AI + ADD-03, ADD-06, ADD-12</w:t>
            </w:r>
          </w:p>
        </w:tc>
      </w:tr>
    </w:tbl>
    <w:p>
      <w:pPr>
        <w:spacing w:after="160" w:before="0"/>
      </w:pPr>
    </w:p>
    <w:p>
      <w:pPr>
        <w:pStyle w:val="Heading3"/>
      </w:pPr>
      <w:bookmarkStart w:id="9068" w:name="_Toc100068"/>
      <w:r>
        <w:t xml:space="preserve">Life Sciences Cluster (HLS, PHM, PHA, HCA)</w:t>
      </w:r>
      <w:bookmarkEnd w:id="9068"/>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146"/>
      </w:tblGrid>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FDA/MDR/JCI-driven; zero tolerance for patient risk; audit-intensive</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Pain Points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Data integrity; CSV; cleanroom; adverse events; OOS</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Hopes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Always audit-ready; zero 483s; MDR compliance; patient safety</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Pack Fit</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 DMS-LSCI + DMS-AI + DMS-ESG + ADD-04, ADD-05</w:t>
            </w:r>
          </w:p>
        </w:tc>
      </w:tr>
    </w:tbl>
    <w:p>
      <w:pPr>
        <w:spacing w:after="160" w:before="0"/>
      </w:pPr>
    </w:p>
    <w:p>
      <w:pPr>
        <w:pStyle w:val="Heading3"/>
      </w:pPr>
      <w:bookmarkStart w:id="9069" w:name="_Toc100069"/>
      <w:r>
        <w:t xml:space="preserve">Food &amp; CPG Cluster (FNB, CPG, PCI, PPG)</w:t>
      </w:r>
      <w:bookmarkEnd w:id="9069"/>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146"/>
      </w:tblGrid>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HACCP/FSSC-driven; recall-sensitive; supply chain intensive</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Pain Points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Allergen; foreign body; supplier verification; FSMA/FSVP</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Hopes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Zero recalls; full traceability; GFSI certification</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Pack Fit</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 + DMS-FOOD + DMS-ESG + ADD-01, ADD-06</w:t>
            </w:r>
          </w:p>
        </w:tc>
      </w:tr>
    </w:tbl>
    <w:p>
      <w:pPr>
        <w:spacing w:after="160" w:before="0"/>
      </w:pPr>
    </w:p>
    <w:p>
      <w:pPr>
        <w:pStyle w:val="Heading3"/>
      </w:pPr>
      <w:bookmarkStart w:id="9070" w:name="_Toc100070"/>
      <w:r>
        <w:t xml:space="preserve">Process &amp; Energy Cluster (ENG, PCH, INF)</w:t>
      </w:r>
      <w:bookmarkEnd w:id="9070"/>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146"/>
      </w:tblGrid>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OSHA PSM/NERC CIP-driven; asset-intensive; safety-critical</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Pain Points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PSM; mechanical integrity; NERC CIP; water efficiency</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Hopes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Zero process safety incidents; asset reliability; ESG</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Pack Fit</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 DMS-PROC + DMS-AI + DMS-ESG + ADD-01, ADD-10, ADD-12</w:t>
            </w:r>
          </w:p>
        </w:tc>
      </w:tr>
    </w:tbl>
    <w:p>
      <w:pPr>
        <w:spacing w:after="160" w:before="0"/>
      </w:pPr>
    </w:p>
    <w:p>
      <w:pPr>
        <w:pStyle w:val="Heading3"/>
      </w:pPr>
      <w:bookmarkStart w:id="9071" w:name="_Toc100071"/>
      <w:r>
        <w:t xml:space="preserve">Aerospace Cluster (AER)</w:t>
      </w:r>
      <w:bookmarkEnd w:id="907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146"/>
      </w:tblGrid>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AS9100D/NADCAP-driven; ITAR-sensitive; national security</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Pain Points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ITAR/EAR; NADCAP audits; counterfeit parts; CMMC</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Hopes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Zero non-conformances; ITAR compliance; certification dominance</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Pack Fit</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 DMS-AERO + DMS-AI + ADD-05, ADD-09</w:t>
            </w:r>
          </w:p>
        </w:tc>
      </w:tr>
    </w:tbl>
    <w:p>
      <w:pPr>
        <w:spacing w:after="160" w:before="0"/>
      </w:pPr>
    </w:p>
    <w:p>
      <w:pPr>
        <w:pStyle w:val="Heading3"/>
      </w:pPr>
      <w:bookmarkStart w:id="9072" w:name="_Toc100072"/>
      <w:r>
        <w:t xml:space="preserve">Maritime Cluster (SHB)</w:t>
      </w:r>
      <w:bookmarkEnd w:id="9072"/>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146"/>
      </w:tblGrid>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Behavior</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SOLAS/MARPOL/IACS-driven; classification-society dependent</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Pain Points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IMO compliance; welding quality; marine pollution</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bCs/>
                <w:color w:val="3A3A3C"/>
                <w:sz w:val="19"/>
                <w:szCs w:val="19"/>
              </w:rPr>
              <w:t xml:space="preserve">Hopes</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spacing w:after="0" w:before="0" w:line="240"/>
              <w:jc w:val="left"/>
            </w:pPr>
            <w:r>
              <w:rPr>
                <w:rFonts w:ascii="Times New Roman" w:cs="Times New Roman" w:eastAsia="Times New Roman" w:hAnsi="Times New Roman"/>
                <w:b w:val="false"/>
                <w:bCs w:val="false"/>
                <w:sz w:val="19"/>
                <w:szCs w:val="19"/>
              </w:rPr>
              <w:t xml:space="preserve">Zero detentions; IACS classification; on-time delivery</w:t>
            </w:r>
          </w:p>
        </w:tc>
      </w:tr>
      <w:tr>
        <w:trPr>
          <w:cantSplit/>
          <w:tblHeader w:val="false"/>
        </w:trPr>
        <w:tc>
          <w:tcPr>
            <w:tcW w:type="dxa" w:w="1600"/>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bCs/>
                <w:color w:val="3A3A3C"/>
                <w:sz w:val="19"/>
                <w:szCs w:val="19"/>
              </w:rPr>
              <w:t xml:space="preserve">Pack Fit</w:t>
            </w:r>
          </w:p>
        </w:tc>
        <w:tc>
          <w:tcPr>
            <w:tcW w:type="dxa" w:w="8146"/>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 + DMS-MARI + DMS-ESG + ADD-01</w:t>
            </w:r>
          </w:p>
        </w:tc>
      </w:tr>
    </w:tbl>
    <w:p>
      <w:pPr>
        <w:spacing w:after="160" w:before="0"/>
      </w:pPr>
    </w:p>
    <w:p>
      <w:pPr>
        <w:pStyle w:val="Heading2"/>
      </w:pPr>
      <w:bookmarkStart w:id="9073" w:name="_Toc100073"/>
      <w:r>
        <w:t xml:space="preserve">7.2 Pack Fit Summary</w:t>
      </w:r>
      <w:bookmarkEnd w:id="9073"/>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4"/>
        <w:gridCol w:w="5518"/>
        <w:gridCol w:w="3064"/>
      </w:tblGrid>
      <w:tr>
        <w:trPr>
          <w:cantSplit/>
          <w:tblHeader/>
        </w:trPr>
        <w:tc>
          <w:tcPr>
            <w:tcW w:type="dxa" w:w="1164"/>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Pack</w:t>
            </w:r>
          </w:p>
        </w:tc>
        <w:tc>
          <w:tcPr>
            <w:tcW w:type="dxa" w:w="5518"/>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Best-Fit Customer Profile</w:t>
            </w:r>
          </w:p>
        </w:tc>
        <w:tc>
          <w:tcPr>
            <w:tcW w:type="dxa" w:w="3064"/>
            <w:tcBorders>
              <w:top w:val="single" w:color="E3E3E4" w:sz="4"/>
              <w:left w:val="single" w:color="E3E3E4" w:sz="4"/>
              <w:bottom w:val="single" w:color="E3E3E4" w:sz="4"/>
              <w:right w:val="single" w:color="E3E3E4" w:sz="4"/>
            </w:tcBorders>
            <w:shd w:fill="F8931D" w:color="auto" w:val="clear"/>
            <w:tcMar>
              <w:top w:type="dxa" w:w="55"/>
              <w:left w:type="dxa" w:w="100"/>
              <w:bottom w:type="dxa" w:w="55"/>
              <w:right w:type="dxa" w:w="100"/>
            </w:tcMar>
            <w:vAlign w:val="center"/>
          </w:tcPr>
          <w:p>
            <w:pPr>
              <w:keepNext w:val="false"/>
              <w:spacing w:after="0" w:before="0" w:line="240"/>
              <w:jc w:val="left"/>
            </w:pPr>
            <w:r>
              <w:rPr>
                <w:rFonts w:ascii="Times New Roman" w:cs="Times New Roman" w:eastAsia="Times New Roman" w:hAnsi="Times New Roman"/>
                <w:b/>
                <w:bCs/>
                <w:color w:val="FFFFFF"/>
                <w:sz w:val="19"/>
                <w:szCs w:val="19"/>
              </w:rPr>
              <w:t xml:space="preserve">Typical Deal Size (DEP-1)</w:t>
            </w:r>
          </w:p>
        </w:tc>
      </w:tr>
      <w:tr>
        <w:trPr>
          <w:cantSplit/>
          <w:tblHeader w:val="false"/>
        </w:trPr>
        <w:tc>
          <w:tcPr>
            <w:tcW w:type="dxa" w:w="11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DMS-SME</w:t>
            </w:r>
          </w:p>
        </w:tc>
        <w:tc>
          <w:tcPr>
            <w:tcW w:type="dxa" w:w="551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Owner-operated SMEs seeking first certification</w:t>
            </w:r>
          </w:p>
        </w:tc>
        <w:tc>
          <w:tcPr>
            <w:tcW w:type="dxa" w:w="30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$40–$200/mo</w:t>
            </w:r>
          </w:p>
        </w:tc>
      </w:tr>
      <w:tr>
        <w:trPr>
          <w:cantSplit/>
          <w:tblHeader w:val="false"/>
        </w:trPr>
        <w:tc>
          <w:tcPr>
            <w:tcW w:type="dxa" w:w="11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w:t>
            </w:r>
          </w:p>
        </w:tc>
        <w:tc>
          <w:tcPr>
            <w:tcW w:type="dxa" w:w="551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Multi-site, ISO-certified mid-market</w:t>
            </w:r>
          </w:p>
        </w:tc>
        <w:tc>
          <w:tcPr>
            <w:tcW w:type="dxa" w:w="30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$800–$2,500/mo</w:t>
            </w:r>
          </w:p>
        </w:tc>
      </w:tr>
      <w:tr>
        <w:trPr>
          <w:cantSplit/>
          <w:tblHeader w:val="false"/>
        </w:trPr>
        <w:tc>
          <w:tcPr>
            <w:tcW w:type="dxa" w:w="11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DMS-ENT</w:t>
            </w:r>
          </w:p>
        </w:tc>
        <w:tc>
          <w:tcPr>
            <w:tcW w:type="dxa" w:w="551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Regulated, multi-national enterprises</w:t>
            </w:r>
          </w:p>
        </w:tc>
        <w:tc>
          <w:tcPr>
            <w:tcW w:type="dxa" w:w="30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$3,500–$15,000/mo</w:t>
            </w:r>
          </w:p>
        </w:tc>
      </w:tr>
      <w:tr>
        <w:trPr>
          <w:cantSplit/>
          <w:tblHeader w:val="false"/>
        </w:trPr>
        <w:tc>
          <w:tcPr>
            <w:tcW w:type="dxa" w:w="11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DMS-AUTO</w:t>
            </w:r>
          </w:p>
        </w:tc>
        <w:tc>
          <w:tcPr>
            <w:tcW w:type="dxa" w:w="551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Automotive, industrial, manufacturing</w:t>
            </w:r>
          </w:p>
        </w:tc>
        <w:tc>
          <w:tcPr>
            <w:tcW w:type="dxa" w:w="30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+$699/mo</w:t>
            </w:r>
          </w:p>
        </w:tc>
      </w:tr>
      <w:tr>
        <w:trPr>
          <w:cantSplit/>
          <w:tblHeader w:val="false"/>
        </w:trPr>
        <w:tc>
          <w:tcPr>
            <w:tcW w:type="dxa" w:w="11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DMS-LSCI</w:t>
            </w:r>
          </w:p>
        </w:tc>
        <w:tc>
          <w:tcPr>
            <w:tcW w:type="dxa" w:w="551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Pharma, medical device, healthcare</w:t>
            </w:r>
          </w:p>
        </w:tc>
        <w:tc>
          <w:tcPr>
            <w:tcW w:type="dxa" w:w="30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+$1,299/mo</w:t>
            </w:r>
          </w:p>
        </w:tc>
      </w:tr>
      <w:tr>
        <w:trPr>
          <w:cantSplit/>
          <w:tblHeader w:val="false"/>
        </w:trPr>
        <w:tc>
          <w:tcPr>
            <w:tcW w:type="dxa" w:w="11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DMS-FOOD</w:t>
            </w:r>
          </w:p>
        </w:tc>
        <w:tc>
          <w:tcPr>
            <w:tcW w:type="dxa" w:w="551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Food, beverage, CPG</w:t>
            </w:r>
          </w:p>
        </w:tc>
        <w:tc>
          <w:tcPr>
            <w:tcW w:type="dxa" w:w="30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+$699/mo</w:t>
            </w:r>
          </w:p>
        </w:tc>
      </w:tr>
      <w:tr>
        <w:trPr>
          <w:cantSplit/>
          <w:tblHeader w:val="false"/>
        </w:trPr>
        <w:tc>
          <w:tcPr>
            <w:tcW w:type="dxa" w:w="11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DMS-PROC</w:t>
            </w:r>
          </w:p>
        </w:tc>
        <w:tc>
          <w:tcPr>
            <w:tcW w:type="dxa" w:w="551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Energy, petrochemical, infrastructure</w:t>
            </w:r>
          </w:p>
        </w:tc>
        <w:tc>
          <w:tcPr>
            <w:tcW w:type="dxa" w:w="30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+$1,299/mo</w:t>
            </w:r>
          </w:p>
        </w:tc>
      </w:tr>
      <w:tr>
        <w:trPr>
          <w:cantSplit/>
          <w:tblHeader w:val="false"/>
        </w:trPr>
        <w:tc>
          <w:tcPr>
            <w:tcW w:type="dxa" w:w="11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DMS-AERO</w:t>
            </w:r>
          </w:p>
        </w:tc>
        <w:tc>
          <w:tcPr>
            <w:tcW w:type="dxa" w:w="551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Aerospace, defense</w:t>
            </w:r>
          </w:p>
        </w:tc>
        <w:tc>
          <w:tcPr>
            <w:tcW w:type="dxa" w:w="30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+$1,999/mo</w:t>
            </w:r>
          </w:p>
        </w:tc>
      </w:tr>
      <w:tr>
        <w:trPr>
          <w:cantSplit/>
          <w:tblHeader w:val="false"/>
        </w:trPr>
        <w:tc>
          <w:tcPr>
            <w:tcW w:type="dxa" w:w="11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DMS-MARI</w:t>
            </w:r>
          </w:p>
        </w:tc>
        <w:tc>
          <w:tcPr>
            <w:tcW w:type="dxa" w:w="551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Shipbuilding, maritime</w:t>
            </w:r>
          </w:p>
        </w:tc>
        <w:tc>
          <w:tcPr>
            <w:tcW w:type="dxa" w:w="30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+$999/mo</w:t>
            </w:r>
          </w:p>
        </w:tc>
      </w:tr>
      <w:tr>
        <w:trPr>
          <w:cantSplit/>
          <w:tblHeader w:val="false"/>
        </w:trPr>
        <w:tc>
          <w:tcPr>
            <w:tcW w:type="dxa" w:w="11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DMS-CERT</w:t>
            </w:r>
          </w:p>
        </w:tc>
        <w:tc>
          <w:tcPr>
            <w:tcW w:type="dxa" w:w="551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Any segment seeking certification</w:t>
            </w:r>
          </w:p>
        </w:tc>
        <w:tc>
          <w:tcPr>
            <w:tcW w:type="dxa" w:w="30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+$399/mo</w:t>
            </w:r>
          </w:p>
        </w:tc>
      </w:tr>
      <w:tr>
        <w:trPr>
          <w:cantSplit/>
          <w:tblHeader w:val="false"/>
        </w:trPr>
        <w:tc>
          <w:tcPr>
            <w:tcW w:type="dxa" w:w="11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DMS-AI</w:t>
            </w:r>
          </w:p>
        </w:tc>
        <w:tc>
          <w:tcPr>
            <w:tcW w:type="dxa" w:w="5518"/>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Data-driven, innovation-focused</w:t>
            </w:r>
          </w:p>
        </w:tc>
        <w:tc>
          <w:tcPr>
            <w:tcW w:type="dxa" w:w="3064"/>
            <w:tcBorders>
              <w:top w:val="single" w:color="E3E3E4" w:sz="4"/>
              <w:left w:val="single" w:color="E3E3E4" w:sz="4"/>
              <w:bottom w:val="single" w:color="E3E3E4" w:sz="4"/>
              <w:right w:val="single" w:color="E3E3E4" w:sz="4"/>
            </w:tcBorders>
            <w:shd w:fill="FFFFFF"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+$799/mo</w:t>
            </w:r>
          </w:p>
        </w:tc>
      </w:tr>
      <w:tr>
        <w:trPr>
          <w:cantSplit/>
          <w:tblHeader w:val="false"/>
        </w:trPr>
        <w:tc>
          <w:tcPr>
            <w:tcW w:type="dxa" w:w="11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DMS-ESG</w:t>
            </w:r>
          </w:p>
        </w:tc>
        <w:tc>
          <w:tcPr>
            <w:tcW w:type="dxa" w:w="5518"/>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Investor/customer-driven ESG</w:t>
            </w:r>
          </w:p>
        </w:tc>
        <w:tc>
          <w:tcPr>
            <w:tcW w:type="dxa" w:w="3064"/>
            <w:tcBorders>
              <w:top w:val="single" w:color="E3E3E4" w:sz="4"/>
              <w:left w:val="single" w:color="E3E3E4" w:sz="4"/>
              <w:bottom w:val="single" w:color="E3E3E4" w:sz="4"/>
              <w:right w:val="single" w:color="E3E3E4" w:sz="4"/>
            </w:tcBorders>
            <w:shd w:fill="F2F2F3" w:color="auto" w:val="clear"/>
            <w:tcMar>
              <w:top w:type="dxa" w:w="55"/>
              <w:left w:type="dxa" w:w="100"/>
              <w:bottom w:type="dxa" w:w="55"/>
              <w:right w:type="dxa" w:w="100"/>
            </w:tcMar>
            <w:vAlign w:val="top"/>
          </w:tcPr>
          <w:p>
            <w:pPr>
              <w:keepNext w:val="false"/>
              <w:spacing w:after="0" w:before="0" w:line="240"/>
              <w:jc w:val="left"/>
            </w:pPr>
            <w:r>
              <w:rPr>
                <w:rFonts w:ascii="Times New Roman" w:cs="Times New Roman" w:eastAsia="Times New Roman" w:hAnsi="Times New Roman"/>
                <w:b w:val="false"/>
                <w:bCs w:val="false"/>
                <w:sz w:val="19"/>
                <w:szCs w:val="19"/>
              </w:rPr>
              <w:t xml:space="preserve">+$599/mo</w:t>
            </w:r>
          </w:p>
        </w:tc>
      </w:tr>
    </w:tbl>
    <w:p>
      <w:pPr>
        <w:spacing w:after="160" w:before="0"/>
      </w:pPr>
    </w:p>
    <w:p>
      <w:pPr>
        <w:spacing w:after="0" w:before="2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8931D" w:sz="18"/>
              <w:left w:val="none" w:color="FFFFFF" w:sz="0"/>
              <w:bottom w:val="none" w:color="FFFFFF" w:sz="0"/>
              <w:right w:val="none" w:color="FFFFFF" w:sz="0"/>
            </w:tcBorders>
            <w:shd w:fill="FDEEDA" w:color="auto" w:val="clear"/>
            <w:tcMar>
              <w:top w:type="dxa" w:w="240"/>
              <w:left w:type="dxa" w:w="300"/>
              <w:bottom w:type="dxa" w:w="240"/>
              <w:right w:type="dxa" w:w="300"/>
            </w:tcMar>
          </w:tcPr>
          <w:p>
            <w:pPr>
              <w:spacing w:after="100"/>
              <w:jc w:val="center"/>
            </w:pPr>
            <w:r>
              <w:rPr>
                <w:rFonts w:ascii="Times New Roman" w:cs="Times New Roman" w:eastAsia="Times New Roman" w:hAnsi="Times New Roman"/>
                <w:b/>
                <w:bCs/>
                <w:color w:val="E07B00"/>
                <w:sz w:val="28"/>
                <w:szCs w:val="28"/>
              </w:rPr>
              <w:t xml:space="preserve">DynamicMS Commercial Architecture — Version 1.0</w:t>
            </w:r>
          </w:p>
          <w:p>
            <w:pPr>
              <w:jc w:val="center"/>
            </w:pPr>
            <w:r>
              <w:rPr>
                <w:rFonts w:ascii="Times New Roman" w:cs="Times New Roman" w:eastAsia="Times New Roman" w:hAnsi="Times New Roman"/>
                <w:color w:val="3A3A3C"/>
                <w:sz w:val="22"/>
                <w:szCs w:val="22"/>
              </w:rPr>
              <w:t xml:space="preserve">12 Packs. 12 Integrations. 12 Add-Ons. 7 Deployment Modes. 30 Segments. The #1 IMS Platform.</w:t>
            </w:r>
          </w:p>
        </w:tc>
      </w:tr>
    </w:tbl>
    <w:sectPr>
      <w:headerReference w:type="default" r:id="rId7"/>
      <w:footerReference w:type="default" r:id="rId8"/>
      <w:pgSz w:w="11906" w:h="16838"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P"/>
      <w:pBdr>
        <w:top w:val="single" w:color="E3E3E4" w:sz="4" w:space="4"/>
      </w:pBdr>
      <w:tabs>
        <w:tab w:val="right" w:pos="9746"/>
      </w:tabs>
    </w:pPr>
    <w:r>
      <w:t xml:space="preserve">POWERACT Consulting  ·  DynamicMS Commercial Catalog v1.0  ·  Confidential</w:t>
    </w:r>
    <w: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3E4" w:sz="4" w:space="4"/>
      </w:pBdr>
      <w:jc w:val="right"/>
    </w:pPr>
    <w:r>
      <w:rPr>
        <w:rFonts w:ascii="Times New Roman" w:cs="Times New Roman" w:eastAsia="Times New Roman" w:hAnsi="Times New Roman"/>
        <w:b/>
        <w:bCs/>
        <w:color w:val="E07B00"/>
        <w:sz w:val="17"/>
        <w:szCs w:val="17"/>
      </w:rPr>
      <w:t xml:space="preserve">DynamicMS</w:t>
    </w:r>
    <w:r>
      <w:rPr>
        <w:rFonts w:ascii="Times New Roman" w:cs="Times New Roman" w:eastAsia="Times New Roman" w:hAnsi="Times New Roman"/>
        <w:color w:val="808184"/>
        <w:sz w:val="17"/>
        <w:szCs w:val="17"/>
      </w:rPr>
      <w:t xml:space="preserve">   |   Packs, Integrations &amp; Add-Ons Catalog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F8931D"/>
      </w:rPr>
    </w:lvl>
  </w:abstractNum>
  <w:abstractNum w:abstractNumId="3" w15:restartNumberingAfterBreak="0">
    <w:multiLevelType w:val="hybridMultilevel"/>
    <w:lvl w:ilvl="0" w15:tentative="1">
      <w:start w:val="1"/>
      <w:numFmt w:val="decimal"/>
      <w:lvlText w:val="%1."/>
      <w:lvlJc w:val="left"/>
      <w:pPr>
        <w:ind w:left="540" w:hanging="360"/>
      </w:pPr>
      <w:rPr>
        <w:b/>
        <w:bCs/>
        <w:color w:val="E07B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58595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8931D" w:sz="8" w:space="4"/>
      </w:pBdr>
      <w:spacing w:after="240" w:before="0"/>
      <w:outlineLvl w:val="0"/>
    </w:pPr>
    <w:rPr>
      <w:rFonts w:ascii="Times New Roman" w:cs="Times New Roman" w:eastAsia="Times New Roman" w:hAnsi="Times New Roman"/>
      <w:b/>
      <w:bCs/>
      <w:color w:val="E07B00"/>
      <w:sz w:val="34"/>
      <w:szCs w:val="34"/>
    </w:rPr>
  </w:style>
  <w:style w:type="paragraph" w:styleId="Heading2">
    <w:name w:val="Heading 2"/>
    <w:basedOn w:val="Normal"/>
    <w:next w:val="Normal"/>
    <w:qFormat/>
    <w:pPr>
      <w:keepNext/>
      <w:keepLines/>
      <w:spacing w:after="140" w:before="360"/>
      <w:outlineLvl w:val="1"/>
    </w:pPr>
    <w:rPr>
      <w:rFonts w:ascii="Times New Roman" w:cs="Times New Roman" w:eastAsia="Times New Roman" w:hAnsi="Times New Roman"/>
      <w:b/>
      <w:bCs/>
      <w:color w:val="3A3A3C"/>
      <w:sz w:val="27"/>
      <w:szCs w:val="27"/>
    </w:rPr>
  </w:style>
  <w:style w:type="paragraph" w:styleId="Heading3">
    <w:name w:val="Heading 3"/>
    <w:basedOn w:val="Normal"/>
    <w:next w:val="Normal"/>
    <w:qFormat/>
    <w:pPr>
      <w:keepNext/>
      <w:keepLines/>
      <w:spacing w:after="100" w:before="280"/>
      <w:outlineLvl w:val="2"/>
    </w:pPr>
    <w:rPr>
      <w:rFonts w:ascii="Times New Roman" w:cs="Times New Roman" w:eastAsia="Times New Roman" w:hAnsi="Times New Roman"/>
      <w:b/>
      <w:bCs/>
      <w:color w:val="E07B00"/>
      <w:sz w:val="24"/>
      <w:szCs w:val="24"/>
    </w:rPr>
  </w:style>
  <w:style w:type="paragraph" w:styleId="Heading4">
    <w:name w:val="Heading 4"/>
    <w:basedOn w:val="Normal"/>
    <w:next w:val="Normal"/>
    <w:qFormat/>
    <w:pPr>
      <w:keepNext/>
      <w:keepLines/>
      <w:pBdr>
        <w:left w:val="single" w:color="F8931D" w:sz="18" w:space="6"/>
      </w:pBdr>
      <w:spacing w:after="60" w:before="220"/>
      <w:ind w:left="140"/>
      <w:outlineLvl w:val="3"/>
    </w:pPr>
    <w:rPr>
      <w:rFonts w:ascii="Times New Roman" w:cs="Times New Roman" w:eastAsia="Times New Roman" w:hAnsi="Times New Roman"/>
      <w:b/>
      <w:bCs/>
      <w:color w:val="3A3A3C"/>
      <w:sz w:val="22"/>
      <w:szCs w:val="22"/>
    </w:rPr>
  </w:style>
  <w:style w:type="paragraph" w:styleId="Body">
    <w:name w:val="Body Text POWERACT"/>
    <w:basedOn w:val="Normal"/>
    <w:qFormat/>
    <w:pPr>
      <w:spacing w:after="160" w:before="0" w:line="276"/>
      <w:jc w:val="both"/>
    </w:pPr>
    <w:rPr>
      <w:rFonts w:ascii="Times New Roman" w:cs="Times New Roman" w:eastAsia="Times New Roman" w:hAnsi="Times New Roman"/>
      <w:color w:val="58595B"/>
      <w:sz w:val="24"/>
      <w:szCs w:val="24"/>
    </w:rPr>
  </w:style>
  <w:style w:type="paragraph" w:styleId="ListBody">
    <w:name w:val="List Body POWERACT"/>
    <w:basedOn w:val="Normal"/>
    <w:pPr>
      <w:spacing w:after="100" w:before="0" w:line="276"/>
      <w:jc w:val="both"/>
    </w:pPr>
    <w:rPr>
      <w:rFonts w:ascii="Times New Roman" w:cs="Times New Roman" w:eastAsia="Times New Roman" w:hAnsi="Times New Roman"/>
      <w:color w:val="58595B"/>
      <w:sz w:val="24"/>
      <w:szCs w:val="24"/>
    </w:rPr>
  </w:style>
  <w:style w:type="paragraph" w:styleId="Goal">
    <w:name w:val="MP Goal"/>
    <w:basedOn w:val="Normal"/>
    <w:pPr>
      <w:keepNext/>
      <w:spacing w:after="80" w:before="0" w:line="260"/>
      <w:ind w:left="140"/>
    </w:pPr>
    <w:rPr>
      <w:rFonts w:ascii="Times New Roman" w:cs="Times New Roman" w:eastAsia="Times New Roman" w:hAnsi="Times New Roman"/>
      <w:color w:val="58595B"/>
      <w:sz w:val="21"/>
      <w:szCs w:val="21"/>
    </w:rPr>
  </w:style>
  <w:style w:type="paragraph" w:styleId="Callout">
    <w:name w:val="Callout POWERACT"/>
    <w:basedOn w:val="Normal"/>
    <w:pPr>
      <w:pBdr>
        <w:left w:val="single" w:color="F8931D" w:sz="24" w:space="8"/>
      </w:pBdr>
      <w:shd w:fill="FDEEDA" w:color="auto" w:val="clear"/>
      <w:spacing w:after="200" w:before="120" w:line="276"/>
      <w:ind w:left="200" w:right="200"/>
    </w:pPr>
    <w:rPr>
      <w:rFonts w:ascii="Times New Roman" w:cs="Times New Roman" w:eastAsia="Times New Roman" w:hAnsi="Times New Roman"/>
      <w:color w:val="3A3A3C"/>
      <w:sz w:val="23"/>
      <w:szCs w:val="23"/>
    </w:rPr>
  </w:style>
  <w:style w:type="paragraph" w:styleId="Note">
    <w:name w:val="Note POWERACT"/>
    <w:basedOn w:val="Normal"/>
    <w:pPr>
      <w:pBdr>
        <w:left w:val="single" w:color="58595B" w:sz="18" w:space="8"/>
      </w:pBdr>
      <w:shd w:fill="F2F2F3" w:color="auto" w:val="clear"/>
      <w:spacing w:after="200" w:before="80" w:line="260"/>
      <w:ind w:left="200" w:right="200"/>
    </w:pPr>
    <w:rPr>
      <w:rFonts w:ascii="Times New Roman" w:cs="Times New Roman" w:eastAsia="Times New Roman" w:hAnsi="Times New Roman"/>
      <w:color w:val="58595B"/>
      <w:sz w:val="20"/>
      <w:szCs w:val="20"/>
    </w:rPr>
  </w:style>
  <w:style w:type="paragraph" w:styleId="Caption2">
    <w:name w:val="Caption POWERACT"/>
    <w:basedOn w:val="Normal"/>
    <w:pPr>
      <w:spacing w:after="200" w:before="0"/>
    </w:pPr>
    <w:rPr>
      <w:rFonts w:ascii="Times New Roman" w:cs="Times New Roman" w:eastAsia="Times New Roman" w:hAnsi="Times New Roman"/>
      <w:i/>
      <w:iCs/>
      <w:color w:val="58595B"/>
      <w:sz w:val="19"/>
      <w:szCs w:val="19"/>
    </w:rPr>
  </w:style>
  <w:style w:type="paragraph" w:styleId="FooterP">
    <w:name w:val="Footer POWERACT"/>
    <w:basedOn w:val="Normal"/>
    <w:pPr>
      <w:spacing w:after="0" w:before="0"/>
    </w:pPr>
    <w:rPr>
      <w:rFonts w:ascii="Times New Roman" w:cs="Times New Roman" w:eastAsia="Times New Roman" w:hAnsi="Times New Roman"/>
      <w:color w:val="808184"/>
      <w:sz w:val="16"/>
      <w:szCs w:val="16"/>
    </w:rPr>
  </w:style>
  <w:style w:type="paragraph" w:styleId="TOC1">
    <w:name w:val="toc 1"/>
    <w:basedOn w:val="Normal"/>
    <w:next w:val="Normal"/>
    <w:pPr>
      <w:tabs>
        <w:tab w:val="right" w:pos="9746" w:leader="dot"/>
      </w:tabs>
      <w:spacing w:after="40" w:before="160"/>
    </w:pPr>
    <w:rPr>
      <w:rFonts w:ascii="Times New Roman" w:cs="Times New Roman" w:eastAsia="Times New Roman" w:hAnsi="Times New Roman"/>
      <w:b/>
      <w:bCs/>
      <w:color w:val="3A3A3C"/>
      <w:sz w:val="23"/>
      <w:szCs w:val="23"/>
    </w:rPr>
  </w:style>
  <w:style w:type="paragraph" w:styleId="TOC2">
    <w:name w:val="toc 2"/>
    <w:basedOn w:val="Normal"/>
    <w:next w:val="Normal"/>
    <w:pPr>
      <w:tabs>
        <w:tab w:val="right" w:pos="9746" w:leader="dot"/>
      </w:tabs>
      <w:spacing w:after="20" w:before="0"/>
      <w:ind w:left="300"/>
    </w:pPr>
    <w:rPr>
      <w:rFonts w:ascii="Times New Roman" w:cs="Times New Roman" w:eastAsia="Times New Roman" w:hAnsi="Times New Roman"/>
      <w:color w:val="58595B"/>
      <w:sz w:val="21"/>
      <w:szCs w:val="21"/>
    </w:rPr>
  </w:style>
  <w:style w:type="paragraph" w:styleId="TOC3">
    <w:name w:val="toc 3"/>
    <w:basedOn w:val="Normal"/>
    <w:next w:val="Normal"/>
    <w:pPr>
      <w:tabs>
        <w:tab w:val="right" w:pos="9746" w:leader="dot"/>
      </w:tabs>
      <w:spacing w:after="0" w:before="0"/>
      <w:ind w:left="600"/>
    </w:pPr>
    <w:rPr>
      <w:rFonts w:ascii="Times New Roman" w:cs="Times New Roman" w:eastAsia="Times New Roman" w:hAnsi="Times New Roman"/>
      <w:color w:val="808184"/>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DynamicMS Packs, Integrations &amp; Add-Ons Catalog</dc:title>
  <dc:creator>POWERACT Consulting</dc:creator>
  <cp:lastModifiedBy>Un-named</cp:lastModifiedBy>
  <cp:revision>1</cp:revision>
  <dcterms:created xsi:type="dcterms:W3CDTF">2026-09-28T10:55:52.289Z</dcterms:created>
  <dcterms:modified xsi:type="dcterms:W3CDTF">2026-09-28T10:55:52.289Z</dcterms:modified>
</cp:coreProperties>
</file>

<file path=docProps/custom.xml><?xml version="1.0" encoding="utf-8"?>
<Properties xmlns="http://schemas.openxmlformats.org/officeDocument/2006/custom-properties" xmlns:vt="http://schemas.openxmlformats.org/officeDocument/2006/docPropsVTypes"/>
</file>