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p>
      <w:pPr>
        <w:pStyle w:val="FirstParagraph"/>
        <w:jc w:val="center"/>
      </w:pPr>
      <w:r>
        <w:rPr>
          <w:bCs/>
          <w:b/>
          <w:i w:val="0"/>
          <w:color w:val="1F4B45"/>
          <w:sz w:val="60"/>
        </w:rPr>
        <w:t xml:space="preserve">journi</w:t>
      </w:r>
    </w:p>
    <w:p>
      <w:pPr>
        <w:pStyle w:val="BodyText"/>
        <w:jc w:val="center"/>
      </w:pPr>
      <w:r>
        <w:rPr>
          <w:bCs/>
          <w:b w:val="0"/>
          <w:i w:val="0"/>
          <w:color w:val="333333"/>
          <w:sz w:val="30"/>
        </w:rPr>
        <w:t xml:space="preserve">The Complete User Guide</w:t>
      </w:r>
    </w:p>
    <w:p>
      <w:pPr>
        <w:pStyle w:val="BodyText"/>
        <w:jc w:val="center"/>
      </w:pPr>
      <w:r>
        <w:rPr>
          <w:iCs/>
          <w:b w:val="0"/>
          <w:i/>
          <w:color w:val="333333"/>
          <w:sz w:val="23"/>
        </w:rPr>
        <w:t xml:space="preserve">Tenant Setup · All 20 Modules · All 16 End-to-End Processes · A Change Management Scenario Library</w:t>
      </w:r>
    </w:p>
    <w:p>
      <w:pPr>
        <w:pStyle w:val="BodyText"/>
        <w:jc w:val="center"/>
      </w:pPr>
      <w:r>
        <w:rPr>
          <w:iCs/>
          <w:b w:val="0"/>
          <w:i/>
          <w:color w:val="333333"/>
          <w:sz w:val="23"/>
        </w:rPr>
        <w:t xml:space="preserve">A Single Running Organization, Followed From Tenant Creation to Sustainment</w:t>
      </w:r>
    </w:p>
    <w:p>
      <w:pPr>
        <w:pStyle w:val="BodyText"/>
        <w:jc w:val="center"/>
      </w:pPr>
      <w:r>
        <w:rPr>
          <w:b w:val="0"/>
          <w:i w:val="0"/>
          <w:color w:val="333333"/>
          <w:sz w:val="22"/>
        </w:rPr>
        <w:t xml:space="preserve">Version 1.0 · August 2026 · Confidential</w:t>
      </w:r>
    </w:p>
    <w:p>
      <w:r>
        <w:rPr>
          <w:sz w:val="25"/>
        </w:rPr>
        <w:pict>
          <v:rect style="width:0;height:1.5pt" o:hralign="center" o:hrstd="t" o:hr="t"/>
        </w:pict>
      </w:r>
    </w:p>
    <w:p>
      <w:pPr>
        <w:pStyle w:val="FirstParagraph"/>
      </w:pPr>
    </w:p>
    <w:bookmarkStart w:id="24" w:name="part-0-purpose-and-how-to-use-this-guide"/>
    <w:p>
      <w:pPr>
        <w:pStyle w:val="Heading2"/>
      </w:pPr>
      <w:r>
        <w:rPr>
          <w:b/>
          <w:color w:val="275650"/>
          <w:sz w:val="34"/>
        </w:rPr>
        <w:t xml:space="preserve">Part 0 — Purpose and How to Use This Guide</w:t>
      </w:r>
    </w:p>
    <w:bookmarkStart w:id="20" w:name="what-this-guide-is"/>
    <w:p>
      <w:pPr>
        <w:pStyle w:val="Heading3"/>
      </w:pPr>
      <w:r>
        <w:rPr>
          <w:b/>
          <w:color w:val="3F827B"/>
          <w:sz w:val="29"/>
        </w:rPr>
        <w:t xml:space="preserve">What this guide is</w:t>
      </w:r>
    </w:p>
    <w:p>
      <w:pPr>
        <w:pStyle w:val="FirstParagraph"/>
      </w:pPr>
      <w:r>
        <w:rPr>
          <w:sz w:val="25"/>
        </w:rPr>
        <w:t xml:space="preserve">This is journi’s single comprehensive reference: one guide that starts at a genuinely empty tenant, walks through every one of journi’s 20 modules, exercises all 16 processes in the End-to-End Process Catalogue, and hosts a library of distinct Change Management scenarios so a reader can see how journi behaves across more than one kind of change — not only a large technology rollout.</w:t>
      </w:r>
    </w:p>
    <w:p>
      <w:pPr>
        <w:pStyle w:val="BodyText"/>
      </w:pPr>
      <w:r>
        <w:rPr>
          <w:sz w:val="25"/>
        </w:rPr>
        <w:t xml:space="preserve">It is organized in five parts:</w:t>
      </w:r>
    </w:p>
    <w:p>
      <w:pPr>
        <w:numPr>
          <w:ilvl w:val="0"/>
          <w:numId w:val="1001"/>
        </w:numPr>
        <w:pStyle w:val="Compact"/>
      </w:pPr>
      <w:r>
        <w:rPr>
          <w:bCs/>
          <w:b/>
          <w:sz w:val="25"/>
        </w:rPr>
        <w:t xml:space="preserve">Part 1 — Tenant and Admin Setup.</w:t>
      </w:r>
      <w:r>
        <w:rPr>
          <w:sz w:val="25"/>
        </w:rPr>
        <w:t xml:space="preserve"> </w:t>
      </w:r>
      <w:r>
        <w:rPr>
          <w:sz w:val="25"/>
        </w:rPr>
        <w:t xml:space="preserve">How a brand-new journi tenant is actually built, from the License record through the first Change Management Project, using a new scenario organization created for this guide:</w:t>
      </w:r>
      <w:r>
        <w:rPr>
          <w:sz w:val="25"/>
        </w:rPr>
        <w:t xml:space="preserve"> </w:t>
      </w:r>
      <w:r>
        <w:rPr>
          <w:bCs/>
          <w:b/>
          <w:sz w:val="25"/>
        </w:rPr>
        <w:t xml:space="preserve">Bouregreg Group</w:t>
      </w:r>
      <w:r>
        <w:rPr>
          <w:sz w:val="25"/>
        </w:rPr>
        <w:t xml:space="preserve">, a Moroccan manufacturing group.</w:t>
      </w:r>
    </w:p>
    <w:p>
      <w:pPr>
        <w:numPr>
          <w:ilvl w:val="0"/>
          <w:numId w:val="1001"/>
        </w:numPr>
        <w:pStyle w:val="Compact"/>
      </w:pPr>
      <w:r>
        <w:rPr>
          <w:bCs/>
          <w:b/>
          <w:sz w:val="25"/>
        </w:rPr>
        <w:t xml:space="preserve">Part 1B — Week-by-Week ERP Implementation Timeline.</w:t>
      </w:r>
      <w:r>
        <w:rPr>
          <w:sz w:val="25"/>
        </w:rPr>
        <w:t xml:space="preserve"> </w:t>
      </w:r>
      <w:r>
        <w:rPr>
          <w:sz w:val="25"/>
        </w:rPr>
        <w:t xml:space="preserve">The Bouregreg ERP Adoption Program run forward week by week for its full 64-week duration, across all four frameworks’ real stage vocabulary, in journi’s own 8-phase ERP structure — normal flow first, then six realistic exception scenarios in the same level of detail.</w:t>
      </w:r>
    </w:p>
    <w:p>
      <w:pPr>
        <w:numPr>
          <w:ilvl w:val="0"/>
          <w:numId w:val="1001"/>
        </w:numPr>
        <w:pStyle w:val="Compact"/>
      </w:pPr>
      <w:r>
        <w:rPr>
          <w:bCs/>
          <w:b/>
          <w:sz w:val="25"/>
        </w:rPr>
        <w:t xml:space="preserve">Part 2 — Module-by-Module Feature Tour.</w:t>
      </w:r>
      <w:r>
        <w:rPr>
          <w:sz w:val="25"/>
        </w:rPr>
        <w:t xml:space="preserve"> </w:t>
      </w:r>
      <w:r>
        <w:rPr>
          <w:sz w:val="25"/>
        </w:rPr>
        <w:t xml:space="preserve">All 20 modules, each demonstrated against Bouregreg Group’s real, growing data set, with CRUD and RBAC behavior called out per role.</w:t>
      </w:r>
    </w:p>
    <w:p>
      <w:pPr>
        <w:numPr>
          <w:ilvl w:val="0"/>
          <w:numId w:val="1001"/>
        </w:numPr>
        <w:pStyle w:val="Compact"/>
      </w:pPr>
      <w:r>
        <w:rPr>
          <w:bCs/>
          <w:b/>
          <w:sz w:val="25"/>
        </w:rPr>
        <w:t xml:space="preserve">Part 3 — All 16 End-to-End Process Walkthroughs.</w:t>
      </w:r>
      <w:r>
        <w:rPr>
          <w:sz w:val="25"/>
        </w:rPr>
        <w:t xml:space="preserve"> </w:t>
      </w:r>
      <w:r>
        <w:rPr>
          <w:sz w:val="25"/>
        </w:rPr>
        <w:t xml:space="preserve">Every process in the End-to-End Process Catalogue — the 4 core Change Management chains, the 4 cross-cutting loops, and the 8 transformation-type lifecycles — each walked through step by step against Bouregreg Group’s data.</w:t>
      </w:r>
    </w:p>
    <w:p>
      <w:pPr>
        <w:numPr>
          <w:ilvl w:val="0"/>
          <w:numId w:val="1001"/>
        </w:numPr>
        <w:pStyle w:val="Compact"/>
      </w:pPr>
      <w:r>
        <w:rPr>
          <w:bCs/>
          <w:b/>
          <w:sz w:val="25"/>
        </w:rPr>
        <w:t xml:space="preserve">Part 4 — Change Management Scenario Library.</w:t>
      </w:r>
      <w:r>
        <w:rPr>
          <w:sz w:val="25"/>
        </w:rPr>
        <w:t xml:space="preserve"> </w:t>
      </w:r>
      <w:r>
        <w:rPr>
          <w:sz w:val="25"/>
        </w:rPr>
        <w:t xml:space="preserve">Several distinct Change Management Projects under the same tenant, each a different archetype (technology, structural, cultural, compliance) and a different readiness pattern, so the guide shows more than one way a program can actually unfold.</w:t>
      </w:r>
    </w:p>
    <w:p>
      <w:pPr>
        <w:numPr>
          <w:ilvl w:val="0"/>
          <w:numId w:val="1001"/>
        </w:numPr>
        <w:pStyle w:val="Compact"/>
      </w:pPr>
      <w:r>
        <w:rPr>
          <w:bCs/>
          <w:b/>
          <w:sz w:val="25"/>
        </w:rPr>
        <w:t xml:space="preserve">Part 5 — Alerts and Analytics Reference.</w:t>
      </w:r>
      <w:r>
        <w:rPr>
          <w:sz w:val="25"/>
        </w:rPr>
        <w:t xml:space="preserve"> </w:t>
      </w:r>
      <w:r>
        <w:rPr>
          <w:sz w:val="25"/>
        </w:rPr>
        <w:t xml:space="preserve">All of journi’s live-computed alerts and dashboards, what triggers each, and where to find them.</w:t>
      </w:r>
    </w:p>
    <w:bookmarkEnd w:id="20"/>
    <w:bookmarkStart w:id="21" w:name="how-to-use-it"/>
    <w:p>
      <w:pPr>
        <w:pStyle w:val="Heading3"/>
      </w:pPr>
      <w:r>
        <w:rPr>
          <w:b/>
          <w:color w:val="3F827B"/>
          <w:sz w:val="29"/>
        </w:rPr>
        <w:t xml:space="preserve">How to use it</w:t>
      </w:r>
    </w:p>
    <w:p>
      <w:pPr>
        <w:pStyle w:val="FirstParagraph"/>
      </w:pPr>
      <w:r>
        <w:rPr>
          <w:sz w:val="25"/>
        </w:rPr>
        <w:t xml:space="preserve">Read Part 1 once, at setup time, or skip it if your tenant already exists. From there, use Part 2 as a module-by-module reference, Part 3 when you need to run a specific end-to-end process, and Part 4 when you want to see how journi handles a scenario other than a straightforward technology rollout. Part 5 is a standing reference — keep it open alongside the Notification Center.</w:t>
      </w:r>
    </w:p>
    <w:bookmarkEnd w:id="21"/>
    <w:bookmarkStart w:id="22" w:name="a-note-on-fidelity"/>
    <w:p>
      <w:pPr>
        <w:pStyle w:val="Heading3"/>
      </w:pPr>
      <w:r>
        <w:rPr>
          <w:b/>
          <w:color w:val="3F827B"/>
          <w:sz w:val="29"/>
        </w:rPr>
        <w:t xml:space="preserve">A note on fidelity</w:t>
      </w:r>
    </w:p>
    <w:p>
      <w:pPr>
        <w:pStyle w:val="FirstParagraph"/>
      </w:pPr>
      <w:r>
        <w:rPr>
          <w:sz w:val="25"/>
        </w:rPr>
        <w:t xml:space="preserve">Every screen, field, tab, and button named in this guide is verified against journi’s actual source code, not assumed from a spec. Where a feature has a real constraint — for example, that an Organization’s sector is one of exactly three values, or that a Change Management Project may link to zero, one, or more Main Projects — this guide states that constraint rather than working around it. Nothing here describes a feature journi does not actually have.</w:t>
      </w:r>
    </w:p>
    <w:bookmarkEnd w:id="22"/>
    <w:bookmarkStart w:id="23" w:name="reading-paths-by-role"/>
    <w:p>
      <w:pPr>
        <w:pStyle w:val="Heading3"/>
      </w:pPr>
      <w:r>
        <w:rPr>
          <w:b/>
          <w:color w:val="3F827B"/>
          <w:sz w:val="29"/>
        </w:rPr>
        <w:t xml:space="preserve">Reading paths, by role</w:t>
      </w:r>
    </w:p>
    <w:p>
      <w:pPr>
        <w:pStyle w:val="FirstParagraph"/>
      </w:pPr>
      <w:r>
        <w:rPr>
          <w:sz w:val="25"/>
        </w:rPr>
        <w:t xml:space="preserve">This guide is long by design, and no single reader needs all of it at once. A few starting points:</w:t>
      </w:r>
    </w:p>
    <w:p>
      <w:pPr>
        <w:numPr>
          <w:ilvl w:val="0"/>
          <w:numId w:val="1002"/>
        </w:numPr>
        <w:pStyle w:val="Compact"/>
      </w:pPr>
      <w:r>
        <w:rPr>
          <w:bCs/>
          <w:b/>
          <w:sz w:val="25"/>
        </w:rPr>
        <w:t xml:space="preserve">A Super Admin setting up a new tenant:</w:t>
      </w:r>
      <w:r>
        <w:rPr>
          <w:sz w:val="25"/>
        </w:rPr>
        <w:t xml:space="preserve"> </w:t>
      </w:r>
      <w:r>
        <w:rPr>
          <w:sz w:val="25"/>
        </w:rPr>
        <w:t xml:space="preserve">Part 1 in full, then Part 2 as a standing reference once modules are in use.</w:t>
      </w:r>
    </w:p>
    <w:p>
      <w:pPr>
        <w:numPr>
          <w:ilvl w:val="0"/>
          <w:numId w:val="1002"/>
        </w:numPr>
        <w:pStyle w:val="Compact"/>
      </w:pPr>
      <w:r>
        <w:rPr>
          <w:bCs/>
          <w:b/>
          <w:sz w:val="25"/>
        </w:rPr>
        <w:t xml:space="preserve">A Change Manager running a program day to day:</w:t>
      </w:r>
      <w:r>
        <w:rPr>
          <w:sz w:val="25"/>
        </w:rPr>
        <w:t xml:space="preserve"> </w:t>
      </w:r>
      <w:r>
        <w:rPr>
          <w:sz w:val="25"/>
        </w:rPr>
        <w:t xml:space="preserve">Part 1B in full — it is written as the operating manual for exactly this role — then Part 2 for any module whose fields aren’t yet familiar, and Part 5 kept open alongside the Notification Center.</w:t>
      </w:r>
    </w:p>
    <w:p>
      <w:pPr>
        <w:numPr>
          <w:ilvl w:val="0"/>
          <w:numId w:val="1002"/>
        </w:numPr>
        <w:pStyle w:val="Compact"/>
      </w:pPr>
      <w:r>
        <w:rPr>
          <w:bCs/>
          <w:b/>
          <w:sz w:val="25"/>
        </w:rPr>
        <w:t xml:space="preserve">A Program/Project Manager focused on the PM ↔ CM boundary:</w:t>
      </w:r>
      <w:r>
        <w:rPr>
          <w:sz w:val="25"/>
        </w:rPr>
        <w:t xml:space="preserve"> </w:t>
      </w:r>
      <w:r>
        <w:rPr>
          <w:sz w:val="25"/>
        </w:rPr>
        <w:t xml:space="preserve">Part 3’s E2E-06 (Governance Bridge), Part 1B.3’s eight Phase Gates, and Section 5.6’s alert cross-reference, which is PM-facing by design for ALT-008 and ALT-009.</w:t>
      </w:r>
    </w:p>
    <w:p>
      <w:pPr>
        <w:numPr>
          <w:ilvl w:val="0"/>
          <w:numId w:val="1002"/>
        </w:numPr>
        <w:pStyle w:val="Compact"/>
      </w:pPr>
      <w:r>
        <w:rPr>
          <w:bCs/>
          <w:b/>
          <w:sz w:val="25"/>
        </w:rPr>
        <w:t xml:space="preserve">An Executive Sponsor or Steering Committee member:</w:t>
      </w:r>
      <w:r>
        <w:rPr>
          <w:sz w:val="25"/>
        </w:rPr>
        <w:t xml:space="preserve"> </w:t>
      </w:r>
      <w:r>
        <w:rPr>
          <w:sz w:val="25"/>
        </w:rPr>
        <w:t xml:space="preserve">Part 0 for orientation, Part 1B.2’s calendar and 1B.6’s month-by-month account for the shape of the program, and Section 5.5 for which alerts name that role directly.</w:t>
      </w:r>
    </w:p>
    <w:p>
      <w:pPr>
        <w:numPr>
          <w:ilvl w:val="0"/>
          <w:numId w:val="1002"/>
        </w:numPr>
        <w:pStyle w:val="Compact"/>
      </w:pPr>
      <w:r>
        <w:rPr>
          <w:bCs/>
          <w:b/>
          <w:sz w:val="25"/>
        </w:rPr>
        <w:t xml:space="preserve">Someone evaluating journi for a new organization, not yet a Change Manager:</w:t>
      </w:r>
      <w:r>
        <w:rPr>
          <w:sz w:val="25"/>
        </w:rPr>
        <w:t xml:space="preserve"> </w:t>
      </w:r>
      <w:r>
        <w:rPr>
          <w:sz w:val="25"/>
        </w:rPr>
        <w:t xml:space="preserve">Part 0, then Part 4 in full — the fastest way to see the breadth of what one journi tenant can actually hold.</w:t>
      </w:r>
    </w:p>
    <w:p>
      <w:pPr>
        <w:numPr>
          <w:ilvl w:val="0"/>
          <w:numId w:val="1002"/>
        </w:numPr>
        <w:pStyle w:val="Compact"/>
      </w:pPr>
      <w:r>
        <w:rPr>
          <w:bCs/>
          <w:b/>
          <w:sz w:val="25"/>
        </w:rPr>
        <w:t xml:space="preserve">Someone who just needs one fact fast:</w:t>
      </w:r>
      <w:r>
        <w:rPr>
          <w:sz w:val="25"/>
        </w:rPr>
        <w:t xml:space="preserve"> </w:t>
      </w:r>
      <w:r>
        <w:rPr>
          <w:sz w:val="25"/>
        </w:rPr>
        <w:t xml:space="preserve">the Appendix, A.1 through A.6, is built as a standalone quick-reference and does not require having read the rest of the guide first.</w:t>
      </w:r>
    </w:p>
    <w:p>
      <w:r>
        <w:rPr>
          <w:sz w:val="25"/>
        </w:rPr>
        <w:pict>
          <v:rect style="width:0;height:1.5pt" o:hralign="center" o:hrstd="t" o:hr="t"/>
        </w:pict>
      </w:r>
    </w:p>
    <w:p>
      <w:pPr>
        <w:pStyle w:val="FirstParagraph"/>
      </w:pPr>
    </w:p>
    <w:bookmarkEnd w:id="23"/>
    <w:bookmarkEnd w:id="24"/>
    <w:bookmarkStart w:id="34" w:name="part-1-tenant-and-admin-setup"/>
    <w:p>
      <w:pPr>
        <w:pStyle w:val="Heading2"/>
      </w:pPr>
      <w:r>
        <w:rPr>
          <w:b/>
          <w:color w:val="275650"/>
          <w:sz w:val="34"/>
        </w:rPr>
        <w:t xml:space="preserve">Part 1 — Tenant and Admin Setup</w:t>
      </w:r>
    </w:p>
    <w:p>
      <w:pPr>
        <w:pStyle w:val="FirstParagraph"/>
      </w:pPr>
    </w:p>
    <w:bookmarkStart w:id="25" w:name="journis-tenant-model"/>
    <w:p>
      <w:pPr>
        <w:pStyle w:val="Heading3"/>
      </w:pPr>
      <w:r>
        <w:rPr>
          <w:b/>
          <w:color w:val="3F827B"/>
          <w:sz w:val="29"/>
        </w:rPr>
        <w:t xml:space="preserve">1.1 journi’s Tenant Model</w:t>
      </w:r>
    </w:p>
    <w:p>
      <w:pPr>
        <w:pStyle w:val="FirstParagraph"/>
      </w:pPr>
      <w:r>
        <w:rPr>
          <w:sz w:val="25"/>
        </w:rPr>
        <w:t xml:space="preserve">journi is deployed one tenant at a time. Everything a tenant contains — its Groups, Organizations, Main Projects, Change Management Projects, users, role permissions, and license terms — lives in a single record, held in the browser’s local storage under a fixed key (</w:t>
      </w:r>
      <w:r>
        <w:rPr>
          <w:rStyle w:val="VerbatimChar"/>
          <w:sz w:val="25"/>
        </w:rPr>
        <w:t xml:space="preserve">journi.state.v1</w:t>
      </w:r>
      <w:r>
        <w:rPr>
          <w:sz w:val="25"/>
        </w:rPr>
        <w:t xml:space="preserve">) and, in a real deployment, in that tenant’s own database. There is no in-app</w:t>
      </w:r>
      <w:r>
        <w:rPr>
          <w:sz w:val="25"/>
        </w:rPr>
        <w:t xml:space="preserve"> </w:t>
      </w:r>
      <w:r>
        <w:rPr>
          <w:sz w:val="25"/>
        </w:rPr>
        <w:t xml:space="preserve">“</w:t>
      </w:r>
      <w:r>
        <w:rPr>
          <w:sz w:val="25"/>
        </w:rPr>
        <w:t xml:space="preserve">switch tenant</w:t>
      </w:r>
      <w:r>
        <w:rPr>
          <w:sz w:val="25"/>
        </w:rPr>
        <w:t xml:space="preserve">”</w:t>
      </w:r>
      <w:r>
        <w:rPr>
          <w:sz w:val="25"/>
        </w:rPr>
        <w:t xml:space="preserve"> </w:t>
      </w:r>
      <w:r>
        <w:rPr>
          <w:sz w:val="25"/>
        </w:rPr>
        <w:t xml:space="preserve">control, because there is nothing to switch between: one journi deployment is one tenant, in the same way one browser profile is one tenant in this demo build.</w:t>
      </w:r>
    </w:p>
    <w:p>
      <w:pPr>
        <w:pStyle w:val="BodyText"/>
      </w:pPr>
      <w:r>
        <w:rPr>
          <w:sz w:val="25"/>
        </w:rPr>
        <w:t xml:space="preserve">Two consequences follow directly from this model, and this guide states them plainly rather than gloss over them:</w:t>
      </w:r>
    </w:p>
    <w:p>
      <w:pPr>
        <w:numPr>
          <w:ilvl w:val="0"/>
          <w:numId w:val="1003"/>
        </w:numPr>
        <w:pStyle w:val="Compact"/>
      </w:pPr>
      <w:r>
        <w:rPr>
          <w:bCs/>
          <w:b/>
          <w:sz w:val="25"/>
        </w:rPr>
        <w:t xml:space="preserve">Creating a new tenant means starting from a blank deployment</w:t>
      </w:r>
      <w:r>
        <w:rPr>
          <w:sz w:val="25"/>
        </w:rPr>
        <w:t xml:space="preserve">, not filling out a</w:t>
      </w:r>
      <w:r>
        <w:rPr>
          <w:sz w:val="25"/>
        </w:rPr>
        <w:t xml:space="preserve"> </w:t>
      </w:r>
      <w:r>
        <w:rPr>
          <w:sz w:val="25"/>
        </w:rPr>
        <w:t xml:space="preserve">“</w:t>
      </w:r>
      <w:r>
        <w:rPr>
          <w:sz w:val="25"/>
        </w:rPr>
        <w:t xml:space="preserve">New Tenant</w:t>
      </w:r>
      <w:r>
        <w:rPr>
          <w:sz w:val="25"/>
        </w:rPr>
        <w:t xml:space="preserve">”</w:t>
      </w:r>
      <w:r>
        <w:rPr>
          <w:sz w:val="25"/>
        </w:rPr>
        <w:t xml:space="preserve"> </w:t>
      </w:r>
      <w:r>
        <w:rPr>
          <w:sz w:val="25"/>
        </w:rPr>
        <w:t xml:space="preserve">wizard inside an existing one. In this demo build, a blank deployment surfaces as journi’s default seeded data the first time the app loads; a production deployment would instead start truly empty, with only a Super Admin account provisioned by journi’s implementation team. Either way, the</w:t>
      </w:r>
      <w:r>
        <w:rPr>
          <w:sz w:val="25"/>
        </w:rPr>
        <w:t xml:space="preserve"> </w:t>
      </w:r>
      <w:r>
        <w:rPr>
          <w:iCs/>
          <w:i/>
          <w:sz w:val="25"/>
        </w:rPr>
        <w:t xml:space="preserve">steps</w:t>
      </w:r>
      <w:r>
        <w:rPr>
          <w:sz w:val="25"/>
        </w:rPr>
        <w:t xml:space="preserve"> </w:t>
      </w:r>
      <w:r>
        <w:rPr>
          <w:sz w:val="25"/>
        </w:rPr>
        <w:t xml:space="preserve">a Super Admin then takes are identical, and those steps are what this Part walks through.</w:t>
      </w:r>
    </w:p>
    <w:p>
      <w:pPr>
        <w:numPr>
          <w:ilvl w:val="0"/>
          <w:numId w:val="1003"/>
        </w:numPr>
        <w:pStyle w:val="Compact"/>
      </w:pPr>
      <w:r>
        <w:rPr>
          <w:bCs/>
          <w:b/>
          <w:sz w:val="25"/>
        </w:rPr>
        <w:t xml:space="preserve">A tenant can hold more than one Organization.</w:t>
      </w:r>
      <w:r>
        <w:rPr>
          <w:sz w:val="25"/>
        </w:rPr>
        <w:t xml:space="preserve"> </w:t>
      </w:r>
      <w:r>
        <w:rPr>
          <w:sz w:val="25"/>
        </w:rPr>
        <w:t xml:space="preserve">The License record (Module 2, License &amp; Plan tab) is tenant-wide — one company name, one plan, one user cap, one set of feature flags for the whole deployment. Underneath that single License, Module 1’s Group → Organization hierarchy can hold several distinct Organizations (business units, subsidiaries, plants), each with its own sector, employee count, sites, and default language. Part 4 of this guide uses that same single-tenant, multi-Organization capacity to host a scenario library without inventing a second tenant.</w:t>
      </w:r>
    </w:p>
    <w:p>
      <w:pPr>
        <w:pStyle w:val="FirstParagraph"/>
      </w:pPr>
    </w:p>
    <w:bookmarkEnd w:id="25"/>
    <w:bookmarkStart w:id="26" w:name="X8d889634a4f66c9633f93ca38d304cdaa6089fc"/>
    <w:p>
      <w:pPr>
        <w:pStyle w:val="Heading3"/>
      </w:pPr>
      <w:r>
        <w:rPr>
          <w:b/>
          <w:color w:val="3F827B"/>
          <w:sz w:val="29"/>
        </w:rPr>
        <w:t xml:space="preserve">1.2 The Scenario Organization: Bouregreg Group</w:t>
      </w:r>
    </w:p>
    <w:p>
      <w:pPr>
        <w:pStyle w:val="FirstParagraph"/>
      </w:pPr>
      <w:r>
        <w:rPr>
          <w:sz w:val="25"/>
        </w:rPr>
        <w:t xml:space="preserve">This guide is built around one new organization, invented for this guide and not part of journi’s other seeded demo data (Atlas Industrial Group, Maghreb Logistics, and Meridia Health remain available separately as journi’s standard demo tenant, and are not used here).</w:t>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fill="1F4B45"/>
          </w:tcPr>
          <w:p>
            <w:pPr>
              <w:pStyle w:val="Compact"/>
              <w:jc w:val="left"/>
            </w:pPr>
            <w:r>
              <w:rPr>
                <w:b/>
                <w:color w:val="FFFFFF"/>
                <w:sz w:val="22"/>
              </w:rPr>
              <w:t xml:space="preserve">Element</w:t>
            </w:r>
          </w:p>
        </w:tc>
        <w:tc>
          <w:tcPr>
            <w:shd w:val="clear" w:fill="1F4B45"/>
          </w:tcPr>
          <w:p>
            <w:pPr>
              <w:pStyle w:val="Compact"/>
              <w:jc w:val="left"/>
            </w:pPr>
            <w:r>
              <w:rPr>
                <w:b/>
                <w:color w:val="FFFFFF"/>
                <w:sz w:val="22"/>
              </w:rPr>
              <w:t xml:space="preserve">Value</w:t>
            </w:r>
          </w:p>
        </w:tc>
      </w:tr>
      <w:tr>
        <w:trPr>
          <w:cantSplit/>
        </w:trPr>
        <w:tc>
          <w:tcPr/>
          <w:p>
            <w:pPr>
              <w:pStyle w:val="Compact"/>
              <w:jc w:val="left"/>
            </w:pPr>
            <w:r>
              <w:rPr>
                <w:sz w:val="22"/>
              </w:rPr>
              <w:t xml:space="preserve">Group</w:t>
            </w:r>
          </w:p>
        </w:tc>
        <w:tc>
          <w:tcPr/>
          <w:p>
            <w:pPr>
              <w:pStyle w:val="Compact"/>
              <w:jc w:val="left"/>
            </w:pPr>
            <w:r>
              <w:rPr>
                <w:sz w:val="22"/>
              </w:rPr>
              <w:t xml:space="preserve">Bouregreg Group</w:t>
            </w:r>
          </w:p>
        </w:tc>
      </w:tr>
      <w:tr>
        <w:trPr>
          <w:cantSplit/>
        </w:trPr>
        <w:tc>
          <w:tcPr/>
          <w:p>
            <w:pPr>
              <w:pStyle w:val="Compact"/>
              <w:jc w:val="left"/>
            </w:pPr>
            <w:r>
              <w:rPr>
                <w:sz w:val="22"/>
              </w:rPr>
              <w:t xml:space="preserve">Organization</w:t>
            </w:r>
          </w:p>
        </w:tc>
        <w:tc>
          <w:tcPr/>
          <w:p>
            <w:pPr>
              <w:pStyle w:val="Compact"/>
              <w:jc w:val="left"/>
            </w:pPr>
            <w:r>
              <w:rPr>
                <w:sz w:val="22"/>
              </w:rPr>
              <w:t xml:space="preserve">Bouregreg Manufacturing Maroc</w:t>
            </w:r>
          </w:p>
        </w:tc>
      </w:tr>
      <w:tr>
        <w:trPr>
          <w:cantSplit/>
        </w:trPr>
        <w:tc>
          <w:tcPr/>
          <w:p>
            <w:pPr>
              <w:pStyle w:val="Compact"/>
              <w:jc w:val="left"/>
            </w:pPr>
            <w:r>
              <w:rPr>
                <w:sz w:val="22"/>
              </w:rPr>
              <w:t xml:space="preserve">Sector</w:t>
            </w:r>
          </w:p>
        </w:tc>
        <w:tc>
          <w:tcPr/>
          <w:p>
            <w:pPr>
              <w:pStyle w:val="Compact"/>
              <w:jc w:val="left"/>
            </w:pPr>
            <w:r>
              <w:rPr>
                <w:sz w:val="22"/>
              </w:rPr>
              <w:t xml:space="preserve">Manufacturing (journi’s Organization sector is one of exactly three values: Manufacturing, Logistics, or Health — this guide uses Manufacturing)</w:t>
            </w:r>
          </w:p>
        </w:tc>
      </w:tr>
      <w:tr>
        <w:trPr>
          <w:cantSplit/>
        </w:trPr>
        <w:tc>
          <w:tcPr/>
          <w:p>
            <w:pPr>
              <w:pStyle w:val="Compact"/>
              <w:jc w:val="left"/>
            </w:pPr>
            <w:r>
              <w:rPr>
                <w:sz w:val="22"/>
              </w:rPr>
              <w:t xml:space="preserve">Employees</w:t>
            </w:r>
          </w:p>
        </w:tc>
        <w:tc>
          <w:tcPr/>
          <w:p>
            <w:pPr>
              <w:pStyle w:val="Compact"/>
              <w:jc w:val="left"/>
            </w:pPr>
            <w:r>
              <w:rPr>
                <w:sz w:val="22"/>
              </w:rPr>
              <w:t xml:space="preserve">3,400</w:t>
            </w:r>
          </w:p>
        </w:tc>
      </w:tr>
      <w:tr>
        <w:trPr>
          <w:cantSplit/>
        </w:trPr>
        <w:tc>
          <w:tcPr/>
          <w:p>
            <w:pPr>
              <w:pStyle w:val="Compact"/>
              <w:jc w:val="left"/>
            </w:pPr>
            <w:r>
              <w:rPr>
                <w:sz w:val="22"/>
              </w:rPr>
              <w:t xml:space="preserve">Sites</w:t>
            </w:r>
          </w:p>
        </w:tc>
        <w:tc>
          <w:tcPr/>
          <w:p>
            <w:pPr>
              <w:pStyle w:val="Compact"/>
              <w:jc w:val="left"/>
            </w:pPr>
            <w:r>
              <w:rPr>
                <w:sz w:val="22"/>
              </w:rPr>
              <w:t xml:space="preserve">Casablanca HQ; Kenitra Plant; Settat Plant</w:t>
            </w:r>
          </w:p>
        </w:tc>
      </w:tr>
      <w:tr>
        <w:trPr>
          <w:cantSplit/>
        </w:trPr>
        <w:tc>
          <w:tcPr/>
          <w:p>
            <w:pPr>
              <w:pStyle w:val="Compact"/>
              <w:jc w:val="left"/>
            </w:pPr>
            <w:r>
              <w:rPr>
                <w:sz w:val="22"/>
              </w:rPr>
              <w:t xml:space="preserve">Languages</w:t>
            </w:r>
          </w:p>
        </w:tc>
        <w:tc>
          <w:tcPr/>
          <w:p>
            <w:pPr>
              <w:pStyle w:val="Compact"/>
              <w:jc w:val="left"/>
            </w:pPr>
            <w:r>
              <w:rPr>
                <w:sz w:val="22"/>
              </w:rPr>
              <w:t xml:space="preserve">French, Arabic</w:t>
            </w:r>
          </w:p>
        </w:tc>
      </w:tr>
      <w:tr>
        <w:trPr>
          <w:cantSplit/>
        </w:trPr>
        <w:tc>
          <w:tcPr/>
          <w:p>
            <w:pPr>
              <w:pStyle w:val="Compact"/>
              <w:jc w:val="left"/>
            </w:pPr>
            <w:r>
              <w:rPr>
                <w:sz w:val="22"/>
              </w:rPr>
              <w:t xml:space="preserve">Default language</w:t>
            </w:r>
          </w:p>
        </w:tc>
        <w:tc>
          <w:tcPr/>
          <w:p>
            <w:pPr>
              <w:pStyle w:val="Compact"/>
              <w:jc w:val="left"/>
            </w:pPr>
            <w:r>
              <w:rPr>
                <w:sz w:val="22"/>
              </w:rPr>
              <w:t xml:space="preserve">French</w:t>
            </w:r>
          </w:p>
        </w:tc>
      </w:tr>
      <w:tr>
        <w:trPr>
          <w:cantSplit/>
        </w:trPr>
        <w:tc>
          <w:tcPr/>
          <w:p>
            <w:pPr>
              <w:pStyle w:val="Compact"/>
              <w:jc w:val="left"/>
            </w:pPr>
            <w:r>
              <w:rPr>
                <w:sz w:val="22"/>
              </w:rPr>
              <w:t xml:space="preserve">License plan</w:t>
            </w:r>
          </w:p>
        </w:tc>
        <w:tc>
          <w:tcPr/>
          <w:p>
            <w:pPr>
              <w:pStyle w:val="Compact"/>
              <w:jc w:val="left"/>
            </w:pPr>
            <w:r>
              <w:rPr>
                <w:sz w:val="22"/>
              </w:rPr>
              <w:t xml:space="preserve">Professional</w:t>
            </w:r>
          </w:p>
        </w:tc>
      </w:tr>
      <w:tr>
        <w:trPr>
          <w:cantSplit/>
        </w:trPr>
        <w:tc>
          <w:tcPr/>
          <w:p>
            <w:pPr>
              <w:pStyle w:val="Compact"/>
              <w:jc w:val="left"/>
            </w:pPr>
            <w:r>
              <w:rPr>
                <w:sz w:val="22"/>
              </w:rPr>
              <w:t xml:space="preserve">License user cap</w:t>
            </w:r>
          </w:p>
        </w:tc>
        <w:tc>
          <w:tcPr/>
          <w:p>
            <w:pPr>
              <w:pStyle w:val="Compact"/>
              <w:jc w:val="left"/>
            </w:pPr>
            <w:r>
              <w:rPr>
                <w:sz w:val="22"/>
              </w:rPr>
              <w:t xml:space="preserve">60</w:t>
            </w:r>
          </w:p>
        </w:tc>
      </w:tr>
    </w:tbl>
    <w:p>
      <w:pPr>
        <w:pStyle w:val="BodyText"/>
      </w:pPr>
      <w:r>
        <w:rPr>
          <w:sz w:val="25"/>
        </w:rPr>
        <w:t xml:space="preserve">Bouregreg Group makes three disconnected legacy systems (order management, inventory, and finance) redundant across its three sites and is 14 months into replacing them with a single unified platform — the Main Project and Change Management Project this Part ends by creating, and that Parts 2 and 3 use as the throughline scenario. Part 4 later adds further Change Management Projects under this same Organization — a plant restructuring, a post-acquisition culture integration, and others — to build out the scenario library without inventing a second tenant.</w:t>
      </w:r>
    </w:p>
    <w:p>
      <w:pPr>
        <w:pStyle w:val="BodyText"/>
      </w:pPr>
    </w:p>
    <w:bookmarkEnd w:id="26"/>
    <w:bookmarkStart w:id="27" w:name="X4ef9d59d8f039c310ee1c609126d15686708077"/>
    <w:p>
      <w:pPr>
        <w:pStyle w:val="Heading3"/>
      </w:pPr>
      <w:r>
        <w:rPr>
          <w:b/>
          <w:color w:val="3F827B"/>
          <w:sz w:val="29"/>
        </w:rPr>
        <w:t xml:space="preserve">1.3 Step 1 — First Access and the License Record (M2)</w:t>
      </w:r>
    </w:p>
    <w:p>
      <w:pPr>
        <w:pStyle w:val="FirstParagraph"/>
      </w:pPr>
      <w:r>
        <w:rPr>
          <w:sz w:val="25"/>
        </w:rPr>
        <w:t xml:space="preserve">A brand-new deployment’s very first user is a Super Admin, provisioned outside the app by journi’s implementation team (in this demo build, by picking the Super Admin persona at the login screen — journi’s demo login has no password, only a persona picker). Everything else in this Part is done signed in as that Super Admin.</w:t>
      </w:r>
    </w:p>
    <w:p>
      <w:pPr>
        <w:numPr>
          <w:ilvl w:val="0"/>
          <w:numId w:val="1004"/>
        </w:numPr>
        <w:pStyle w:val="Compact"/>
      </w:pPr>
      <w:r>
        <w:rPr>
          <w:sz w:val="25"/>
        </w:rPr>
        <w:t xml:space="preserve">Sign in as Super Admin.</w:t>
      </w:r>
    </w:p>
    <w:p>
      <w:pPr>
        <w:numPr>
          <w:ilvl w:val="0"/>
          <w:numId w:val="1004"/>
        </w:numPr>
        <w:pStyle w:val="Compact"/>
      </w:pPr>
      <w:r>
        <w:rPr>
          <w:sz w:val="25"/>
        </w:rPr>
        <w:t xml:space="preserve">Open</w:t>
      </w:r>
      <w:r>
        <w:rPr>
          <w:sz w:val="25"/>
        </w:rPr>
        <w:t xml:space="preserve"> </w:t>
      </w:r>
      <w:r>
        <w:rPr>
          <w:bCs/>
          <w:b/>
          <w:sz w:val="25"/>
        </w:rPr>
        <w:t xml:space="preserve">Module 2 — Users &amp; Roles</w:t>
      </w:r>
      <w:r>
        <w:rPr>
          <w:sz w:val="25"/>
        </w:rPr>
        <w:t xml:space="preserve">, then the</w:t>
      </w:r>
      <w:r>
        <w:rPr>
          <w:sz w:val="25"/>
        </w:rPr>
        <w:t xml:space="preserve"> </w:t>
      </w:r>
      <w:r>
        <w:rPr>
          <w:bCs/>
          <w:b/>
          <w:sz w:val="25"/>
        </w:rPr>
        <w:t xml:space="preserve">License &amp; Plan</w:t>
      </w:r>
      <w:r>
        <w:rPr>
          <w:sz w:val="25"/>
        </w:rPr>
        <w:t xml:space="preserve"> </w:t>
      </w:r>
      <w:r>
        <w:rPr>
          <w:sz w:val="25"/>
        </w:rPr>
        <w:t xml:space="preserve">tab. Only a Super Admin can edit this tab; every other role sees it read-only.</w:t>
      </w:r>
    </w:p>
    <w:p>
      <w:pPr>
        <w:numPr>
          <w:ilvl w:val="0"/>
          <w:numId w:val="1004"/>
        </w:numPr>
        <w:pStyle w:val="Compact"/>
      </w:pPr>
      <w:r>
        <w:rPr>
          <w:sz w:val="25"/>
        </w:rPr>
        <w:t xml:space="preserve">journi runs entirely client-side, so this tab reflects the license record a real deployment keeps:</w:t>
      </w:r>
      <w:r>
        <w:rPr>
          <w:sz w:val="25"/>
        </w:rPr>
        <w:t xml:space="preserve"> </w:t>
      </w:r>
      <w:r>
        <w:rPr>
          <w:bCs/>
          <w:b/>
          <w:sz w:val="25"/>
        </w:rPr>
        <w:t xml:space="preserve">SaaS mode</w:t>
      </w:r>
      <w:r>
        <w:rPr>
          <w:sz w:val="25"/>
        </w:rPr>
        <w:t xml:space="preserve"> </w:t>
      </w:r>
      <w:r>
        <w:rPr>
          <w:sz w:val="25"/>
        </w:rPr>
        <w:t xml:space="preserve">by default, or</w:t>
      </w:r>
      <w:r>
        <w:rPr>
          <w:sz w:val="25"/>
        </w:rPr>
        <w:t xml:space="preserve"> </w:t>
      </w:r>
      <w:r>
        <w:rPr>
          <w:bCs/>
          <w:b/>
          <w:sz w:val="25"/>
        </w:rPr>
        <w:t xml:space="preserve">OnPrem mode</w:t>
      </w:r>
      <w:r>
        <w:rPr>
          <w:sz w:val="25"/>
        </w:rPr>
        <w:t xml:space="preserve"> </w:t>
      </w:r>
      <w:r>
        <w:rPr>
          <w:sz w:val="25"/>
        </w:rPr>
        <w:t xml:space="preserve">once a signed</w:t>
      </w:r>
      <w:r>
        <w:rPr>
          <w:sz w:val="25"/>
        </w:rPr>
        <w:t xml:space="preserve"> </w:t>
      </w:r>
      <w:r>
        <w:rPr>
          <w:rStyle w:val="VerbatimChar"/>
          <w:sz w:val="25"/>
        </w:rPr>
        <w:t xml:space="preserve">.lic</w:t>
      </w:r>
      <w:r>
        <w:rPr>
          <w:sz w:val="25"/>
        </w:rPr>
        <w:t xml:space="preserve"> </w:t>
      </w:r>
      <w:r>
        <w:rPr>
          <w:sz w:val="25"/>
        </w:rPr>
        <w:t xml:space="preserve">file is uploaded. Leave the deployment in SaaS mode for this walkthrough.</w:t>
      </w:r>
    </w:p>
    <w:p>
      <w:pPr>
        <w:numPr>
          <w:ilvl w:val="0"/>
          <w:numId w:val="1004"/>
        </w:numPr>
        <w:pStyle w:val="Compact"/>
      </w:pPr>
      <w:r>
        <w:rPr>
          <w:sz w:val="25"/>
        </w:rPr>
        <w:t xml:space="preserve">There is no inline edit form for the License fields — the panel is populated either by the platform default or by uploading a</w:t>
      </w:r>
      <w:r>
        <w:rPr>
          <w:sz w:val="25"/>
        </w:rPr>
        <w:t xml:space="preserve"> </w:t>
      </w:r>
      <w:r>
        <w:rPr>
          <w:rStyle w:val="VerbatimChar"/>
          <w:sz w:val="25"/>
        </w:rPr>
        <w:t xml:space="preserve">.lic</w:t>
      </w:r>
      <w:r>
        <w:rPr>
          <w:sz w:val="25"/>
        </w:rPr>
        <w:t xml:space="preserve"> </w:t>
      </w:r>
      <w:r>
        <w:rPr>
          <w:sz w:val="25"/>
        </w:rPr>
        <w:t xml:space="preserve">file (a JSON file carrying</w:t>
      </w:r>
      <w:r>
        <w:rPr>
          <w:sz w:val="25"/>
        </w:rPr>
        <w:t xml:space="preserve"> </w:t>
      </w:r>
      <w:r>
        <w:rPr>
          <w:rStyle w:val="VerbatimChar"/>
          <w:sz w:val="25"/>
        </w:rPr>
        <w:t xml:space="preserve">version</w:t>
      </w:r>
      <w:r>
        <w:rPr>
          <w:sz w:val="25"/>
        </w:rPr>
        <w:t xml:space="preserve">,</w:t>
      </w:r>
      <w:r>
        <w:rPr>
          <w:sz w:val="25"/>
        </w:rPr>
        <w:t xml:space="preserve"> </w:t>
      </w:r>
      <w:r>
        <w:rPr>
          <w:rStyle w:val="VerbatimChar"/>
          <w:sz w:val="25"/>
        </w:rPr>
        <w:t xml:space="preserve">companyId</w:t>
      </w:r>
      <w:r>
        <w:rPr>
          <w:sz w:val="25"/>
        </w:rPr>
        <w:t xml:space="preserve">,</w:t>
      </w:r>
      <w:r>
        <w:rPr>
          <w:sz w:val="25"/>
        </w:rPr>
        <w:t xml:space="preserve"> </w:t>
      </w:r>
      <w:r>
        <w:rPr>
          <w:rStyle w:val="VerbatimChar"/>
          <w:sz w:val="25"/>
        </w:rPr>
        <w:t xml:space="preserve">companyName</w:t>
      </w:r>
      <w:r>
        <w:rPr>
          <w:sz w:val="25"/>
        </w:rPr>
        <w:t xml:space="preserve">,</w:t>
      </w:r>
      <w:r>
        <w:rPr>
          <w:sz w:val="25"/>
        </w:rPr>
        <w:t xml:space="preserve"> </w:t>
      </w:r>
      <w:r>
        <w:rPr>
          <w:rStyle w:val="VerbatimChar"/>
          <w:sz w:val="25"/>
        </w:rPr>
        <w:t xml:space="preserve">hardwareId</w:t>
      </w:r>
      <w:r>
        <w:rPr>
          <w:sz w:val="25"/>
        </w:rPr>
        <w:t xml:space="preserve">,</w:t>
      </w:r>
      <w:r>
        <w:rPr>
          <w:sz w:val="25"/>
        </w:rPr>
        <w:t xml:space="preserve"> </w:t>
      </w:r>
      <w:r>
        <w:rPr>
          <w:rStyle w:val="VerbatimChar"/>
          <w:sz w:val="25"/>
        </w:rPr>
        <w:t xml:space="preserve">expiryDate</w:t>
      </w:r>
      <w:r>
        <w:rPr>
          <w:sz w:val="25"/>
        </w:rPr>
        <w:t xml:space="preserve">,</w:t>
      </w:r>
      <w:r>
        <w:rPr>
          <w:sz w:val="25"/>
        </w:rPr>
        <w:t xml:space="preserve"> </w:t>
      </w:r>
      <w:r>
        <w:rPr>
          <w:rStyle w:val="VerbatimChar"/>
          <w:sz w:val="25"/>
        </w:rPr>
        <w:t xml:space="preserve">maxUsers</w:t>
      </w:r>
      <w:r>
        <w:rPr>
          <w:sz w:val="25"/>
        </w:rPr>
        <w:t xml:space="preserve">,</w:t>
      </w:r>
      <w:r>
        <w:rPr>
          <w:sz w:val="25"/>
        </w:rPr>
        <w:t xml:space="preserve"> </w:t>
      </w:r>
      <w:r>
        <w:rPr>
          <w:rStyle w:val="VerbatimChar"/>
          <w:sz w:val="25"/>
        </w:rPr>
        <w:t xml:space="preserve">plan</w:t>
      </w:r>
      <w:r>
        <w:rPr>
          <w:sz w:val="25"/>
        </w:rPr>
        <w:t xml:space="preserve">,</w:t>
      </w:r>
      <w:r>
        <w:rPr>
          <w:sz w:val="25"/>
        </w:rPr>
        <w:t xml:space="preserve"> </w:t>
      </w:r>
      <w:r>
        <w:rPr>
          <w:rStyle w:val="VerbatimChar"/>
          <w:sz w:val="25"/>
        </w:rPr>
        <w:t xml:space="preserve">features</w:t>
      </w:r>
      <w:r>
        <w:rPr>
          <w:sz w:val="25"/>
        </w:rPr>
        <w:t xml:space="preserve">,</w:t>
      </w:r>
      <w:r>
        <w:rPr>
          <w:sz w:val="25"/>
        </w:rPr>
        <w:t xml:space="preserve"> </w:t>
      </w:r>
      <w:r>
        <w:rPr>
          <w:rStyle w:val="VerbatimChar"/>
          <w:sz w:val="25"/>
        </w:rPr>
        <w:t xml:space="preserve">issueDate</w:t>
      </w:r>
      <w:r>
        <w:rPr>
          <w:sz w:val="25"/>
        </w:rPr>
        <w:t xml:space="preserve">, and</w:t>
      </w:r>
      <w:r>
        <w:rPr>
          <w:sz w:val="25"/>
        </w:rPr>
        <w:t xml:space="preserve"> </w:t>
      </w:r>
      <w:r>
        <w:rPr>
          <w:rStyle w:val="VerbatimChar"/>
          <w:sz w:val="25"/>
        </w:rPr>
        <w:t xml:space="preserve">signature</w:t>
      </w:r>
      <w:r>
        <w:rPr>
          <w:sz w:val="25"/>
        </w:rPr>
        <w:t xml:space="preserve">). For Bouregreg Group, the Super Admin uploads a</w:t>
      </w:r>
      <w:r>
        <w:rPr>
          <w:sz w:val="25"/>
        </w:rPr>
        <w:t xml:space="preserve"> </w:t>
      </w:r>
      <w:r>
        <w:rPr>
          <w:rStyle w:val="VerbatimChar"/>
          <w:sz w:val="25"/>
        </w:rPr>
        <w:t xml:space="preserve">.lic</w:t>
      </w:r>
      <w:r>
        <w:rPr>
          <w:sz w:val="25"/>
        </w:rPr>
        <w:t xml:space="preserve"> </w:t>
      </w:r>
      <w:r>
        <w:rPr>
          <w:sz w:val="25"/>
        </w:rPr>
        <w:t xml:space="preserve">file with:</w:t>
      </w:r>
    </w:p>
    <w:p>
      <w:pPr>
        <w:numPr>
          <w:ilvl w:val="1"/>
          <w:numId w:val="1005"/>
        </w:numPr>
        <w:pStyle w:val="Compact"/>
      </w:pPr>
      <w:r>
        <w:rPr>
          <w:rStyle w:val="VerbatimChar"/>
          <w:sz w:val="25"/>
        </w:rPr>
        <w:t xml:space="preserve">companyName</w:t>
      </w:r>
      <w:r>
        <w:rPr>
          <w:sz w:val="25"/>
        </w:rPr>
        <w:t xml:space="preserve">:</w:t>
      </w:r>
      <w:r>
        <w:rPr>
          <w:sz w:val="25"/>
        </w:rPr>
        <w:t xml:space="preserve"> </w:t>
      </w:r>
      <w:r>
        <w:rPr>
          <w:sz w:val="25"/>
        </w:rPr>
        <w:t xml:space="preserve">“</w:t>
      </w:r>
      <w:r>
        <w:rPr>
          <w:sz w:val="25"/>
        </w:rPr>
        <w:t xml:space="preserve">Bouregreg Group</w:t>
      </w:r>
      <w:r>
        <w:rPr>
          <w:sz w:val="25"/>
        </w:rPr>
        <w:t xml:space="preserve">”</w:t>
      </w:r>
    </w:p>
    <w:p>
      <w:pPr>
        <w:numPr>
          <w:ilvl w:val="1"/>
          <w:numId w:val="1005"/>
        </w:numPr>
        <w:pStyle w:val="Compact"/>
      </w:pPr>
      <w:r>
        <w:rPr>
          <w:rStyle w:val="VerbatimChar"/>
          <w:sz w:val="25"/>
        </w:rPr>
        <w:t xml:space="preserve">plan</w:t>
      </w:r>
      <w:r>
        <w:rPr>
          <w:sz w:val="25"/>
        </w:rPr>
        <w:t xml:space="preserve">:</w:t>
      </w:r>
      <w:r>
        <w:rPr>
          <w:sz w:val="25"/>
        </w:rPr>
        <w:t xml:space="preserve"> </w:t>
      </w:r>
      <w:r>
        <w:rPr>
          <w:sz w:val="25"/>
        </w:rPr>
        <w:t xml:space="preserve">“</w:t>
      </w:r>
      <w:r>
        <w:rPr>
          <w:sz w:val="25"/>
        </w:rPr>
        <w:t xml:space="preserve">professional</w:t>
      </w:r>
      <w:r>
        <w:rPr>
          <w:sz w:val="25"/>
        </w:rPr>
        <w:t xml:space="preserve">”</w:t>
      </w:r>
    </w:p>
    <w:p>
      <w:pPr>
        <w:numPr>
          <w:ilvl w:val="1"/>
          <w:numId w:val="1005"/>
        </w:numPr>
        <w:pStyle w:val="Compact"/>
      </w:pPr>
      <w:r>
        <w:rPr>
          <w:rStyle w:val="VerbatimChar"/>
          <w:sz w:val="25"/>
        </w:rPr>
        <w:t xml:space="preserve">maxUsers</w:t>
      </w:r>
      <w:r>
        <w:rPr>
          <w:sz w:val="25"/>
        </w:rPr>
        <w:t xml:space="preserve">: 60</w:t>
      </w:r>
    </w:p>
    <w:p>
      <w:pPr>
        <w:numPr>
          <w:ilvl w:val="1"/>
          <w:numId w:val="1005"/>
        </w:numPr>
        <w:pStyle w:val="Compact"/>
      </w:pPr>
      <w:r>
        <w:rPr>
          <w:rStyle w:val="VerbatimChar"/>
          <w:sz w:val="25"/>
        </w:rPr>
        <w:t xml:space="preserve">features</w:t>
      </w:r>
      <w:r>
        <w:rPr>
          <w:sz w:val="25"/>
        </w:rPr>
        <w:t xml:space="preserve">: the feature flags Bouregreg Group’s contract enables (for example</w:t>
      </w:r>
      <w:r>
        <w:rPr>
          <w:sz w:val="25"/>
        </w:rPr>
        <w:t xml:space="preserve"> </w:t>
      </w:r>
      <w:r>
        <w:rPr>
          <w:rStyle w:val="VerbatimChar"/>
          <w:sz w:val="25"/>
        </w:rPr>
        <w:t xml:space="preserve">core_cm_modules</w:t>
      </w:r>
      <w:r>
        <w:rPr>
          <w:sz w:val="25"/>
        </w:rPr>
        <w:t xml:space="preserve">,</w:t>
      </w:r>
      <w:r>
        <w:rPr>
          <w:sz w:val="25"/>
        </w:rPr>
        <w:t xml:space="preserve"> </w:t>
      </w:r>
      <w:r>
        <w:rPr>
          <w:rStyle w:val="VerbatimChar"/>
          <w:sz w:val="25"/>
        </w:rPr>
        <w:t xml:space="preserve">wbs_gantt</w:t>
      </w:r>
      <w:r>
        <w:rPr>
          <w:sz w:val="25"/>
        </w:rPr>
        <w:t xml:space="preserve">,</w:t>
      </w:r>
      <w:r>
        <w:rPr>
          <w:sz w:val="25"/>
        </w:rPr>
        <w:t xml:space="preserve"> </w:t>
      </w:r>
      <w:r>
        <w:rPr>
          <w:rStyle w:val="VerbatimChar"/>
          <w:sz w:val="25"/>
        </w:rPr>
        <w:t xml:space="preserve">ai_use_case_library</w:t>
      </w:r>
      <w:r>
        <w:rPr>
          <w:sz w:val="25"/>
        </w:rPr>
        <w:t xml:space="preserve">,</w:t>
      </w:r>
      <w:r>
        <w:rPr>
          <w:sz w:val="25"/>
        </w:rPr>
        <w:t xml:space="preserve"> </w:t>
      </w:r>
      <w:r>
        <w:rPr>
          <w:rStyle w:val="VerbatimChar"/>
          <w:sz w:val="25"/>
        </w:rPr>
        <w:t xml:space="preserve">process_registry_m18</w:t>
      </w:r>
      <w:r>
        <w:rPr>
          <w:sz w:val="25"/>
        </w:rPr>
        <w:t xml:space="preserve">)</w:t>
      </w:r>
    </w:p>
    <w:p>
      <w:pPr>
        <w:numPr>
          <w:ilvl w:val="0"/>
          <w:numId w:val="1004"/>
        </w:numPr>
        <w:pStyle w:val="Compact"/>
      </w:pPr>
      <w:r>
        <w:rPr>
          <w:sz w:val="25"/>
        </w:rPr>
        <w:t xml:space="preserve">journi checks that the required fields are present before accepting the file. It does</w:t>
      </w:r>
      <w:r>
        <w:rPr>
          <w:sz w:val="25"/>
        </w:rPr>
        <w:t xml:space="preserve"> </w:t>
      </w:r>
      <w:r>
        <w:rPr>
          <w:bCs/>
          <w:b/>
          <w:sz w:val="25"/>
        </w:rPr>
        <w:t xml:space="preserve">not</w:t>
      </w:r>
      <w:r>
        <w:rPr>
          <w:sz w:val="25"/>
        </w:rPr>
        <w:t xml:space="preserve"> </w:t>
      </w:r>
      <w:r>
        <w:rPr>
          <w:sz w:val="25"/>
        </w:rPr>
        <w:t xml:space="preserve">verify the cryptographic signature in this demo build — a production deployment would verify</w:t>
      </w:r>
      <w:r>
        <w:rPr>
          <w:sz w:val="25"/>
        </w:rPr>
        <w:t xml:space="preserve"> </w:t>
      </w:r>
      <w:r>
        <w:rPr>
          <w:rStyle w:val="VerbatimChar"/>
          <w:sz w:val="25"/>
        </w:rPr>
        <w:t xml:space="preserve">signature</w:t>
      </w:r>
      <w:r>
        <w:rPr>
          <w:sz w:val="25"/>
        </w:rPr>
        <w:t xml:space="preserve"> </w:t>
      </w:r>
      <w:r>
        <w:rPr>
          <w:sz w:val="25"/>
        </w:rPr>
        <w:t xml:space="preserve">against the issuer’s public key before accepting it. This is stated plainly here rather than implied to be more secure than it is.</w:t>
      </w:r>
    </w:p>
    <w:p>
      <w:pPr>
        <w:numPr>
          <w:ilvl w:val="0"/>
          <w:numId w:val="1004"/>
        </w:numPr>
        <w:pStyle w:val="Compact"/>
      </w:pPr>
      <w:r>
        <w:rPr>
          <w:sz w:val="25"/>
        </w:rPr>
        <w:t xml:space="preserve">Once accepted, the License panel shows Bouregreg Group’s company name, plan badge, user count against the 60-seat cap, issue and expiry dates, and the feature-flag list — this is the tenant’s identity from this point forward.</w:t>
      </w:r>
    </w:p>
    <w:p>
      <w:pPr>
        <w:pStyle w:val="FirstParagraph"/>
      </w:pPr>
    </w:p>
    <w:bookmarkEnd w:id="27"/>
    <w:bookmarkStart w:id="28" w:name="Xd0460c171f3c5b5b04ecfac3c8336dbf214ee7f"/>
    <w:p>
      <w:pPr>
        <w:pStyle w:val="Heading3"/>
      </w:pPr>
      <w:r>
        <w:rPr>
          <w:b/>
          <w:color w:val="3F827B"/>
          <w:sz w:val="29"/>
        </w:rPr>
        <w:t xml:space="preserve">1.4 Step 2 — Building the Group / Organization Hierarchy (M1)</w:t>
      </w:r>
    </w:p>
    <w:p>
      <w:pPr>
        <w:numPr>
          <w:ilvl w:val="0"/>
          <w:numId w:val="1006"/>
        </w:numPr>
        <w:pStyle w:val="Compact"/>
      </w:pPr>
      <w:r>
        <w:rPr>
          <w:sz w:val="25"/>
        </w:rPr>
        <w:t xml:space="preserve">Open</w:t>
      </w:r>
      <w:r>
        <w:rPr>
          <w:sz w:val="25"/>
        </w:rPr>
        <w:t xml:space="preserve"> </w:t>
      </w:r>
      <w:r>
        <w:rPr>
          <w:bCs/>
          <w:b/>
          <w:sz w:val="25"/>
        </w:rPr>
        <w:t xml:space="preserve">Module 1 — Group / Organization / Projects</w:t>
      </w:r>
      <w:r>
        <w:rPr>
          <w:sz w:val="25"/>
        </w:rPr>
        <w:t xml:space="preserve">.</w:t>
      </w:r>
    </w:p>
    <w:p>
      <w:pPr>
        <w:numPr>
          <w:ilvl w:val="0"/>
          <w:numId w:val="1006"/>
        </w:numPr>
        <w:pStyle w:val="Compact"/>
      </w:pPr>
      <w:r>
        <w:rPr>
          <w:sz w:val="25"/>
        </w:rPr>
        <w:t xml:space="preserve">Click</w:t>
      </w:r>
      <w:r>
        <w:rPr>
          <w:sz w:val="25"/>
        </w:rPr>
        <w:t xml:space="preserve"> </w:t>
      </w:r>
      <w:r>
        <w:rPr>
          <w:bCs/>
          <w:b/>
          <w:sz w:val="25"/>
        </w:rPr>
        <w:t xml:space="preserve">+ Group</w:t>
      </w:r>
      <w:r>
        <w:rPr>
          <w:sz w:val="25"/>
        </w:rPr>
        <w:t xml:space="preserve">, name it</w:t>
      </w:r>
      <w:r>
        <w:rPr>
          <w:sz w:val="25"/>
        </w:rPr>
        <w:t xml:space="preserve"> </w:t>
      </w:r>
      <w:r>
        <w:rPr>
          <w:sz w:val="25"/>
        </w:rPr>
        <w:t xml:space="preserve">“</w:t>
      </w:r>
      <w:r>
        <w:rPr>
          <w:sz w:val="25"/>
        </w:rPr>
        <w:t xml:space="preserve">Bouregreg Group</w:t>
      </w:r>
      <w:r>
        <w:rPr>
          <w:sz w:val="25"/>
        </w:rPr>
        <w:t xml:space="preserve">”</w:t>
      </w:r>
      <w:r>
        <w:rPr>
          <w:sz w:val="25"/>
        </w:rPr>
        <w:t xml:space="preserve">, save.</w:t>
      </w:r>
    </w:p>
    <w:p>
      <w:pPr>
        <w:numPr>
          <w:ilvl w:val="0"/>
          <w:numId w:val="1006"/>
        </w:numPr>
        <w:pStyle w:val="Compact"/>
      </w:pPr>
      <w:r>
        <w:rPr>
          <w:sz w:val="25"/>
        </w:rPr>
        <w:t xml:space="preserve">Click</w:t>
      </w:r>
      <w:r>
        <w:rPr>
          <w:sz w:val="25"/>
        </w:rPr>
        <w:t xml:space="preserve"> </w:t>
      </w:r>
      <w:r>
        <w:rPr>
          <w:bCs/>
          <w:b/>
          <w:sz w:val="25"/>
        </w:rPr>
        <w:t xml:space="preserve">+ Organization</w:t>
      </w:r>
      <w:r>
        <w:rPr>
          <w:sz w:val="25"/>
        </w:rPr>
        <w:t xml:space="preserve">. Fill in:</w:t>
      </w:r>
    </w:p>
    <w:p>
      <w:pPr>
        <w:numPr>
          <w:ilvl w:val="1"/>
          <w:numId w:val="1007"/>
        </w:numPr>
        <w:pStyle w:val="Compact"/>
      </w:pPr>
      <w:r>
        <w:rPr>
          <w:sz w:val="25"/>
        </w:rPr>
        <w:t xml:space="preserve">Name:</w:t>
      </w:r>
      <w:r>
        <w:rPr>
          <w:sz w:val="25"/>
        </w:rPr>
        <w:t xml:space="preserve"> </w:t>
      </w:r>
      <w:r>
        <w:rPr>
          <w:sz w:val="25"/>
        </w:rPr>
        <w:t xml:space="preserve">“</w:t>
      </w:r>
      <w:r>
        <w:rPr>
          <w:sz w:val="25"/>
        </w:rPr>
        <w:t xml:space="preserve">Bouregreg Manufacturing Maroc</w:t>
      </w:r>
      <w:r>
        <w:rPr>
          <w:sz w:val="25"/>
        </w:rPr>
        <w:t xml:space="preserve">”</w:t>
      </w:r>
    </w:p>
    <w:p>
      <w:pPr>
        <w:numPr>
          <w:ilvl w:val="1"/>
          <w:numId w:val="1007"/>
        </w:numPr>
        <w:pStyle w:val="Compact"/>
      </w:pPr>
      <w:r>
        <w:rPr>
          <w:sz w:val="25"/>
        </w:rPr>
        <w:t xml:space="preserve">Group: Bouregreg Group</w:t>
      </w:r>
    </w:p>
    <w:p>
      <w:pPr>
        <w:numPr>
          <w:ilvl w:val="1"/>
          <w:numId w:val="1007"/>
        </w:numPr>
        <w:pStyle w:val="Compact"/>
      </w:pPr>
      <w:r>
        <w:rPr>
          <w:sz w:val="25"/>
        </w:rPr>
        <w:t xml:space="preserve">Type (sector): Manufacturing</w:t>
      </w:r>
    </w:p>
    <w:p>
      <w:pPr>
        <w:numPr>
          <w:ilvl w:val="1"/>
          <w:numId w:val="1007"/>
        </w:numPr>
        <w:pStyle w:val="Compact"/>
      </w:pPr>
      <w:r>
        <w:rPr>
          <w:sz w:val="25"/>
        </w:rPr>
        <w:t xml:space="preserve">Employees: 3400</w:t>
      </w:r>
    </w:p>
    <w:p>
      <w:pPr>
        <w:numPr>
          <w:ilvl w:val="1"/>
          <w:numId w:val="1007"/>
        </w:numPr>
        <w:pStyle w:val="Compact"/>
      </w:pPr>
      <w:r>
        <w:rPr>
          <w:sz w:val="25"/>
        </w:rPr>
        <w:t xml:space="preserve">Sites (comma-separated):</w:t>
      </w:r>
      <w:r>
        <w:rPr>
          <w:sz w:val="25"/>
        </w:rPr>
        <w:t xml:space="preserve"> </w:t>
      </w:r>
      <w:r>
        <w:rPr>
          <w:sz w:val="25"/>
        </w:rPr>
        <w:t xml:space="preserve">“</w:t>
      </w:r>
      <w:r>
        <w:rPr>
          <w:sz w:val="25"/>
        </w:rPr>
        <w:t xml:space="preserve">Casablanca HQ, Kenitra Plant, Settat Plant</w:t>
      </w:r>
      <w:r>
        <w:rPr>
          <w:sz w:val="25"/>
        </w:rPr>
        <w:t xml:space="preserve">”</w:t>
      </w:r>
    </w:p>
    <w:p>
      <w:pPr>
        <w:numPr>
          <w:ilvl w:val="1"/>
          <w:numId w:val="1007"/>
        </w:numPr>
        <w:pStyle w:val="Compact"/>
      </w:pPr>
      <w:r>
        <w:rPr>
          <w:sz w:val="25"/>
        </w:rPr>
        <w:t xml:space="preserve">Language(s):</w:t>
      </w:r>
      <w:r>
        <w:rPr>
          <w:sz w:val="25"/>
        </w:rPr>
        <w:t xml:space="preserve"> </w:t>
      </w:r>
      <w:r>
        <w:rPr>
          <w:sz w:val="25"/>
        </w:rPr>
        <w:t xml:space="preserve">“</w:t>
      </w:r>
      <w:r>
        <w:rPr>
          <w:sz w:val="25"/>
        </w:rPr>
        <w:t xml:space="preserve">fr, ar</w:t>
      </w:r>
      <w:r>
        <w:rPr>
          <w:sz w:val="25"/>
        </w:rPr>
        <w:t xml:space="preserve">”</w:t>
      </w:r>
    </w:p>
    <w:p>
      <w:pPr>
        <w:numPr>
          <w:ilvl w:val="1"/>
          <w:numId w:val="1007"/>
        </w:numPr>
        <w:pStyle w:val="Compact"/>
      </w:pPr>
      <w:r>
        <w:rPr>
          <w:sz w:val="25"/>
        </w:rPr>
        <w:t xml:space="preserve">Default language: French</w:t>
      </w:r>
    </w:p>
    <w:p>
      <w:pPr>
        <w:numPr>
          <w:ilvl w:val="0"/>
          <w:numId w:val="1006"/>
        </w:numPr>
        <w:pStyle w:val="Compact"/>
      </w:pPr>
      <w:r>
        <w:rPr>
          <w:sz w:val="25"/>
        </w:rPr>
        <w:t xml:space="preserve">Save. The Organization card now shows its sector, employee count, site count, and languages, and — for anyone with hierarchy-management rights — an inline default-language selector that future users in this Organization inherit unless they set a personal language preference.</w:t>
      </w:r>
    </w:p>
    <w:p>
      <w:pPr>
        <w:pStyle w:val="FirstParagraph"/>
      </w:pPr>
    </w:p>
    <w:bookmarkEnd w:id="28"/>
    <w:bookmarkStart w:id="29" w:name="Xeb1d9bd2cb34f0ffd6c6af41bad30fb01857eec"/>
    <w:p>
      <w:pPr>
        <w:pStyle w:val="Heading3"/>
      </w:pPr>
      <w:r>
        <w:rPr>
          <w:b/>
          <w:color w:val="3F827B"/>
          <w:sz w:val="29"/>
        </w:rPr>
        <w:t xml:space="preserve">1.5 Step 3 — Creating User Accounts and Scopes (M2)</w:t>
      </w:r>
    </w:p>
    <w:p>
      <w:pPr>
        <w:pStyle w:val="FirstParagraph"/>
      </w:pPr>
      <w:r>
        <w:rPr>
          <w:sz w:val="25"/>
        </w:rPr>
        <w:t xml:space="preserve">Every journi user carries exactly three things beyond name, email, and language: a</w:t>
      </w:r>
      <w:r>
        <w:rPr>
          <w:sz w:val="25"/>
        </w:rPr>
        <w:t xml:space="preserve"> </w:t>
      </w:r>
      <w:r>
        <w:rPr>
          <w:bCs/>
          <w:b/>
          <w:sz w:val="25"/>
        </w:rPr>
        <w:t xml:space="preserve">role</w:t>
      </w:r>
      <w:r>
        <w:rPr>
          <w:sz w:val="25"/>
        </w:rPr>
        <w:t xml:space="preserve"> </w:t>
      </w:r>
      <w:r>
        <w:rPr>
          <w:sz w:val="25"/>
        </w:rPr>
        <w:t xml:space="preserve">(one of nine), a</w:t>
      </w:r>
      <w:r>
        <w:rPr>
          <w:sz w:val="25"/>
        </w:rPr>
        <w:t xml:space="preserve"> </w:t>
      </w:r>
      <w:r>
        <w:rPr>
          <w:bCs/>
          <w:b/>
          <w:sz w:val="25"/>
        </w:rPr>
        <w:t xml:space="preserve">scope type</w:t>
      </w:r>
      <w:r>
        <w:rPr>
          <w:sz w:val="25"/>
        </w:rPr>
        <w:t xml:space="preserve"> </w:t>
      </w:r>
      <w:r>
        <w:rPr>
          <w:sz w:val="25"/>
        </w:rPr>
        <w:t xml:space="preserve">(</w:t>
      </w:r>
      <w:r>
        <w:rPr>
          <w:rStyle w:val="VerbatimChar"/>
          <w:sz w:val="25"/>
        </w:rPr>
        <w:t xml:space="preserve">platform</w:t>
      </w:r>
      <w:r>
        <w:rPr>
          <w:sz w:val="25"/>
        </w:rPr>
        <w:t xml:space="preserve">,</w:t>
      </w:r>
      <w:r>
        <w:rPr>
          <w:sz w:val="25"/>
        </w:rPr>
        <w:t xml:space="preserve"> </w:t>
      </w:r>
      <w:r>
        <w:rPr>
          <w:rStyle w:val="VerbatimChar"/>
          <w:sz w:val="25"/>
        </w:rPr>
        <w:t xml:space="preserve">group</w:t>
      </w:r>
      <w:r>
        <w:rPr>
          <w:sz w:val="25"/>
        </w:rPr>
        <w:t xml:space="preserve">,</w:t>
      </w:r>
      <w:r>
        <w:rPr>
          <w:sz w:val="25"/>
        </w:rPr>
        <w:t xml:space="preserve"> </w:t>
      </w:r>
      <w:r>
        <w:rPr>
          <w:rStyle w:val="VerbatimChar"/>
          <w:sz w:val="25"/>
        </w:rPr>
        <w:t xml:space="preserve">organization</w:t>
      </w:r>
      <w:r>
        <w:rPr>
          <w:sz w:val="25"/>
        </w:rPr>
        <w:t xml:space="preserve">, or</w:t>
      </w:r>
      <w:r>
        <w:rPr>
          <w:sz w:val="25"/>
        </w:rPr>
        <w:t xml:space="preserve"> </w:t>
      </w:r>
      <w:r>
        <w:rPr>
          <w:rStyle w:val="VerbatimChar"/>
          <w:sz w:val="25"/>
        </w:rPr>
        <w:t xml:space="preserve">project</w:t>
      </w:r>
      <w:r>
        <w:rPr>
          <w:sz w:val="25"/>
        </w:rPr>
        <w:t xml:space="preserve">), and a</w:t>
      </w:r>
      <w:r>
        <w:rPr>
          <w:sz w:val="25"/>
        </w:rPr>
        <w:t xml:space="preserve"> </w:t>
      </w:r>
      <w:r>
        <w:rPr>
          <w:bCs/>
          <w:b/>
          <w:sz w:val="25"/>
        </w:rPr>
        <w:t xml:space="preserve">scope ID</w:t>
      </w:r>
      <w:r>
        <w:rPr>
          <w:sz w:val="25"/>
        </w:rPr>
        <w:t xml:space="preserve"> </w:t>
      </w:r>
      <w:r>
        <w:rPr>
          <w:sz w:val="25"/>
        </w:rPr>
        <w:t xml:space="preserve">(which Group, Organization, or Project that scope resolves to). Scope is what actually limits what a user sees — role determines</w:t>
      </w:r>
      <w:r>
        <w:rPr>
          <w:sz w:val="25"/>
        </w:rPr>
        <w:t xml:space="preserve"> </w:t>
      </w:r>
      <w:r>
        <w:rPr>
          <w:iCs/>
          <w:i/>
          <w:sz w:val="25"/>
        </w:rPr>
        <w:t xml:space="preserve">capability</w:t>
      </w:r>
      <w:r>
        <w:rPr>
          <w:sz w:val="25"/>
        </w:rPr>
        <w:t xml:space="preserve"> </w:t>
      </w:r>
      <w:r>
        <w:rPr>
          <w:sz w:val="25"/>
        </w:rPr>
        <w:t xml:space="preserve">(can this person edit the Permission Matrix), scope determines</w:t>
      </w:r>
      <w:r>
        <w:rPr>
          <w:sz w:val="25"/>
        </w:rPr>
        <w:t xml:space="preserve"> </w:t>
      </w:r>
      <w:r>
        <w:rPr>
          <w:iCs/>
          <w:i/>
          <w:sz w:val="25"/>
        </w:rPr>
        <w:t xml:space="preserve">reach</w:t>
      </w:r>
      <w:r>
        <w:rPr>
          <w:sz w:val="25"/>
        </w:rPr>
        <w:t xml:space="preserve"> </w:t>
      </w:r>
      <w:r>
        <w:rPr>
          <w:sz w:val="25"/>
        </w:rPr>
        <w:t xml:space="preserve">(which Organizations’ and Projects’ data this person’s role applies to).</w:t>
      </w:r>
    </w:p>
    <w:p>
      <w:pPr>
        <w:pStyle w:val="BodyText"/>
      </w:pPr>
      <w:r>
        <w:rPr>
          <w:sz w:val="25"/>
        </w:rPr>
        <w:t xml:space="preserve">Open</w:t>
      </w:r>
      <w:r>
        <w:rPr>
          <w:sz w:val="25"/>
        </w:rPr>
        <w:t xml:space="preserve"> </w:t>
      </w:r>
      <w:r>
        <w:rPr>
          <w:bCs/>
          <w:b/>
          <w:sz w:val="25"/>
        </w:rPr>
        <w:t xml:space="preserve">Module 2 — Users &amp; Roles</w:t>
      </w:r>
      <w:r>
        <w:rPr>
          <w:sz w:val="25"/>
        </w:rPr>
        <w:t xml:space="preserve">,</w:t>
      </w:r>
      <w:r>
        <w:rPr>
          <w:sz w:val="25"/>
        </w:rPr>
        <w:t xml:space="preserve"> </w:t>
      </w:r>
      <w:r>
        <w:rPr>
          <w:bCs/>
          <w:b/>
          <w:sz w:val="25"/>
        </w:rPr>
        <w:t xml:space="preserve">Users &amp; Scope</w:t>
      </w:r>
      <w:r>
        <w:rPr>
          <w:sz w:val="25"/>
        </w:rPr>
        <w:t xml:space="preserve"> </w:t>
      </w:r>
      <w:r>
        <w:rPr>
          <w:sz w:val="25"/>
        </w:rPr>
        <w:t xml:space="preserve">tab, and click</w:t>
      </w:r>
      <w:r>
        <w:rPr>
          <w:sz w:val="25"/>
        </w:rPr>
        <w:t xml:space="preserve"> </w:t>
      </w:r>
      <w:r>
        <w:rPr>
          <w:bCs/>
          <w:b/>
          <w:sz w:val="25"/>
        </w:rPr>
        <w:t xml:space="preserve">+ Add</w:t>
      </w:r>
      <w:r>
        <w:rPr>
          <w:sz w:val="25"/>
        </w:rPr>
        <w:t xml:space="preserve"> </w:t>
      </w:r>
      <w:r>
        <w:rPr>
          <w:sz w:val="25"/>
        </w:rPr>
        <w:t xml:space="preserve">for each of the following, seeding Bouregreg Group’s initial team: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shd w:val="clear" w:fill="1F4B45"/>
          </w:tcPr>
          <w:p>
            <w:pPr>
              <w:pStyle w:val="Compact"/>
              <w:jc w:val="left"/>
            </w:pPr>
            <w:r>
              <w:rPr>
                <w:b/>
                <w:color w:val="FFFFFF"/>
                <w:sz w:val="22"/>
              </w:rPr>
              <w:t xml:space="preserve">Name</w:t>
            </w:r>
          </w:p>
        </w:tc>
        <w:tc>
          <w:tcPr>
            <w:shd w:val="clear" w:fill="1F4B45"/>
          </w:tcPr>
          <w:p>
            <w:pPr>
              <w:pStyle w:val="Compact"/>
              <w:jc w:val="left"/>
            </w:pPr>
            <w:r>
              <w:rPr>
                <w:b/>
                <w:color w:val="FFFFFF"/>
                <w:sz w:val="22"/>
              </w:rPr>
              <w:t xml:space="preserve">Role</w:t>
            </w:r>
          </w:p>
        </w:tc>
        <w:tc>
          <w:tcPr>
            <w:shd w:val="clear" w:fill="1F4B45"/>
          </w:tcPr>
          <w:p>
            <w:pPr>
              <w:pStyle w:val="Compact"/>
              <w:jc w:val="left"/>
            </w:pPr>
            <w:r>
              <w:rPr>
                <w:b/>
                <w:color w:val="FFFFFF"/>
                <w:sz w:val="22"/>
              </w:rPr>
              <w:t xml:space="preserve">Scope type</w:t>
            </w:r>
          </w:p>
        </w:tc>
        <w:tc>
          <w:tcPr>
            <w:shd w:val="clear" w:fill="1F4B45"/>
          </w:tcPr>
          <w:p>
            <w:pPr>
              <w:pStyle w:val="Compact"/>
              <w:jc w:val="left"/>
            </w:pPr>
            <w:r>
              <w:rPr>
                <w:b/>
                <w:color w:val="FFFFFF"/>
                <w:sz w:val="22"/>
              </w:rPr>
              <w:t xml:space="preserve">Scope</w:t>
            </w:r>
          </w:p>
        </w:tc>
        <w:tc>
          <w:tcPr>
            <w:shd w:val="clear" w:fill="1F4B45"/>
          </w:tcPr>
          <w:p>
            <w:pPr>
              <w:pStyle w:val="Compact"/>
              <w:jc w:val="left"/>
            </w:pPr>
            <w:r>
              <w:rPr>
                <w:b/>
                <w:color w:val="FFFFFF"/>
                <w:sz w:val="22"/>
              </w:rPr>
              <w:t xml:space="preserve">Language</w:t>
            </w:r>
          </w:p>
        </w:tc>
      </w:tr>
      <w:tr>
        <w:trPr>
          <w:cantSplit/>
        </w:trPr>
        <w:tc>
          <w:tcPr/>
          <w:p>
            <w:pPr>
              <w:pStyle w:val="Compact"/>
              <w:jc w:val="left"/>
            </w:pPr>
            <w:r>
              <w:rPr>
                <w:sz w:val="22"/>
              </w:rPr>
              <w:t xml:space="preserve">Zineb Alaoui</w:t>
            </w:r>
          </w:p>
        </w:tc>
        <w:tc>
          <w:tcPr/>
          <w:p>
            <w:pPr>
              <w:pStyle w:val="Compact"/>
              <w:jc w:val="left"/>
            </w:pPr>
            <w:r>
              <w:rPr>
                <w:sz w:val="22"/>
              </w:rPr>
              <w:t xml:space="preserve">Super Admin</w:t>
            </w:r>
          </w:p>
        </w:tc>
        <w:tc>
          <w:tcPr/>
          <w:p>
            <w:pPr>
              <w:pStyle w:val="Compact"/>
              <w:jc w:val="left"/>
            </w:pPr>
            <w:r>
              <w:rPr>
                <w:sz w:val="22"/>
              </w:rPr>
              <w:t xml:space="preserve">Platform</w:t>
            </w:r>
          </w:p>
        </w:tc>
        <w:tc>
          <w:tcPr/>
          <w:p>
            <w:pPr>
              <w:pStyle w:val="Compact"/>
              <w:jc w:val="left"/>
            </w:pPr>
            <w:r>
              <w:rPr>
                <w:sz w:val="22"/>
              </w:rPr>
              <w:t xml:space="preserve">(whole deployment)</w:t>
            </w:r>
          </w:p>
        </w:tc>
        <w:tc>
          <w:tcPr/>
          <w:p>
            <w:pPr>
              <w:pStyle w:val="Compact"/>
              <w:jc w:val="left"/>
            </w:pPr>
            <w:r>
              <w:rPr>
                <w:sz w:val="22"/>
              </w:rPr>
              <w:t xml:space="preserve">French</w:t>
            </w:r>
          </w:p>
        </w:tc>
      </w:tr>
      <w:tr>
        <w:trPr>
          <w:cantSplit/>
        </w:trPr>
        <w:tc>
          <w:tcPr/>
          <w:p>
            <w:pPr>
              <w:pStyle w:val="Compact"/>
              <w:jc w:val="left"/>
            </w:pPr>
            <w:r>
              <w:rPr>
                <w:sz w:val="22"/>
              </w:rPr>
              <w:t xml:space="preserve">Anas Bouzid</w:t>
            </w:r>
          </w:p>
        </w:tc>
        <w:tc>
          <w:tcPr/>
          <w:p>
            <w:pPr>
              <w:pStyle w:val="Compact"/>
              <w:jc w:val="left"/>
            </w:pPr>
            <w:r>
              <w:rPr>
                <w:sz w:val="22"/>
              </w:rPr>
              <w:t xml:space="preserve">Group Admin</w:t>
            </w:r>
          </w:p>
        </w:tc>
        <w:tc>
          <w:tcPr/>
          <w:p>
            <w:pPr>
              <w:pStyle w:val="Compact"/>
              <w:jc w:val="left"/>
            </w:pPr>
            <w:r>
              <w:rPr>
                <w:sz w:val="22"/>
              </w:rPr>
              <w:t xml:space="preserve">Group</w:t>
            </w:r>
          </w:p>
        </w:tc>
        <w:tc>
          <w:tcPr/>
          <w:p>
            <w:pPr>
              <w:pStyle w:val="Compact"/>
              <w:jc w:val="left"/>
            </w:pPr>
            <w:r>
              <w:rPr>
                <w:sz w:val="22"/>
              </w:rPr>
              <w:t xml:space="preserve">Bouregreg Group</w:t>
            </w:r>
          </w:p>
        </w:tc>
        <w:tc>
          <w:tcPr/>
          <w:p>
            <w:pPr>
              <w:pStyle w:val="Compact"/>
              <w:jc w:val="left"/>
            </w:pPr>
            <w:r>
              <w:rPr>
                <w:sz w:val="22"/>
              </w:rPr>
              <w:t xml:space="preserve">French</w:t>
            </w:r>
          </w:p>
        </w:tc>
      </w:tr>
      <w:tr>
        <w:trPr>
          <w:cantSplit/>
        </w:trPr>
        <w:tc>
          <w:tcPr/>
          <w:p>
            <w:pPr>
              <w:pStyle w:val="Compact"/>
              <w:jc w:val="left"/>
            </w:pPr>
            <w:r>
              <w:rPr>
                <w:sz w:val="22"/>
              </w:rPr>
              <w:t xml:space="preserve">Meryem Sabri</w:t>
            </w:r>
          </w:p>
        </w:tc>
        <w:tc>
          <w:tcPr/>
          <w:p>
            <w:pPr>
              <w:pStyle w:val="Compact"/>
              <w:jc w:val="left"/>
            </w:pPr>
            <w:r>
              <w:rPr>
                <w:sz w:val="22"/>
              </w:rPr>
              <w:t xml:space="preserve">Org Admin</w:t>
            </w:r>
          </w:p>
        </w:tc>
        <w:tc>
          <w:tcPr/>
          <w:p>
            <w:pPr>
              <w:pStyle w:val="Compact"/>
              <w:jc w:val="left"/>
            </w:pPr>
            <w:r>
              <w:rPr>
                <w:sz w:val="22"/>
              </w:rPr>
              <w:t xml:space="preserve">Organization</w:t>
            </w:r>
          </w:p>
        </w:tc>
        <w:tc>
          <w:tcPr/>
          <w:p>
            <w:pPr>
              <w:pStyle w:val="Compact"/>
              <w:jc w:val="left"/>
            </w:pPr>
            <w:r>
              <w:rPr>
                <w:sz w:val="22"/>
              </w:rPr>
              <w:t xml:space="preserve">Bouregreg Manufacturing Maroc</w:t>
            </w:r>
          </w:p>
        </w:tc>
        <w:tc>
          <w:tcPr/>
          <w:p>
            <w:pPr>
              <w:pStyle w:val="Compact"/>
              <w:jc w:val="left"/>
            </w:pPr>
            <w:r>
              <w:rPr>
                <w:sz w:val="22"/>
              </w:rPr>
              <w:t xml:space="preserve">French</w:t>
            </w:r>
          </w:p>
        </w:tc>
      </w:tr>
      <w:tr>
        <w:trPr>
          <w:cantSplit/>
        </w:trPr>
        <w:tc>
          <w:tcPr/>
          <w:p>
            <w:pPr>
              <w:pStyle w:val="Compact"/>
              <w:jc w:val="left"/>
            </w:pPr>
            <w:r>
              <w:rPr>
                <w:sz w:val="22"/>
              </w:rPr>
              <w:t xml:space="preserve">Driss El Amrani</w:t>
            </w:r>
          </w:p>
        </w:tc>
        <w:tc>
          <w:tcPr/>
          <w:p>
            <w:pPr>
              <w:pStyle w:val="Compact"/>
              <w:jc w:val="left"/>
            </w:pPr>
            <w:r>
              <w:rPr>
                <w:sz w:val="22"/>
              </w:rPr>
              <w:t xml:space="preserve">Change Manager</w:t>
            </w:r>
          </w:p>
        </w:tc>
        <w:tc>
          <w:tcPr/>
          <w:p>
            <w:pPr>
              <w:pStyle w:val="Compact"/>
              <w:jc w:val="left"/>
            </w:pPr>
            <w:r>
              <w:rPr>
                <w:sz w:val="22"/>
              </w:rPr>
              <w:t xml:space="preserve">Project</w:t>
            </w:r>
          </w:p>
        </w:tc>
        <w:tc>
          <w:tcPr/>
          <w:p>
            <w:pPr>
              <w:pStyle w:val="Compact"/>
              <w:jc w:val="left"/>
            </w:pPr>
            <w:r>
              <w:rPr>
                <w:sz w:val="22"/>
              </w:rPr>
              <w:t xml:space="preserve">Bouregreg ERP Adoption Program</w:t>
            </w:r>
            <w:r>
              <w:rPr>
                <w:sz w:val="22"/>
              </w:rPr>
              <w:t xml:space="preserve"> </w:t>
            </w:r>
            <w:r>
              <w:rPr>
                <w:iCs/>
                <w:i/>
                <w:sz w:val="22"/>
              </w:rPr>
              <w:t xml:space="preserve">(created in Step 6 below)</w:t>
            </w:r>
          </w:p>
        </w:tc>
        <w:tc>
          <w:tcPr/>
          <w:p>
            <w:pPr>
              <w:pStyle w:val="Compact"/>
              <w:jc w:val="left"/>
            </w:pPr>
            <w:r>
              <w:rPr>
                <w:sz w:val="22"/>
              </w:rPr>
              <w:t xml:space="preserve">French</w:t>
            </w:r>
          </w:p>
        </w:tc>
      </w:tr>
      <w:tr>
        <w:trPr>
          <w:cantSplit/>
        </w:trPr>
        <w:tc>
          <w:tcPr/>
          <w:p>
            <w:pPr>
              <w:pStyle w:val="Compact"/>
              <w:jc w:val="left"/>
            </w:pPr>
            <w:r>
              <w:rPr>
                <w:sz w:val="22"/>
              </w:rPr>
              <w:t xml:space="preserve">Houda Zerouali</w:t>
            </w:r>
          </w:p>
        </w:tc>
        <w:tc>
          <w:tcPr/>
          <w:p>
            <w:pPr>
              <w:pStyle w:val="Compact"/>
              <w:jc w:val="left"/>
            </w:pPr>
            <w:r>
              <w:rPr>
                <w:sz w:val="22"/>
              </w:rPr>
              <w:t xml:space="preserve">People Manager</w:t>
            </w:r>
          </w:p>
        </w:tc>
        <w:tc>
          <w:tcPr/>
          <w:p>
            <w:pPr>
              <w:pStyle w:val="Compact"/>
              <w:jc w:val="left"/>
            </w:pPr>
            <w:r>
              <w:rPr>
                <w:sz w:val="22"/>
              </w:rPr>
              <w:t xml:space="preserve">Project</w:t>
            </w:r>
          </w:p>
        </w:tc>
        <w:tc>
          <w:tcPr/>
          <w:p>
            <w:pPr>
              <w:pStyle w:val="Compact"/>
              <w:jc w:val="left"/>
            </w:pPr>
            <w:r>
              <w:rPr>
                <w:sz w:val="22"/>
              </w:rPr>
              <w:t xml:space="preserve">Bouregreg ERP Adoption Program</w:t>
            </w:r>
          </w:p>
        </w:tc>
        <w:tc>
          <w:tcPr/>
          <w:p>
            <w:pPr>
              <w:pStyle w:val="Compact"/>
              <w:jc w:val="left"/>
            </w:pPr>
            <w:r>
              <w:rPr>
                <w:sz w:val="22"/>
              </w:rPr>
              <w:t xml:space="preserve">Arabic</w:t>
            </w:r>
          </w:p>
        </w:tc>
      </w:tr>
      <w:tr>
        <w:trPr>
          <w:cantSplit/>
        </w:trPr>
        <w:tc>
          <w:tcPr/>
          <w:p>
            <w:pPr>
              <w:pStyle w:val="Compact"/>
              <w:jc w:val="left"/>
            </w:pPr>
            <w:r>
              <w:rPr>
                <w:sz w:val="22"/>
              </w:rPr>
              <w:t xml:space="preserve">CFO, Bouregreg Group</w:t>
            </w:r>
          </w:p>
        </w:tc>
        <w:tc>
          <w:tcPr/>
          <w:p>
            <w:pPr>
              <w:pStyle w:val="Compact"/>
              <w:jc w:val="left"/>
            </w:pPr>
            <w:r>
              <w:rPr>
                <w:sz w:val="22"/>
              </w:rPr>
              <w:t xml:space="preserve">Sponsor</w:t>
            </w:r>
          </w:p>
        </w:tc>
        <w:tc>
          <w:tcPr/>
          <w:p>
            <w:pPr>
              <w:pStyle w:val="Compact"/>
              <w:jc w:val="left"/>
            </w:pPr>
            <w:r>
              <w:rPr>
                <w:sz w:val="22"/>
              </w:rPr>
              <w:t xml:space="preserve">Project</w:t>
            </w:r>
          </w:p>
        </w:tc>
        <w:tc>
          <w:tcPr/>
          <w:p>
            <w:pPr>
              <w:pStyle w:val="Compact"/>
              <w:jc w:val="left"/>
            </w:pPr>
            <w:r>
              <w:rPr>
                <w:sz w:val="22"/>
              </w:rPr>
              <w:t xml:space="preserve">Bouregreg ERP Adoption Program</w:t>
            </w:r>
          </w:p>
        </w:tc>
        <w:tc>
          <w:tcPr/>
          <w:p>
            <w:pPr>
              <w:pStyle w:val="Compact"/>
              <w:jc w:val="left"/>
            </w:pPr>
            <w:r>
              <w:rPr>
                <w:sz w:val="22"/>
              </w:rPr>
              <w:t xml:space="preserve">French</w:t>
            </w:r>
          </w:p>
        </w:tc>
      </w:tr>
      <w:tr>
        <w:trPr>
          <w:cantSplit/>
        </w:trPr>
        <w:tc>
          <w:tcPr/>
          <w:p>
            <w:pPr>
              <w:pStyle w:val="Compact"/>
              <w:jc w:val="left"/>
            </w:pPr>
            <w:r>
              <w:rPr>
                <w:sz w:val="22"/>
              </w:rPr>
              <w:t xml:space="preserve">Board Executive Viewer</w:t>
            </w:r>
          </w:p>
        </w:tc>
        <w:tc>
          <w:tcPr/>
          <w:p>
            <w:pPr>
              <w:pStyle w:val="Compact"/>
              <w:jc w:val="left"/>
            </w:pPr>
            <w:r>
              <w:rPr>
                <w:sz w:val="22"/>
              </w:rPr>
              <w:t xml:space="preserve">Executive</w:t>
            </w:r>
          </w:p>
        </w:tc>
        <w:tc>
          <w:tcPr/>
          <w:p>
            <w:pPr>
              <w:pStyle w:val="Compact"/>
              <w:jc w:val="left"/>
            </w:pPr>
            <w:r>
              <w:rPr>
                <w:sz w:val="22"/>
              </w:rPr>
              <w:t xml:space="preserve">Organization</w:t>
            </w:r>
          </w:p>
        </w:tc>
        <w:tc>
          <w:tcPr/>
          <w:p>
            <w:pPr>
              <w:pStyle w:val="Compact"/>
              <w:jc w:val="left"/>
            </w:pPr>
            <w:r>
              <w:rPr>
                <w:sz w:val="22"/>
              </w:rPr>
              <w:t xml:space="preserve">Bouregreg Manufacturing Maroc</w:t>
            </w:r>
          </w:p>
        </w:tc>
        <w:tc>
          <w:tcPr/>
          <w:p>
            <w:pPr>
              <w:pStyle w:val="Compact"/>
              <w:jc w:val="left"/>
            </w:pPr>
            <w:r>
              <w:rPr>
                <w:sz w:val="22"/>
              </w:rPr>
              <w:t xml:space="preserve">French</w:t>
            </w:r>
          </w:p>
        </w:tc>
      </w:tr>
      <w:tr>
        <w:trPr>
          <w:cantSplit/>
        </w:trPr>
        <w:tc>
          <w:tcPr/>
          <w:p>
            <w:pPr>
              <w:pStyle w:val="Compact"/>
              <w:jc w:val="left"/>
            </w:pPr>
            <w:r>
              <w:rPr>
                <w:sz w:val="22"/>
              </w:rPr>
              <w:t xml:space="preserve">Reda Loukili</w:t>
            </w:r>
          </w:p>
        </w:tc>
        <w:tc>
          <w:tcPr/>
          <w:p>
            <w:pPr>
              <w:pStyle w:val="Compact"/>
              <w:jc w:val="left"/>
            </w:pPr>
            <w:r>
              <w:rPr>
                <w:sz w:val="22"/>
              </w:rPr>
              <w:t xml:space="preserve">Employee</w:t>
            </w:r>
          </w:p>
        </w:tc>
        <w:tc>
          <w:tcPr/>
          <w:p>
            <w:pPr>
              <w:pStyle w:val="Compact"/>
              <w:jc w:val="left"/>
            </w:pPr>
            <w:r>
              <w:rPr>
                <w:sz w:val="22"/>
              </w:rPr>
              <w:t xml:space="preserve">Project</w:t>
            </w:r>
          </w:p>
        </w:tc>
        <w:tc>
          <w:tcPr/>
          <w:p>
            <w:pPr>
              <w:pStyle w:val="Compact"/>
              <w:jc w:val="left"/>
            </w:pPr>
            <w:r>
              <w:rPr>
                <w:sz w:val="22"/>
              </w:rPr>
              <w:t xml:space="preserve">Bouregreg ERP Adoption Program</w:t>
            </w:r>
          </w:p>
        </w:tc>
        <w:tc>
          <w:tcPr/>
          <w:p>
            <w:pPr>
              <w:pStyle w:val="Compact"/>
              <w:jc w:val="left"/>
            </w:pPr>
            <w:r>
              <w:rPr>
                <w:sz w:val="22"/>
              </w:rPr>
              <w:t xml:space="preserve">Arabic</w:t>
            </w:r>
          </w:p>
        </w:tc>
      </w:tr>
      <w:tr>
        <w:trPr>
          <w:cantSplit/>
        </w:trPr>
        <w:tc>
          <w:tcPr/>
          <w:p>
            <w:pPr>
              <w:pStyle w:val="Compact"/>
              <w:jc w:val="left"/>
            </w:pPr>
            <w:r>
              <w:rPr>
                <w:sz w:val="22"/>
              </w:rPr>
              <w:t xml:space="preserve">Ghita Bennis</w:t>
            </w:r>
          </w:p>
        </w:tc>
        <w:tc>
          <w:tcPr/>
          <w:p>
            <w:pPr>
              <w:pStyle w:val="Compact"/>
              <w:jc w:val="left"/>
            </w:pPr>
            <w:r>
              <w:rPr>
                <w:sz w:val="22"/>
              </w:rPr>
              <w:t xml:space="preserve">Practitioner / Contributor</w:t>
            </w:r>
          </w:p>
        </w:tc>
        <w:tc>
          <w:tcPr/>
          <w:p>
            <w:pPr>
              <w:pStyle w:val="Compact"/>
              <w:jc w:val="left"/>
            </w:pPr>
            <w:r>
              <w:rPr>
                <w:sz w:val="22"/>
              </w:rPr>
              <w:t xml:space="preserve">Project</w:t>
            </w:r>
          </w:p>
        </w:tc>
        <w:tc>
          <w:tcPr/>
          <w:p>
            <w:pPr>
              <w:pStyle w:val="Compact"/>
              <w:jc w:val="left"/>
            </w:pPr>
            <w:r>
              <w:rPr>
                <w:sz w:val="22"/>
              </w:rPr>
              <w:t xml:space="preserve">Bouregreg ERP Adoption Program</w:t>
            </w:r>
          </w:p>
        </w:tc>
        <w:tc>
          <w:tcPr/>
          <w:p>
            <w:pPr>
              <w:pStyle w:val="Compact"/>
              <w:jc w:val="left"/>
            </w:pPr>
            <w:r>
              <w:rPr>
                <w:sz w:val="22"/>
              </w:rPr>
              <w:t xml:space="preserve">French</w:t>
            </w:r>
          </w:p>
        </w:tc>
      </w:tr>
    </w:tbl>
    <w:p>
      <w:pPr>
        <w:pStyle w:val="BodyText"/>
      </w:pPr>
      <w:r>
        <w:rPr>
          <w:sz w:val="25"/>
        </w:rPr>
        <w:t xml:space="preserve">A practical note this guide carries over from journi’s own behavior rather than invents: a Change Manager, People Manager, Sponsor, Employee, or Practitioner account can only be scoped to a Project, so the four project-scoped rows above are created (or their scope corrected) once the Bouregreg ERP Adoption Program project exists in Step 6 — in practice, a Super Admin typically completes Steps 2–3’s Organization-level and Group-level accounts first, creates the first Project, and only then finishes scoping the project-level team. Self-service sign-ups, separately, land as pending Employee accounts awaiting approval rather than being created directly through this screen.</w:t>
      </w:r>
    </w:p>
    <w:p>
      <w:pPr>
        <w:pStyle w:val="BodyText"/>
      </w:pPr>
    </w:p>
    <w:bookmarkEnd w:id="29"/>
    <w:bookmarkStart w:id="30" w:name="step-4-the-permission-matrix-m2"/>
    <w:p>
      <w:pPr>
        <w:pStyle w:val="Heading3"/>
      </w:pPr>
      <w:r>
        <w:rPr>
          <w:b/>
          <w:color w:val="3F827B"/>
          <w:sz w:val="29"/>
        </w:rPr>
        <w:t xml:space="preserve">1.6 Step 4 — The Permission Matrix (M2)</w:t>
      </w:r>
    </w:p>
    <w:p>
      <w:pPr>
        <w:numPr>
          <w:ilvl w:val="0"/>
          <w:numId w:val="1008"/>
        </w:numPr>
        <w:pStyle w:val="Compact"/>
      </w:pPr>
      <w:r>
        <w:rPr>
          <w:sz w:val="25"/>
        </w:rPr>
        <w:t xml:space="preserve">Open the</w:t>
      </w:r>
      <w:r>
        <w:rPr>
          <w:sz w:val="25"/>
        </w:rPr>
        <w:t xml:space="preserve"> </w:t>
      </w:r>
      <w:r>
        <w:rPr>
          <w:bCs/>
          <w:b/>
          <w:sz w:val="25"/>
        </w:rPr>
        <w:t xml:space="preserve">Permission Matrix</w:t>
      </w:r>
      <w:r>
        <w:rPr>
          <w:sz w:val="25"/>
        </w:rPr>
        <w:t xml:space="preserve"> </w:t>
      </w:r>
      <w:r>
        <w:rPr>
          <w:sz w:val="25"/>
        </w:rPr>
        <w:t xml:space="preserve">tab. This table is platform-wide, not scoped to one Organization, and only a Super Admin may edit it — every other role sees it read-only, for transparency.</w:t>
      </w:r>
    </w:p>
    <w:p>
      <w:pPr>
        <w:numPr>
          <w:ilvl w:val="0"/>
          <w:numId w:val="1008"/>
        </w:numPr>
        <w:pStyle w:val="Compact"/>
      </w:pPr>
      <w:r>
        <w:rPr>
          <w:sz w:val="25"/>
        </w:rPr>
        <w:t xml:space="preserve">Each row is one of the nine roles; each column is a capability (for example, managing the Group/Organization hierarchy, managing users, managing Charters, editing the RACSI grid). journi ships with a sensible default matrix already checked in; Bouregreg Group’s Super Admin reviews it and adjusts only where the default doesn’t match their governance model — for instance, tightening which role may delete a Charter, or widening which role may edit the Codebook.</w:t>
      </w:r>
    </w:p>
    <w:p>
      <w:pPr>
        <w:numPr>
          <w:ilvl w:val="0"/>
          <w:numId w:val="1008"/>
        </w:numPr>
        <w:pStyle w:val="Compact"/>
      </w:pPr>
      <w:r>
        <w:rPr>
          <w:sz w:val="25"/>
        </w:rPr>
        <w:t xml:space="preserve">Every checkbox change here takes effect immediately across the whole tenant — there is no separate</w:t>
      </w:r>
      <w:r>
        <w:rPr>
          <w:sz w:val="25"/>
        </w:rPr>
        <w:t xml:space="preserve"> </w:t>
      </w:r>
      <w:r>
        <w:rPr>
          <w:sz w:val="25"/>
        </w:rPr>
        <w:t xml:space="preserve">“</w:t>
      </w:r>
      <w:r>
        <w:rPr>
          <w:sz w:val="25"/>
        </w:rPr>
        <w:t xml:space="preserve">publish</w:t>
      </w:r>
      <w:r>
        <w:rPr>
          <w:sz w:val="25"/>
        </w:rPr>
        <w:t xml:space="preserve">”</w:t>
      </w:r>
      <w:r>
        <w:rPr>
          <w:sz w:val="25"/>
        </w:rPr>
        <w:t xml:space="preserve"> </w:t>
      </w:r>
      <w:r>
        <w:rPr>
          <w:sz w:val="25"/>
        </w:rPr>
        <w:t xml:space="preserve">step.</w:t>
      </w:r>
    </w:p>
    <w:p>
      <w:pPr>
        <w:pStyle w:val="FirstParagraph"/>
      </w:pPr>
    </w:p>
    <w:bookmarkEnd w:id="30"/>
    <w:bookmarkStart w:id="31" w:name="step-5-governance-settings-m2"/>
    <w:p>
      <w:pPr>
        <w:pStyle w:val="Heading3"/>
      </w:pPr>
      <w:r>
        <w:rPr>
          <w:b/>
          <w:color w:val="3F827B"/>
          <w:sz w:val="29"/>
        </w:rPr>
        <w:t xml:space="preserve">1.7 Step 5 — Governance Settings (M2)</w:t>
      </w:r>
    </w:p>
    <w:p>
      <w:pPr>
        <w:numPr>
          <w:ilvl w:val="0"/>
          <w:numId w:val="1009"/>
        </w:numPr>
        <w:pStyle w:val="Compact"/>
      </w:pPr>
      <w:r>
        <w:rPr>
          <w:sz w:val="25"/>
        </w:rPr>
        <w:t xml:space="preserve">Open the</w:t>
      </w:r>
      <w:r>
        <w:rPr>
          <w:sz w:val="25"/>
        </w:rPr>
        <w:t xml:space="preserve"> </w:t>
      </w:r>
      <w:r>
        <w:rPr>
          <w:bCs/>
          <w:b/>
          <w:sz w:val="25"/>
        </w:rPr>
        <w:t xml:space="preserve">Governance Settings</w:t>
      </w:r>
      <w:r>
        <w:rPr>
          <w:sz w:val="25"/>
        </w:rPr>
        <w:t xml:space="preserve"> </w:t>
      </w:r>
      <w:r>
        <w:rPr>
          <w:sz w:val="25"/>
        </w:rPr>
        <w:t xml:space="preserve">tab.</w:t>
      </w:r>
    </w:p>
    <w:p>
      <w:pPr>
        <w:numPr>
          <w:ilvl w:val="0"/>
          <w:numId w:val="1009"/>
        </w:numPr>
        <w:pStyle w:val="Compact"/>
      </w:pPr>
      <w:r>
        <w:rPr>
          <w:sz w:val="25"/>
        </w:rPr>
        <w:t xml:space="preserve">The one platform-wide control here is</w:t>
      </w:r>
      <w:r>
        <w:rPr>
          <w:sz w:val="25"/>
        </w:rPr>
        <w:t xml:space="preserve"> </w:t>
      </w:r>
      <w:r>
        <w:rPr>
          <w:bCs/>
          <w:b/>
          <w:sz w:val="25"/>
        </w:rPr>
        <w:t xml:space="preserve">“</w:t>
      </w:r>
      <w:r>
        <w:rPr>
          <w:bCs/>
          <w:b/>
          <w:sz w:val="25"/>
        </w:rPr>
        <w:t xml:space="preserve">Require justification for score/state changes.</w:t>
      </w:r>
      <w:r>
        <w:rPr>
          <w:bCs/>
          <w:b/>
          <w:sz w:val="25"/>
        </w:rPr>
        <w:t xml:space="preserve">”</w:t>
      </w:r>
      <w:r>
        <w:rPr>
          <w:sz w:val="25"/>
        </w:rPr>
        <w:t xml:space="preserve"> </w:t>
      </w:r>
      <w:r>
        <w:rPr>
          <w:sz w:val="25"/>
        </w:rPr>
        <w:t xml:space="preserve">On by default, it forces every scored or state-changing update anywhere in journi — a Lewin macro-state change, an ADKAR score, a Bridges transition, a Kübler-Ross sentiment reading, Sponsor visibility, Training certification, a Resistance status change, a Manager readiness rating, or a Risk status change — to be saved with a written justification, logged to that Project’s audit trail. Turning it off makes justification optional rather than mandatory; it is still offered either way.</w:t>
      </w:r>
    </w:p>
    <w:p>
      <w:pPr>
        <w:numPr>
          <w:ilvl w:val="0"/>
          <w:numId w:val="1009"/>
        </w:numPr>
        <w:pStyle w:val="Compact"/>
      </w:pPr>
      <w:r>
        <w:rPr>
          <w:sz w:val="25"/>
        </w:rPr>
        <w:t xml:space="preserve">Bouregreg Group’s Super Admin leaves this on: the scenario in Parts 2–4 depends on every framework reading carrying a real, auditable reason, not a bare number.</w:t>
      </w:r>
    </w:p>
    <w:p>
      <w:pPr>
        <w:pStyle w:val="FirstParagraph"/>
      </w:pPr>
    </w:p>
    <w:bookmarkEnd w:id="31"/>
    <w:bookmarkStart w:id="32" w:name="X6adb47c3c2dfd2f7a962f1acae46406e449ea32"/>
    <w:p>
      <w:pPr>
        <w:pStyle w:val="Heading3"/>
      </w:pPr>
      <w:r>
        <w:rPr>
          <w:b/>
          <w:color w:val="3F827B"/>
          <w:sz w:val="29"/>
        </w:rPr>
        <w:t xml:space="preserve">1.8 Step 6 — Creating the First Main Project and CM Project (M1)</w:t>
      </w:r>
    </w:p>
    <w:p>
      <w:pPr>
        <w:numPr>
          <w:ilvl w:val="0"/>
          <w:numId w:val="1010"/>
        </w:numPr>
        <w:pStyle w:val="Compact"/>
      </w:pPr>
      <w:r>
        <w:rPr>
          <w:sz w:val="25"/>
        </w:rPr>
        <w:t xml:space="preserve">Back in</w:t>
      </w:r>
      <w:r>
        <w:rPr>
          <w:sz w:val="25"/>
        </w:rPr>
        <w:t xml:space="preserve"> </w:t>
      </w:r>
      <w:r>
        <w:rPr>
          <w:bCs/>
          <w:b/>
          <w:sz w:val="25"/>
        </w:rPr>
        <w:t xml:space="preserve">Module 1</w:t>
      </w:r>
      <w:r>
        <w:rPr>
          <w:sz w:val="25"/>
        </w:rPr>
        <w:t xml:space="preserve">, on the Bouregreg Manufacturing Maroc Organization card, click</w:t>
      </w:r>
      <w:r>
        <w:rPr>
          <w:sz w:val="25"/>
        </w:rPr>
        <w:t xml:space="preserve"> </w:t>
      </w:r>
      <w:r>
        <w:rPr>
          <w:bCs/>
          <w:b/>
          <w:sz w:val="25"/>
        </w:rPr>
        <w:t xml:space="preserve">+ Main Project</w:t>
      </w:r>
      <w:r>
        <w:rPr>
          <w:sz w:val="25"/>
        </w:rPr>
        <w:t xml:space="preserve">. Fill in:</w:t>
      </w:r>
    </w:p>
    <w:p>
      <w:pPr>
        <w:numPr>
          <w:ilvl w:val="1"/>
          <w:numId w:val="1011"/>
        </w:numPr>
        <w:pStyle w:val="Compact"/>
      </w:pPr>
      <w:r>
        <w:rPr>
          <w:sz w:val="25"/>
        </w:rPr>
        <w:t xml:space="preserve">Name:</w:t>
      </w:r>
      <w:r>
        <w:rPr>
          <w:sz w:val="25"/>
        </w:rPr>
        <w:t xml:space="preserve"> </w:t>
      </w:r>
      <w:r>
        <w:rPr>
          <w:sz w:val="25"/>
        </w:rPr>
        <w:t xml:space="preserve">“</w:t>
      </w:r>
      <w:r>
        <w:rPr>
          <w:sz w:val="25"/>
        </w:rPr>
        <w:t xml:space="preserve">ERP Platform Unification</w:t>
      </w:r>
      <w:r>
        <w:rPr>
          <w:sz w:val="25"/>
        </w:rPr>
        <w:t xml:space="preserve">”</w:t>
      </w:r>
    </w:p>
    <w:p>
      <w:pPr>
        <w:numPr>
          <w:ilvl w:val="1"/>
          <w:numId w:val="1011"/>
        </w:numPr>
        <w:pStyle w:val="Compact"/>
      </w:pPr>
      <w:r>
        <w:rPr>
          <w:sz w:val="25"/>
        </w:rPr>
        <w:t xml:space="preserve">Type: ERP</w:t>
      </w:r>
    </w:p>
    <w:p>
      <w:pPr>
        <w:numPr>
          <w:ilvl w:val="1"/>
          <w:numId w:val="1011"/>
        </w:numPr>
        <w:pStyle w:val="Compact"/>
      </w:pPr>
      <w:r>
        <w:rPr>
          <w:sz w:val="25"/>
        </w:rPr>
        <w:t xml:space="preserve">Description:</w:t>
      </w:r>
      <w:r>
        <w:rPr>
          <w:sz w:val="25"/>
        </w:rPr>
        <w:t xml:space="preserve"> </w:t>
      </w:r>
      <w:r>
        <w:rPr>
          <w:sz w:val="25"/>
        </w:rPr>
        <w:t xml:space="preserve">“</w:t>
      </w:r>
      <w:r>
        <w:rPr>
          <w:sz w:val="25"/>
        </w:rPr>
        <w:t xml:space="preserve">Replace three disconnected legacy systems (order management, inventory, finance) across all three sites with one unified platform.</w:t>
      </w:r>
      <w:r>
        <w:rPr>
          <w:sz w:val="25"/>
        </w:rPr>
        <w:t xml:space="preserve">”</w:t>
      </w:r>
    </w:p>
    <w:p>
      <w:pPr>
        <w:numPr>
          <w:ilvl w:val="1"/>
          <w:numId w:val="1011"/>
        </w:numPr>
        <w:pStyle w:val="Compact"/>
      </w:pPr>
      <w:r>
        <w:rPr>
          <w:sz w:val="25"/>
        </w:rPr>
        <w:t xml:space="preserve">Duration: 14 months</w:t>
      </w:r>
    </w:p>
    <w:p>
      <w:pPr>
        <w:numPr>
          <w:ilvl w:val="1"/>
          <w:numId w:val="1011"/>
        </w:numPr>
        <w:pStyle w:val="Compact"/>
      </w:pPr>
      <w:r>
        <w:rPr>
          <w:sz w:val="25"/>
        </w:rPr>
        <w:t xml:space="preserve">Budget band:</w:t>
      </w:r>
      <w:r>
        <w:rPr>
          <w:sz w:val="25"/>
        </w:rPr>
        <w:t xml:space="preserve"> </w:t>
      </w:r>
      <w:r>
        <w:rPr>
          <w:sz w:val="25"/>
        </w:rPr>
        <w:t xml:space="preserve">“</w:t>
      </w:r>
      <w:r>
        <w:rPr>
          <w:sz w:val="25"/>
        </w:rPr>
        <w:t xml:space="preserve">MAD 42M</w:t>
      </w:r>
      <w:r>
        <w:rPr>
          <w:sz w:val="25"/>
        </w:rPr>
        <w:t xml:space="preserve">”</w:t>
      </w:r>
    </w:p>
    <w:p>
      <w:pPr>
        <w:numPr>
          <w:ilvl w:val="1"/>
          <w:numId w:val="1011"/>
        </w:numPr>
        <w:pStyle w:val="Compact"/>
      </w:pPr>
      <w:r>
        <w:rPr>
          <w:sz w:val="25"/>
        </w:rPr>
        <w:t xml:space="preserve">Executive Sponsor:</w:t>
      </w:r>
      <w:r>
        <w:rPr>
          <w:sz w:val="25"/>
        </w:rPr>
        <w:t xml:space="preserve"> </w:t>
      </w:r>
      <w:r>
        <w:rPr>
          <w:sz w:val="25"/>
        </w:rPr>
        <w:t xml:space="preserve">“</w:t>
      </w:r>
      <w:r>
        <w:rPr>
          <w:sz w:val="25"/>
        </w:rPr>
        <w:t xml:space="preserve">CFO, Bouregreg Group</w:t>
      </w:r>
      <w:r>
        <w:rPr>
          <w:sz w:val="25"/>
        </w:rPr>
        <w:t xml:space="preserve">”</w:t>
      </w:r>
    </w:p>
    <w:p>
      <w:pPr>
        <w:numPr>
          <w:ilvl w:val="0"/>
          <w:numId w:val="1010"/>
        </w:numPr>
        <w:pStyle w:val="Compact"/>
      </w:pPr>
      <w:r>
        <w:rPr>
          <w:sz w:val="25"/>
        </w:rPr>
        <w:t xml:space="preserve">Click</w:t>
      </w:r>
      <w:r>
        <w:rPr>
          <w:sz w:val="25"/>
        </w:rPr>
        <w:t xml:space="preserve"> </w:t>
      </w:r>
      <w:r>
        <w:rPr>
          <w:bCs/>
          <w:b/>
          <w:sz w:val="25"/>
        </w:rPr>
        <w:t xml:space="preserve">+ CM Project</w:t>
      </w:r>
      <w:r>
        <w:rPr>
          <w:sz w:val="25"/>
        </w:rPr>
        <w:t xml:space="preserve"> </w:t>
      </w:r>
      <w:r>
        <w:rPr>
          <w:sz w:val="25"/>
        </w:rPr>
        <w:t xml:space="preserve">on the same Organization card. Fill in:</w:t>
      </w:r>
    </w:p>
    <w:p>
      <w:pPr>
        <w:numPr>
          <w:ilvl w:val="1"/>
          <w:numId w:val="1012"/>
        </w:numPr>
        <w:pStyle w:val="Compact"/>
      </w:pPr>
      <w:r>
        <w:rPr>
          <w:sz w:val="25"/>
        </w:rPr>
        <w:t xml:space="preserve">Name:</w:t>
      </w:r>
      <w:r>
        <w:rPr>
          <w:sz w:val="25"/>
        </w:rPr>
        <w:t xml:space="preserve"> </w:t>
      </w:r>
      <w:r>
        <w:rPr>
          <w:sz w:val="25"/>
        </w:rPr>
        <w:t xml:space="preserve">“</w:t>
      </w:r>
      <w:r>
        <w:rPr>
          <w:sz w:val="25"/>
        </w:rPr>
        <w:t xml:space="preserve">Bouregreg ERP Adoption Program</w:t>
      </w:r>
      <w:r>
        <w:rPr>
          <w:sz w:val="25"/>
        </w:rPr>
        <w:t xml:space="preserve">”</w:t>
      </w:r>
    </w:p>
    <w:p>
      <w:pPr>
        <w:numPr>
          <w:ilvl w:val="1"/>
          <w:numId w:val="1012"/>
        </w:numPr>
        <w:pStyle w:val="Compact"/>
      </w:pPr>
      <w:r>
        <w:rPr>
          <w:sz w:val="25"/>
        </w:rPr>
        <w:t xml:space="preserve">Linked Main Project: check</w:t>
      </w:r>
      <w:r>
        <w:rPr>
          <w:sz w:val="25"/>
        </w:rPr>
        <w:t xml:space="preserve"> </w:t>
      </w:r>
      <w:r>
        <w:rPr>
          <w:sz w:val="25"/>
        </w:rPr>
        <w:t xml:space="preserve">“</w:t>
      </w:r>
      <w:r>
        <w:rPr>
          <w:sz w:val="25"/>
        </w:rPr>
        <w:t xml:space="preserve">ERP Platform Unification</w:t>
      </w:r>
      <w:r>
        <w:rPr>
          <w:sz w:val="25"/>
        </w:rPr>
        <w:t xml:space="preserve">”</w:t>
      </w:r>
      <w:r>
        <w:rPr>
          <w:sz w:val="25"/>
        </w:rPr>
        <w:t xml:space="preserve"> </w:t>
      </w:r>
      <w:r>
        <w:rPr>
          <w:sz w:val="25"/>
        </w:rPr>
        <w:t xml:space="preserve">(a CM Project may link to zero, one, or more Main Projects — this one links to exactly one)</w:t>
      </w:r>
    </w:p>
    <w:p>
      <w:pPr>
        <w:numPr>
          <w:ilvl w:val="1"/>
          <w:numId w:val="1012"/>
        </w:numPr>
        <w:pStyle w:val="Compact"/>
      </w:pPr>
      <w:r>
        <w:rPr>
          <w:sz w:val="25"/>
        </w:rPr>
        <w:t xml:space="preserve">Owner:</w:t>
      </w:r>
      <w:r>
        <w:rPr>
          <w:sz w:val="25"/>
        </w:rPr>
        <w:t xml:space="preserve"> </w:t>
      </w:r>
      <w:r>
        <w:rPr>
          <w:sz w:val="25"/>
        </w:rPr>
        <w:t xml:space="preserve">“</w:t>
      </w:r>
      <w:r>
        <w:rPr>
          <w:sz w:val="25"/>
        </w:rPr>
        <w:t xml:space="preserve">Driss El Amrani</w:t>
      </w:r>
      <w:r>
        <w:rPr>
          <w:sz w:val="25"/>
        </w:rPr>
        <w:t xml:space="preserve">”</w:t>
      </w:r>
    </w:p>
    <w:p>
      <w:pPr>
        <w:numPr>
          <w:ilvl w:val="1"/>
          <w:numId w:val="1012"/>
        </w:numPr>
        <w:pStyle w:val="Compact"/>
      </w:pPr>
      <w:r>
        <w:rPr>
          <w:sz w:val="25"/>
        </w:rPr>
        <w:t xml:space="preserve">Change type: Technology</w:t>
      </w:r>
    </w:p>
    <w:p>
      <w:pPr>
        <w:numPr>
          <w:ilvl w:val="1"/>
          <w:numId w:val="1012"/>
        </w:numPr>
        <w:pStyle w:val="Compact"/>
      </w:pPr>
      <w:r>
        <w:rPr>
          <w:sz w:val="25"/>
        </w:rPr>
        <w:t xml:space="preserve">Target population:</w:t>
      </w:r>
      <w:r>
        <w:rPr>
          <w:sz w:val="25"/>
        </w:rPr>
        <w:t xml:space="preserve"> </w:t>
      </w:r>
      <w:r>
        <w:rPr>
          <w:sz w:val="25"/>
        </w:rPr>
        <w:t xml:space="preserve">“</w:t>
      </w:r>
      <w:r>
        <w:rPr>
          <w:sz w:val="25"/>
        </w:rPr>
        <w:t xml:space="preserve">All plant and HQ staff (3,400)</w:t>
      </w:r>
      <w:r>
        <w:rPr>
          <w:sz w:val="25"/>
        </w:rPr>
        <w:t xml:space="preserve">”</w:t>
      </w:r>
    </w:p>
    <w:p>
      <w:pPr>
        <w:numPr>
          <w:ilvl w:val="1"/>
          <w:numId w:val="1012"/>
        </w:numPr>
        <w:pStyle w:val="Compact"/>
      </w:pPr>
      <w:r>
        <w:rPr>
          <w:sz w:val="25"/>
        </w:rPr>
        <w:t xml:space="preserve">Business driver:</w:t>
      </w:r>
      <w:r>
        <w:rPr>
          <w:sz w:val="25"/>
        </w:rPr>
        <w:t xml:space="preserve"> </w:t>
      </w:r>
      <w:r>
        <w:rPr>
          <w:sz w:val="25"/>
        </w:rPr>
        <w:t xml:space="preserve">“</w:t>
      </w:r>
      <w:r>
        <w:rPr>
          <w:sz w:val="25"/>
        </w:rPr>
        <w:t xml:space="preserve">Three disconnected legacy systems create manual reconciliation, delayed month-end close, and duplicate data entry across all three sites.</w:t>
      </w:r>
      <w:r>
        <w:rPr>
          <w:sz w:val="25"/>
        </w:rPr>
        <w:t xml:space="preserve">”</w:t>
      </w:r>
    </w:p>
    <w:p>
      <w:pPr>
        <w:numPr>
          <w:ilvl w:val="0"/>
          <w:numId w:val="1010"/>
        </w:numPr>
        <w:pStyle w:val="Compact"/>
      </w:pPr>
      <w:r>
        <w:rPr>
          <w:sz w:val="25"/>
        </w:rPr>
        <w:t xml:space="preserve">Save. The Organization card now shows the Main Project (with its archetype badge and linked CM Project count) and the CM Project (with its current Lewin phase badge, starting at Unfreeze) side by side.</w:t>
      </w:r>
    </w:p>
    <w:p>
      <w:pPr>
        <w:numPr>
          <w:ilvl w:val="0"/>
          <w:numId w:val="1010"/>
        </w:numPr>
        <w:pStyle w:val="Compact"/>
      </w:pPr>
      <w:r>
        <w:rPr>
          <w:sz w:val="25"/>
        </w:rPr>
        <w:t xml:space="preserve">Return to Step 3 and finish creating or re-scoping the four project-level user accounts (Driss El Amrani, Houda Zerouali, the Sponsor, Reda Loukili, and Ghita Bennis) against this now-existing Project.</w:t>
      </w:r>
    </w:p>
    <w:p>
      <w:pPr>
        <w:pStyle w:val="FirstParagraph"/>
      </w:pPr>
    </w:p>
    <w:bookmarkEnd w:id="32"/>
    <w:bookmarkStart w:id="33" w:name="tenant-setup-checklist"/>
    <w:p>
      <w:pPr>
        <w:pStyle w:val="Heading3"/>
      </w:pPr>
      <w:r>
        <w:rPr>
          <w:b/>
          <w:color w:val="3F827B"/>
          <w:sz w:val="29"/>
        </w:rPr>
        <w:t xml:space="preserve">1.9 Tenant Setup Checklist</w:t>
      </w:r>
    </w:p>
    <w:p>
      <w:pPr>
        <w:numPr>
          <w:ilvl w:val="0"/>
          <w:numId w:val="1013"/>
        </w:numPr>
        <w:pStyle w:val="Compact"/>
      </w:pPr>
      <w:r>
        <w:rPr>
          <w:sz w:val="25"/>
        </w:rPr>
        <w:t xml:space="preserve">☐ License record set (company name, plan, user cap, feature flags) — Module 2, License &amp; Plan</w:t>
      </w:r>
    </w:p>
    <w:p>
      <w:pPr>
        <w:numPr>
          <w:ilvl w:val="0"/>
          <w:numId w:val="1013"/>
        </w:numPr>
        <w:pStyle w:val="Compact"/>
      </w:pPr>
      <w:r>
        <w:rPr>
          <w:sz w:val="25"/>
        </w:rPr>
        <w:t xml:space="preserve">☐ Group created — Module 1</w:t>
      </w:r>
    </w:p>
    <w:p>
      <w:pPr>
        <w:numPr>
          <w:ilvl w:val="0"/>
          <w:numId w:val="1013"/>
        </w:numPr>
        <w:pStyle w:val="Compact"/>
      </w:pPr>
      <w:r>
        <w:rPr>
          <w:sz w:val="25"/>
        </w:rPr>
        <w:t xml:space="preserve">☐ Organization created (sector, employees, sites, languages, default language) — Module 1</w:t>
      </w:r>
    </w:p>
    <w:p>
      <w:pPr>
        <w:numPr>
          <w:ilvl w:val="0"/>
          <w:numId w:val="1013"/>
        </w:numPr>
        <w:pStyle w:val="Compact"/>
      </w:pPr>
      <w:r>
        <w:rPr>
          <w:sz w:val="25"/>
        </w:rPr>
        <w:t xml:space="preserve">☐ Initial user accounts created with correct role, scope type, and scope — Module 2, Users &amp; Scope</w:t>
      </w:r>
    </w:p>
    <w:p>
      <w:pPr>
        <w:numPr>
          <w:ilvl w:val="0"/>
          <w:numId w:val="1013"/>
        </w:numPr>
        <w:pStyle w:val="Compact"/>
      </w:pPr>
      <w:r>
        <w:rPr>
          <w:sz w:val="25"/>
        </w:rPr>
        <w:t xml:space="preserve">☐ Permission Matrix reviewed and adjusted from defaults where needed — Module 2, Permission Matrix</w:t>
      </w:r>
    </w:p>
    <w:p>
      <w:pPr>
        <w:numPr>
          <w:ilvl w:val="0"/>
          <w:numId w:val="1013"/>
        </w:numPr>
        <w:pStyle w:val="Compact"/>
      </w:pPr>
      <w:r>
        <w:rPr>
          <w:sz w:val="25"/>
        </w:rPr>
        <w:t xml:space="preserve">☐ Governance setting (justification requirement) confirmed — Module 2, Governance Settings</w:t>
      </w:r>
    </w:p>
    <w:p>
      <w:pPr>
        <w:numPr>
          <w:ilvl w:val="0"/>
          <w:numId w:val="1013"/>
        </w:numPr>
        <w:pStyle w:val="Compact"/>
      </w:pPr>
      <w:r>
        <w:rPr>
          <w:sz w:val="25"/>
        </w:rPr>
        <w:t xml:space="preserve">☐ First Main Project created — Module 1</w:t>
      </w:r>
    </w:p>
    <w:p>
      <w:pPr>
        <w:numPr>
          <w:ilvl w:val="0"/>
          <w:numId w:val="1013"/>
        </w:numPr>
        <w:pStyle w:val="Compact"/>
      </w:pPr>
      <w:r>
        <w:rPr>
          <w:sz w:val="25"/>
        </w:rPr>
        <w:t xml:space="preserve">☐ First Change Management Project created and linked — Module 1</w:t>
      </w:r>
    </w:p>
    <w:p>
      <w:pPr>
        <w:numPr>
          <w:ilvl w:val="0"/>
          <w:numId w:val="1013"/>
        </w:numPr>
        <w:pStyle w:val="Compact"/>
      </w:pPr>
      <w:r>
        <w:rPr>
          <w:sz w:val="25"/>
        </w:rPr>
        <w:t xml:space="preserve">☐ Project-scoped user accounts finalized against the new Project — Module 2, Users &amp; Scope</w:t>
      </w:r>
    </w:p>
    <w:p>
      <w:pPr>
        <w:pStyle w:val="FirstParagraph"/>
      </w:pPr>
      <w:r>
        <w:rPr>
          <w:sz w:val="25"/>
        </w:rPr>
        <w:t xml:space="preserve">With this checklist complete, Bouregreg Group is a fully operational journi tenant with one live Change Management Project. Part 1B walks that project week by week through all four frameworks, normal flow and exceptions; Part 2 then tours all 20 modules against this same, now-real data set.</w:t>
      </w:r>
    </w:p>
    <w:p>
      <w:r>
        <w:rPr>
          <w:sz w:val="25"/>
        </w:rPr>
        <w:pict>
          <v:rect style="width:0;height:1.5pt" o:hralign="center" o:hrstd="t" o:hr="t"/>
        </w:pict>
      </w:r>
    </w:p>
    <w:p>
      <w:pPr>
        <w:pStyle w:val="FirstParagraph"/>
      </w:pPr>
    </w:p>
    <w:bookmarkEnd w:id="33"/>
    <w:bookmarkEnd w:id="34"/>
    <w:bookmarkStart w:id="57" w:name="X1ef495e36e00a58d295aead0b526675697e4efb"/>
    <w:p>
      <w:pPr>
        <w:pStyle w:val="Heading2"/>
      </w:pPr>
      <w:r>
        <w:rPr>
          <w:b/>
          <w:color w:val="275650"/>
          <w:sz w:val="34"/>
        </w:rPr>
        <w:t xml:space="preserve">Part 1B — Week-by-Week ERP Implementation Timeline: Normal Flow and Exceptions</w:t>
      </w:r>
    </w:p>
    <w:p>
      <w:pPr>
        <w:pStyle w:val="FirstParagraph"/>
      </w:pPr>
      <w:r>
        <w:rPr>
          <w:sz w:val="25"/>
        </w:rPr>
        <w:t xml:space="preserve">Part 1 ended with Bouregreg ERP Adoption Program registered and its Lewin phase opened at Unfreeze. This Part runs that program forward, week by week, for its full 14-month (64-week) duration — against journi’s own 8-phase ERP template (M17 (WBS &amp; Gantt), TPL-ERP-8: Discovery, Design, Build, Test, Train, Deploy, Hypercare, Sustain) and journi’s own framework definitions, verified against source rather than assumed. It covers the normal flow through all four frameworks first, then — in the same level of detail — six realistic exception patterns, each tied to a specific point in Bouregreg’s timeline where a program’s readiness signals genuinely go off track.</w:t>
      </w:r>
    </w:p>
    <w:p>
      <w:pPr>
        <w:pStyle w:val="BodyText"/>
      </w:pPr>
    </w:p>
    <w:bookmarkStart w:id="35" w:name="X152ac3ce195f9af9660a6a9a3e4ef1a0f494685"/>
    <w:p>
      <w:pPr>
        <w:pStyle w:val="Heading3"/>
      </w:pPr>
      <w:r>
        <w:rPr>
          <w:b/>
          <w:color w:val="3F827B"/>
          <w:sz w:val="29"/>
        </w:rPr>
        <w:t xml:space="preserve">1B.1 How the Four Frameworks Actually Read in journi</w:t>
      </w:r>
    </w:p>
    <w:p>
      <w:pPr>
        <w:pStyle w:val="FirstParagraph"/>
      </w:pPr>
      <w:r>
        <w:rPr>
          <w:sz w:val="25"/>
        </w:rPr>
        <w:t xml:space="preserve">journi tracks four frameworks, each at a different altitude, and this guide states their real stage vocabulary rather than a textbook approximation of 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shd w:val="clear" w:fill="1F4B45"/>
          </w:tcPr>
          <w:p>
            <w:pPr>
              <w:pStyle w:val="Compact"/>
              <w:jc w:val="left"/>
            </w:pPr>
            <w:r>
              <w:rPr>
                <w:b/>
                <w:color w:val="FFFFFF"/>
                <w:sz w:val="22"/>
              </w:rPr>
              <w:t xml:space="preserve">Framework</w:t>
            </w:r>
          </w:p>
        </w:tc>
        <w:tc>
          <w:tcPr>
            <w:shd w:val="clear" w:fill="1F4B45"/>
          </w:tcPr>
          <w:p>
            <w:pPr>
              <w:pStyle w:val="Compact"/>
              <w:jc w:val="left"/>
            </w:pPr>
            <w:r>
              <w:rPr>
                <w:b/>
                <w:color w:val="FFFFFF"/>
                <w:sz w:val="22"/>
              </w:rPr>
              <w:t xml:space="preserve">Altitude</w:t>
            </w:r>
          </w:p>
        </w:tc>
        <w:tc>
          <w:tcPr>
            <w:shd w:val="clear" w:fill="1F4B45"/>
          </w:tcPr>
          <w:p>
            <w:pPr>
              <w:pStyle w:val="Compact"/>
              <w:jc w:val="left"/>
            </w:pPr>
            <w:r>
              <w:rPr>
                <w:b/>
                <w:color w:val="FFFFFF"/>
                <w:sz w:val="22"/>
              </w:rPr>
              <w:t xml:space="preserve">Stages (in journi’s own UI, in order)</w:t>
            </w:r>
          </w:p>
        </w:tc>
        <w:tc>
          <w:tcPr>
            <w:shd w:val="clear" w:fill="1F4B45"/>
          </w:tcPr>
          <w:p>
            <w:pPr>
              <w:pStyle w:val="Compact"/>
              <w:jc w:val="left"/>
            </w:pPr>
            <w:r>
              <w:rPr>
                <w:b/>
                <w:color w:val="FFFFFF"/>
                <w:sz w:val="22"/>
              </w:rPr>
              <w:t xml:space="preserve">Logged on</w:t>
            </w:r>
          </w:p>
        </w:tc>
      </w:tr>
      <w:tr>
        <w:trPr>
          <w:cantSplit/>
        </w:trPr>
        <w:tc>
          <w:tcPr/>
          <w:p>
            <w:pPr>
              <w:pStyle w:val="Compact"/>
              <w:jc w:val="left"/>
            </w:pPr>
            <w:r>
              <w:rPr>
                <w:sz w:val="22"/>
              </w:rPr>
              <w:t xml:space="preserve">Lewin</w:t>
            </w:r>
          </w:p>
        </w:tc>
        <w:tc>
          <w:tcPr/>
          <w:p>
            <w:pPr>
              <w:pStyle w:val="Compact"/>
              <w:jc w:val="left"/>
            </w:pPr>
            <w:r>
              <w:rPr>
                <w:sz w:val="22"/>
              </w:rPr>
              <w:t xml:space="preserve">Organizational — one reading per project</w:t>
            </w:r>
          </w:p>
        </w:tc>
        <w:tc>
          <w:tcPr/>
          <w:p>
            <w:pPr>
              <w:pStyle w:val="Compact"/>
              <w:jc w:val="left"/>
            </w:pPr>
            <w:r>
              <w:rPr>
                <w:sz w:val="22"/>
              </w:rPr>
              <w:t xml:space="preserve">Unfreeze → Change → Refreeze</w:t>
            </w:r>
          </w:p>
        </w:tc>
        <w:tc>
          <w:tcPr/>
          <w:p>
            <w:pPr>
              <w:pStyle w:val="Compact"/>
              <w:jc w:val="left"/>
            </w:pPr>
            <w:r>
              <w:rPr>
                <w:sz w:val="22"/>
              </w:rPr>
              <w:t xml:space="preserve">M3 (Initiative Registry)</w:t>
            </w:r>
          </w:p>
        </w:tc>
      </w:tr>
      <w:tr>
        <w:trPr>
          <w:cantSplit/>
        </w:trPr>
        <w:tc>
          <w:tcPr/>
          <w:p>
            <w:pPr>
              <w:pStyle w:val="Compact"/>
              <w:jc w:val="left"/>
            </w:pPr>
            <w:r>
              <w:rPr>
                <w:sz w:val="22"/>
              </w:rPr>
              <w:t xml:space="preserve">Prosci ADKAR</w:t>
            </w:r>
          </w:p>
        </w:tc>
        <w:tc>
          <w:tcPr/>
          <w:p>
            <w:pPr>
              <w:pStyle w:val="Compact"/>
              <w:jc w:val="left"/>
            </w:pPr>
            <w:r>
              <w:rPr>
                <w:sz w:val="22"/>
              </w:rPr>
              <w:t xml:space="preserve">Individual / cohort — five independently-scored blocks</w:t>
            </w:r>
          </w:p>
        </w:tc>
        <w:tc>
          <w:tcPr/>
          <w:p>
            <w:pPr>
              <w:pStyle w:val="Compact"/>
              <w:jc w:val="left"/>
            </w:pPr>
            <w:r>
              <w:rPr>
                <w:sz w:val="22"/>
              </w:rPr>
              <w:t xml:space="preserve">Awareness → Desire → Knowledge → Ability → Reinforcement</w:t>
            </w:r>
          </w:p>
        </w:tc>
        <w:tc>
          <w:tcPr/>
          <w:p>
            <w:pPr>
              <w:pStyle w:val="Compact"/>
              <w:jc w:val="left"/>
            </w:pPr>
            <w:r>
              <w:rPr>
                <w:sz w:val="22"/>
              </w:rPr>
              <w:t xml:space="preserve">M5 (ADKAR Engine)</w:t>
            </w:r>
          </w:p>
        </w:tc>
      </w:tr>
      <w:tr>
        <w:trPr>
          <w:cantSplit/>
        </w:trPr>
        <w:tc>
          <w:tcPr/>
          <w:p>
            <w:pPr>
              <w:pStyle w:val="Compact"/>
              <w:jc w:val="left"/>
            </w:pPr>
            <w:r>
              <w:rPr>
                <w:sz w:val="22"/>
              </w:rPr>
              <w:t xml:space="preserve">Bridges’ Transition Model</w:t>
            </w:r>
          </w:p>
        </w:tc>
        <w:tc>
          <w:tcPr/>
          <w:p>
            <w:pPr>
              <w:pStyle w:val="Compact"/>
              <w:jc w:val="left"/>
            </w:pPr>
            <w:r>
              <w:rPr>
                <w:sz w:val="22"/>
              </w:rPr>
              <w:t xml:space="preserve">Individual / cohort — emotional position</w:t>
            </w:r>
          </w:p>
        </w:tc>
        <w:tc>
          <w:tcPr/>
          <w:p>
            <w:pPr>
              <w:pStyle w:val="Compact"/>
              <w:jc w:val="left"/>
            </w:pPr>
            <w:r>
              <w:rPr>
                <w:sz w:val="22"/>
              </w:rPr>
              <w:t xml:space="preserve">Ending → Neutral Zone → New Beginning</w:t>
            </w:r>
          </w:p>
        </w:tc>
        <w:tc>
          <w:tcPr/>
          <w:p>
            <w:pPr>
              <w:pStyle w:val="Compact"/>
              <w:jc w:val="left"/>
            </w:pPr>
            <w:r>
              <w:rPr>
                <w:sz w:val="22"/>
              </w:rPr>
              <w:t xml:space="preserve">M6 (Emotional &amp; Transition Layer)</w:t>
            </w:r>
          </w:p>
        </w:tc>
      </w:tr>
      <w:tr>
        <w:trPr>
          <w:cantSplit/>
        </w:trPr>
        <w:tc>
          <w:tcPr/>
          <w:p>
            <w:pPr>
              <w:pStyle w:val="Compact"/>
              <w:jc w:val="left"/>
            </w:pPr>
            <w:r>
              <w:rPr>
                <w:sz w:val="22"/>
              </w:rPr>
              <w:t xml:space="preserve">Kübler-Ross Change Curve</w:t>
            </w:r>
          </w:p>
        </w:tc>
        <w:tc>
          <w:tcPr/>
          <w:p>
            <w:pPr>
              <w:pStyle w:val="Compact"/>
              <w:jc w:val="left"/>
            </w:pPr>
            <w:r>
              <w:rPr>
                <w:sz w:val="22"/>
              </w:rPr>
              <w:t xml:space="preserve">Individual / cohort — sentiment</w:t>
            </w:r>
          </w:p>
        </w:tc>
        <w:tc>
          <w:tcPr/>
          <w:p>
            <w:pPr>
              <w:pStyle w:val="Compact"/>
              <w:jc w:val="left"/>
            </w:pPr>
            <w:r>
              <w:rPr>
                <w:sz w:val="22"/>
              </w:rPr>
              <w:t xml:space="preserve">Denial → Resistance/Anger → Exploration → Commitment</w:t>
            </w:r>
          </w:p>
        </w:tc>
        <w:tc>
          <w:tcPr/>
          <w:p>
            <w:pPr>
              <w:pStyle w:val="Compact"/>
              <w:jc w:val="left"/>
            </w:pPr>
            <w:r>
              <w:rPr>
                <w:sz w:val="22"/>
              </w:rPr>
              <w:t xml:space="preserve">M6 (Emotional &amp; Transition Layer)</w:t>
            </w:r>
          </w:p>
        </w:tc>
      </w:tr>
    </w:tbl>
    <w:p>
      <w:pPr>
        <w:pStyle w:val="BodyText"/>
      </w:pPr>
      <w:r>
        <w:rPr>
          <w:sz w:val="25"/>
        </w:rPr>
        <w:t xml:space="preserve">A deliberate design choice in journi is worth stating plainly here: it never auto-computes a Lewin, Bridges, or Kübler-Ross reading. All three remain a Change Manager’s evidence-based judgment call, logged with a justification under Bouregreg Group’s Governance Setting (Part 1, Step 5). Only two things are ever computed automatically — the Composite Readiness Index (M14 (Analytics), blending ADKAR 50%, Kübler-Ross sentiment 25%, and training completion 25%) and the Divergence Pattern Detector (ALT-001 (Divergence Pattern Detected), firing when Knowledge ≥ 4 and Ability ≥ 4 while Bridges still reads exactly</w:t>
      </w:r>
      <w:r>
        <w:rPr>
          <w:sz w:val="25"/>
        </w:rPr>
        <w:t xml:space="preserve"> </w:t>
      </w:r>
      <w:r>
        <w:rPr>
          <w:sz w:val="25"/>
        </w:rPr>
        <w:t xml:space="preserve">“</w:t>
      </w:r>
      <w:r>
        <w:rPr>
          <w:sz w:val="25"/>
        </w:rPr>
        <w:t xml:space="preserve">Ending</w:t>
      </w:r>
      <w:r>
        <w:rPr>
          <w:sz w:val="25"/>
        </w:rPr>
        <w:t xml:space="preserve">”</w:t>
      </w:r>
      <w:r>
        <w:rPr>
          <w:sz w:val="25"/>
        </w:rPr>
        <w:t xml:space="preserve">). Everything else in the four-framework picture is a human reading, not a system inference — which is exactly why the timeline below shows a Change Manager actively setting each reading, week by week, rather than journi silently deriving one.</w:t>
      </w:r>
    </w:p>
    <w:p>
      <w:pPr>
        <w:pStyle w:val="BodyText"/>
      </w:pPr>
      <w:r>
        <w:rPr>
          <w:sz w:val="25"/>
        </w:rPr>
        <w:t xml:space="preserve">The four frameworks do not move in lockstep, and a well-run program does not expect them to. Lewin is the single organizational headline; ADKAR is where individual barriers actually surface, block by block; Bridges and Kübler-Ross track the emotional undercurrent that a clean ADKAR score can mask entirely — which is the exact gap the Divergence Pattern Detector exists to catch. The calendar below shows one defensible way these four readings progress together across a normal 64-week ERP program; Section 1B.4’s six exceptions show, in detail, the specific and realistic ways that progression stalls, diverges, or reverses.</w:t>
      </w:r>
    </w:p>
    <w:p>
      <w:pPr>
        <w:pStyle w:val="BodyText"/>
      </w:pPr>
    </w:p>
    <w:bookmarkEnd w:id="35"/>
    <w:bookmarkStart w:id="36" w:name="X57dcd32c802a4d293332a57bdfbdf1d57608ff2"/>
    <w:p>
      <w:pPr>
        <w:pStyle w:val="Heading3"/>
      </w:pPr>
      <w:r>
        <w:rPr>
          <w:b/>
          <w:color w:val="3F827B"/>
          <w:sz w:val="29"/>
        </w:rPr>
        <w:t xml:space="preserve">1B.2 The 64-Week Program Calendar — Week by Week</w:t>
      </w:r>
    </w:p>
    <w:p>
      <w:pPr>
        <w:pStyle w:val="FirstParagraph"/>
      </w:pPr>
      <w:r>
        <w:rPr>
          <w:sz w:val="25"/>
        </w:rPr>
        <w:t xml:space="preserve">The eight phases below follow M17 (WBS &amp; Gantt)’s TPL-ERP-8 (ERP Implementation — 8 Phase) template exactly, in the order journi loads them. Every one of the 64 individual weeks below is listed on its own row — not as a range — so a reader can see exactly which week a framework reading, a phase transition, or an exception is active in, rather than inferring it from a span. The values are this guide’s own illustrative pacing for a 3,400-person, three-site program — not a value hardcoded anywhere in journi — built to overlap the way a real ERP program’s Project Management and Change Management tracks actually do, and stated as illustrative rather than implied to be a platform default. The final Exception column cross-references Section 1B.4, where each of the six is covered in full detail.</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cantSplit/>
        </w:trPr>
        <w:tc>
          <w:tcPr>
            <w:shd w:val="clear" w:fill="1F4B45"/>
          </w:tcPr>
          <w:p>
            <w:pPr>
              <w:pStyle w:val="Compact"/>
              <w:jc w:val="left"/>
            </w:pPr>
            <w:r>
              <w:rPr>
                <w:b/>
                <w:color w:val="FFFFFF"/>
                <w:sz w:val="22"/>
              </w:rPr>
              <w:t xml:space="preserve">Week</w:t>
            </w:r>
          </w:p>
        </w:tc>
        <w:tc>
          <w:tcPr>
            <w:shd w:val="clear" w:fill="1F4B45"/>
          </w:tcPr>
          <w:p>
            <w:pPr>
              <w:pStyle w:val="Compact"/>
              <w:jc w:val="left"/>
            </w:pPr>
            <w:r>
              <w:rPr>
                <w:b/>
                <w:color w:val="FFFFFF"/>
                <w:sz w:val="22"/>
              </w:rPr>
              <w:t xml:space="preserve">Phase(s) Active</w:t>
            </w:r>
          </w:p>
        </w:tc>
        <w:tc>
          <w:tcPr>
            <w:shd w:val="clear" w:fill="1F4B45"/>
          </w:tcPr>
          <w:p>
            <w:pPr>
              <w:pStyle w:val="Compact"/>
              <w:jc w:val="left"/>
            </w:pPr>
            <w:r>
              <w:rPr>
                <w:b/>
                <w:color w:val="FFFFFF"/>
                <w:sz w:val="22"/>
              </w:rPr>
              <w:t xml:space="preserve">Lewin</w:t>
            </w:r>
          </w:p>
        </w:tc>
        <w:tc>
          <w:tcPr>
            <w:shd w:val="clear" w:fill="1F4B45"/>
          </w:tcPr>
          <w:p>
            <w:pPr>
              <w:pStyle w:val="Compact"/>
              <w:jc w:val="left"/>
            </w:pPr>
            <w:r>
              <w:rPr>
                <w:b/>
                <w:color w:val="FFFFFF"/>
                <w:sz w:val="22"/>
              </w:rPr>
              <w:t xml:space="preserve">ADKAR Focus</w:t>
            </w:r>
          </w:p>
        </w:tc>
        <w:tc>
          <w:tcPr>
            <w:shd w:val="clear" w:fill="1F4B45"/>
          </w:tcPr>
          <w:p>
            <w:pPr>
              <w:pStyle w:val="Compact"/>
              <w:jc w:val="left"/>
            </w:pPr>
            <w:r>
              <w:rPr>
                <w:b/>
                <w:color w:val="FFFFFF"/>
                <w:sz w:val="22"/>
              </w:rPr>
              <w:t xml:space="preserve">Bridges</w:t>
            </w:r>
          </w:p>
        </w:tc>
        <w:tc>
          <w:tcPr>
            <w:shd w:val="clear" w:fill="1F4B45"/>
          </w:tcPr>
          <w:p>
            <w:pPr>
              <w:pStyle w:val="Compact"/>
              <w:jc w:val="left"/>
            </w:pPr>
            <w:r>
              <w:rPr>
                <w:b/>
                <w:color w:val="FFFFFF"/>
                <w:sz w:val="22"/>
              </w:rPr>
              <w:t xml:space="preserve">Kübler-Ross</w:t>
            </w:r>
          </w:p>
        </w:tc>
        <w:tc>
          <w:tcPr>
            <w:shd w:val="clear" w:fill="1F4B45"/>
          </w:tcPr>
          <w:p>
            <w:pPr>
              <w:pStyle w:val="Compact"/>
              <w:jc w:val="left"/>
            </w:pPr>
            <w:r>
              <w:rPr>
                <w:b/>
                <w:color w:val="FFFFFF"/>
                <w:sz w:val="22"/>
              </w:rPr>
              <w:t xml:space="preserve">Exception</w:t>
            </w:r>
          </w:p>
        </w:tc>
      </w:tr>
      <w:tr>
        <w:trPr>
          <w:cantSplit/>
        </w:trPr>
        <w:tc>
          <w:tcPr/>
          <w:p>
            <w:pPr>
              <w:pStyle w:val="Compact"/>
              <w:jc w:val="left"/>
            </w:pPr>
            <w:r>
              <w:rPr>
                <w:sz w:val="22"/>
              </w:rPr>
              <w:t xml:space="preserve">Week 1</w:t>
            </w:r>
          </w:p>
        </w:tc>
        <w:tc>
          <w:tcPr/>
          <w:p>
            <w:pPr>
              <w:pStyle w:val="Compact"/>
              <w:jc w:val="left"/>
            </w:pPr>
            <w:r>
              <w:rPr>
                <w:sz w:val="22"/>
              </w:rPr>
              <w:t xml:space="preserve">Discovery</w:t>
            </w:r>
          </w:p>
        </w:tc>
        <w:tc>
          <w:tcPr/>
          <w:p>
            <w:pPr>
              <w:pStyle w:val="Compact"/>
              <w:jc w:val="left"/>
            </w:pPr>
            <w:r>
              <w:rPr>
                <w:sz w:val="22"/>
              </w:rPr>
              <w:t xml:space="preserve">Unfreeze</w:t>
            </w:r>
          </w:p>
        </w:tc>
        <w:tc>
          <w:tcPr/>
          <w:p>
            <w:pPr>
              <w:pStyle w:val="Compact"/>
              <w:jc w:val="left"/>
            </w:pPr>
            <w:r>
              <w:rPr>
                <w:sz w:val="22"/>
              </w:rPr>
              <w:t xml:space="preserve">Awareness</w:t>
            </w:r>
          </w:p>
        </w:tc>
        <w:tc>
          <w:tcPr/>
          <w:p>
            <w:pPr>
              <w:pStyle w:val="Compact"/>
              <w:jc w:val="left"/>
            </w:pPr>
            <w:r>
              <w:rPr>
                <w:sz w:val="22"/>
              </w:rPr>
              <w:t xml:space="preserve">Ending</w:t>
            </w:r>
          </w:p>
        </w:tc>
        <w:tc>
          <w:tcPr/>
          <w:p>
            <w:pPr>
              <w:pStyle w:val="Compact"/>
              <w:jc w:val="left"/>
            </w:pPr>
            <w:r>
              <w:rPr>
                <w:sz w:val="22"/>
              </w:rPr>
              <w:t xml:space="preserve">Denial</w:t>
            </w:r>
          </w:p>
        </w:tc>
        <w:tc>
          <w:tcPr/>
          <w:p>
            <w:pPr>
              <w:pStyle w:val="Compact"/>
              <w:jc w:val="left"/>
            </w:pPr>
            <w:r>
              <w:rPr>
                <w:sz w:val="22"/>
              </w:rPr>
              <w:t xml:space="preserve">—</w:t>
            </w:r>
          </w:p>
        </w:tc>
      </w:tr>
      <w:tr>
        <w:trPr>
          <w:cantSplit/>
        </w:trPr>
        <w:tc>
          <w:tcPr/>
          <w:p>
            <w:pPr>
              <w:pStyle w:val="Compact"/>
              <w:jc w:val="left"/>
            </w:pPr>
            <w:r>
              <w:rPr>
                <w:sz w:val="22"/>
              </w:rPr>
              <w:t xml:space="preserve">Week 2</w:t>
            </w:r>
          </w:p>
        </w:tc>
        <w:tc>
          <w:tcPr/>
          <w:p>
            <w:pPr>
              <w:pStyle w:val="Compact"/>
              <w:jc w:val="left"/>
            </w:pPr>
            <w:r>
              <w:rPr>
                <w:sz w:val="22"/>
              </w:rPr>
              <w:t xml:space="preserve">Discovery</w:t>
            </w:r>
          </w:p>
        </w:tc>
        <w:tc>
          <w:tcPr/>
          <w:p>
            <w:pPr>
              <w:pStyle w:val="Compact"/>
              <w:jc w:val="left"/>
            </w:pPr>
            <w:r>
              <w:rPr>
                <w:sz w:val="22"/>
              </w:rPr>
              <w:t xml:space="preserve">Unfreeze</w:t>
            </w:r>
          </w:p>
        </w:tc>
        <w:tc>
          <w:tcPr/>
          <w:p>
            <w:pPr>
              <w:pStyle w:val="Compact"/>
              <w:jc w:val="left"/>
            </w:pPr>
            <w:r>
              <w:rPr>
                <w:sz w:val="22"/>
              </w:rPr>
              <w:t xml:space="preserve">Awareness</w:t>
            </w:r>
          </w:p>
        </w:tc>
        <w:tc>
          <w:tcPr/>
          <w:p>
            <w:pPr>
              <w:pStyle w:val="Compact"/>
              <w:jc w:val="left"/>
            </w:pPr>
            <w:r>
              <w:rPr>
                <w:sz w:val="22"/>
              </w:rPr>
              <w:t xml:space="preserve">Ending</w:t>
            </w:r>
          </w:p>
        </w:tc>
        <w:tc>
          <w:tcPr/>
          <w:p>
            <w:pPr>
              <w:pStyle w:val="Compact"/>
              <w:jc w:val="left"/>
            </w:pPr>
            <w:r>
              <w:rPr>
                <w:sz w:val="22"/>
              </w:rPr>
              <w:t xml:space="preserve">Denial</w:t>
            </w:r>
          </w:p>
        </w:tc>
        <w:tc>
          <w:tcPr/>
          <w:p>
            <w:pPr>
              <w:pStyle w:val="Compact"/>
              <w:jc w:val="left"/>
            </w:pPr>
            <w:r>
              <w:rPr>
                <w:sz w:val="22"/>
              </w:rPr>
              <w:t xml:space="preserve">—</w:t>
            </w:r>
          </w:p>
        </w:tc>
      </w:tr>
      <w:tr>
        <w:trPr>
          <w:cantSplit/>
        </w:trPr>
        <w:tc>
          <w:tcPr/>
          <w:p>
            <w:pPr>
              <w:pStyle w:val="Compact"/>
              <w:jc w:val="left"/>
            </w:pPr>
            <w:r>
              <w:rPr>
                <w:sz w:val="22"/>
              </w:rPr>
              <w:t xml:space="preserve">Week 3</w:t>
            </w:r>
          </w:p>
        </w:tc>
        <w:tc>
          <w:tcPr/>
          <w:p>
            <w:pPr>
              <w:pStyle w:val="Compact"/>
              <w:jc w:val="left"/>
            </w:pPr>
            <w:r>
              <w:rPr>
                <w:sz w:val="22"/>
              </w:rPr>
              <w:t xml:space="preserve">Discovery</w:t>
            </w:r>
          </w:p>
        </w:tc>
        <w:tc>
          <w:tcPr/>
          <w:p>
            <w:pPr>
              <w:pStyle w:val="Compact"/>
              <w:jc w:val="left"/>
            </w:pPr>
            <w:r>
              <w:rPr>
                <w:sz w:val="22"/>
              </w:rPr>
              <w:t xml:space="preserve">Unfreeze</w:t>
            </w:r>
          </w:p>
        </w:tc>
        <w:tc>
          <w:tcPr/>
          <w:p>
            <w:pPr>
              <w:pStyle w:val="Compact"/>
              <w:jc w:val="left"/>
            </w:pPr>
            <w:r>
              <w:rPr>
                <w:sz w:val="22"/>
              </w:rPr>
              <w:t xml:space="preserve">Awareness</w:t>
            </w:r>
          </w:p>
        </w:tc>
        <w:tc>
          <w:tcPr/>
          <w:p>
            <w:pPr>
              <w:pStyle w:val="Compact"/>
              <w:jc w:val="left"/>
            </w:pPr>
            <w:r>
              <w:rPr>
                <w:sz w:val="22"/>
              </w:rPr>
              <w:t xml:space="preserve">Ending</w:t>
            </w:r>
          </w:p>
        </w:tc>
        <w:tc>
          <w:tcPr/>
          <w:p>
            <w:pPr>
              <w:pStyle w:val="Compact"/>
              <w:jc w:val="left"/>
            </w:pPr>
            <w:r>
              <w:rPr>
                <w:sz w:val="22"/>
              </w:rPr>
              <w:t xml:space="preserve">Denial</w:t>
            </w:r>
          </w:p>
        </w:tc>
        <w:tc>
          <w:tcPr/>
          <w:p>
            <w:pPr>
              <w:pStyle w:val="Compact"/>
              <w:jc w:val="left"/>
            </w:pPr>
            <w:r>
              <w:rPr>
                <w:sz w:val="22"/>
              </w:rPr>
              <w:t xml:space="preserve">—</w:t>
            </w:r>
          </w:p>
        </w:tc>
      </w:tr>
      <w:tr>
        <w:trPr>
          <w:cantSplit/>
        </w:trPr>
        <w:tc>
          <w:tcPr/>
          <w:p>
            <w:pPr>
              <w:pStyle w:val="Compact"/>
              <w:jc w:val="left"/>
            </w:pPr>
            <w:r>
              <w:rPr>
                <w:sz w:val="22"/>
              </w:rPr>
              <w:t xml:space="preserve">Week 4</w:t>
            </w:r>
          </w:p>
        </w:tc>
        <w:tc>
          <w:tcPr/>
          <w:p>
            <w:pPr>
              <w:pStyle w:val="Compact"/>
              <w:jc w:val="left"/>
            </w:pPr>
            <w:r>
              <w:rPr>
                <w:sz w:val="22"/>
              </w:rPr>
              <w:t xml:space="preserve">Discovery</w:t>
            </w:r>
          </w:p>
        </w:tc>
        <w:tc>
          <w:tcPr/>
          <w:p>
            <w:pPr>
              <w:pStyle w:val="Compact"/>
              <w:jc w:val="left"/>
            </w:pPr>
            <w:r>
              <w:rPr>
                <w:sz w:val="22"/>
              </w:rPr>
              <w:t xml:space="preserve">Unfreeze</w:t>
            </w:r>
          </w:p>
        </w:tc>
        <w:tc>
          <w:tcPr/>
          <w:p>
            <w:pPr>
              <w:pStyle w:val="Compact"/>
              <w:jc w:val="left"/>
            </w:pPr>
            <w:r>
              <w:rPr>
                <w:sz w:val="22"/>
              </w:rPr>
              <w:t xml:space="preserve">Awareness</w:t>
            </w:r>
          </w:p>
        </w:tc>
        <w:tc>
          <w:tcPr/>
          <w:p>
            <w:pPr>
              <w:pStyle w:val="Compact"/>
              <w:jc w:val="left"/>
            </w:pPr>
            <w:r>
              <w:rPr>
                <w:sz w:val="22"/>
              </w:rPr>
              <w:t xml:space="preserve">Ending</w:t>
            </w:r>
          </w:p>
        </w:tc>
        <w:tc>
          <w:tcPr/>
          <w:p>
            <w:pPr>
              <w:pStyle w:val="Compact"/>
              <w:jc w:val="left"/>
            </w:pPr>
            <w:r>
              <w:rPr>
                <w:sz w:val="22"/>
              </w:rPr>
              <w:t xml:space="preserve">Denial</w:t>
            </w:r>
          </w:p>
        </w:tc>
        <w:tc>
          <w:tcPr/>
          <w:p>
            <w:pPr>
              <w:pStyle w:val="Compact"/>
              <w:jc w:val="left"/>
            </w:pPr>
            <w:r>
              <w:rPr>
                <w:sz w:val="22"/>
              </w:rPr>
              <w:t xml:space="preserve">—</w:t>
            </w:r>
          </w:p>
        </w:tc>
      </w:tr>
      <w:tr>
        <w:trPr>
          <w:cantSplit/>
        </w:trPr>
        <w:tc>
          <w:tcPr/>
          <w:p>
            <w:pPr>
              <w:pStyle w:val="Compact"/>
              <w:jc w:val="left"/>
            </w:pPr>
            <w:r>
              <w:rPr>
                <w:sz w:val="22"/>
              </w:rPr>
              <w:t xml:space="preserve">Week 5</w:t>
            </w:r>
          </w:p>
        </w:tc>
        <w:tc>
          <w:tcPr/>
          <w:p>
            <w:pPr>
              <w:pStyle w:val="Compact"/>
              <w:jc w:val="left"/>
            </w:pPr>
            <w:r>
              <w:rPr>
                <w:sz w:val="22"/>
              </w:rPr>
              <w:t xml:space="preserve">Discovery</w:t>
            </w:r>
          </w:p>
        </w:tc>
        <w:tc>
          <w:tcPr/>
          <w:p>
            <w:pPr>
              <w:pStyle w:val="Compact"/>
              <w:jc w:val="left"/>
            </w:pPr>
            <w:r>
              <w:rPr>
                <w:sz w:val="22"/>
              </w:rPr>
              <w:t xml:space="preserve">Unfreeze</w:t>
            </w:r>
          </w:p>
        </w:tc>
        <w:tc>
          <w:tcPr/>
          <w:p>
            <w:pPr>
              <w:pStyle w:val="Compact"/>
              <w:jc w:val="left"/>
            </w:pPr>
            <w:r>
              <w:rPr>
                <w:sz w:val="22"/>
              </w:rPr>
              <w:t xml:space="preserve">Awareness</w:t>
            </w:r>
          </w:p>
        </w:tc>
        <w:tc>
          <w:tcPr/>
          <w:p>
            <w:pPr>
              <w:pStyle w:val="Compact"/>
              <w:jc w:val="left"/>
            </w:pPr>
            <w:r>
              <w:rPr>
                <w:sz w:val="22"/>
              </w:rPr>
              <w:t xml:space="preserve">Ending</w:t>
            </w:r>
          </w:p>
        </w:tc>
        <w:tc>
          <w:tcPr/>
          <w:p>
            <w:pPr>
              <w:pStyle w:val="Compact"/>
              <w:jc w:val="left"/>
            </w:pPr>
            <w:r>
              <w:rPr>
                <w:sz w:val="22"/>
              </w:rPr>
              <w:t xml:space="preserve">Denial</w:t>
            </w:r>
          </w:p>
        </w:tc>
        <w:tc>
          <w:tcPr/>
          <w:p>
            <w:pPr>
              <w:pStyle w:val="Compact"/>
              <w:jc w:val="left"/>
            </w:pPr>
            <w:r>
              <w:rPr>
                <w:sz w:val="22"/>
              </w:rPr>
              <w:t xml:space="preserve">—</w:t>
            </w:r>
          </w:p>
        </w:tc>
      </w:tr>
      <w:tr>
        <w:trPr>
          <w:cantSplit/>
        </w:trPr>
        <w:tc>
          <w:tcPr/>
          <w:p>
            <w:pPr>
              <w:pStyle w:val="Compact"/>
              <w:jc w:val="left"/>
            </w:pPr>
            <w:r>
              <w:rPr>
                <w:sz w:val="22"/>
              </w:rPr>
              <w:t xml:space="preserve">Week 6</w:t>
            </w:r>
          </w:p>
        </w:tc>
        <w:tc>
          <w:tcPr/>
          <w:p>
            <w:pPr>
              <w:pStyle w:val="Compact"/>
              <w:jc w:val="left"/>
            </w:pPr>
            <w:r>
              <w:rPr>
                <w:sz w:val="22"/>
              </w:rPr>
              <w:t xml:space="preserve">Discovery</w:t>
            </w:r>
          </w:p>
        </w:tc>
        <w:tc>
          <w:tcPr/>
          <w:p>
            <w:pPr>
              <w:pStyle w:val="Compact"/>
              <w:jc w:val="left"/>
            </w:pPr>
            <w:r>
              <w:rPr>
                <w:sz w:val="22"/>
              </w:rPr>
              <w:t xml:space="preserve">Unfreeze</w:t>
            </w:r>
          </w:p>
        </w:tc>
        <w:tc>
          <w:tcPr/>
          <w:p>
            <w:pPr>
              <w:pStyle w:val="Compact"/>
              <w:jc w:val="left"/>
            </w:pPr>
            <w:r>
              <w:rPr>
                <w:sz w:val="22"/>
              </w:rPr>
              <w:t xml:space="preserve">Awareness</w:t>
            </w:r>
          </w:p>
        </w:tc>
        <w:tc>
          <w:tcPr/>
          <w:p>
            <w:pPr>
              <w:pStyle w:val="Compact"/>
              <w:jc w:val="left"/>
            </w:pPr>
            <w:r>
              <w:rPr>
                <w:sz w:val="22"/>
              </w:rPr>
              <w:t xml:space="preserve">Ending</w:t>
            </w:r>
          </w:p>
        </w:tc>
        <w:tc>
          <w:tcPr/>
          <w:p>
            <w:pPr>
              <w:pStyle w:val="Compact"/>
              <w:jc w:val="left"/>
            </w:pPr>
            <w:r>
              <w:rPr>
                <w:sz w:val="22"/>
              </w:rPr>
              <w:t xml:space="preserve">Denial</w:t>
            </w:r>
          </w:p>
        </w:tc>
        <w:tc>
          <w:tcPr/>
          <w:p>
            <w:pPr>
              <w:pStyle w:val="Compact"/>
              <w:jc w:val="left"/>
            </w:pPr>
            <w:r>
              <w:rPr>
                <w:sz w:val="22"/>
              </w:rPr>
              <w:t xml:space="preserve">—</w:t>
            </w:r>
          </w:p>
        </w:tc>
      </w:tr>
      <w:tr>
        <w:trPr>
          <w:cantSplit/>
        </w:trPr>
        <w:tc>
          <w:tcPr/>
          <w:p>
            <w:pPr>
              <w:pStyle w:val="Compact"/>
              <w:jc w:val="left"/>
            </w:pPr>
            <w:r>
              <w:rPr>
                <w:sz w:val="22"/>
              </w:rPr>
              <w:t xml:space="preserve">Week 7</w:t>
            </w:r>
          </w:p>
        </w:tc>
        <w:tc>
          <w:tcPr/>
          <w:p>
            <w:pPr>
              <w:pStyle w:val="Compact"/>
              <w:jc w:val="left"/>
            </w:pPr>
            <w:r>
              <w:rPr>
                <w:sz w:val="22"/>
              </w:rPr>
              <w:t xml:space="preserve">Discovery</w:t>
            </w:r>
          </w:p>
        </w:tc>
        <w:tc>
          <w:tcPr/>
          <w:p>
            <w:pPr>
              <w:pStyle w:val="Compact"/>
              <w:jc w:val="left"/>
            </w:pPr>
            <w:r>
              <w:rPr>
                <w:sz w:val="22"/>
              </w:rPr>
              <w:t xml:space="preserve">Unfreeze</w:t>
            </w:r>
          </w:p>
        </w:tc>
        <w:tc>
          <w:tcPr/>
          <w:p>
            <w:pPr>
              <w:pStyle w:val="Compact"/>
              <w:jc w:val="left"/>
            </w:pPr>
            <w:r>
              <w:rPr>
                <w:sz w:val="22"/>
              </w:rPr>
              <w:t xml:space="preserve">Awareness</w:t>
            </w:r>
          </w:p>
        </w:tc>
        <w:tc>
          <w:tcPr/>
          <w:p>
            <w:pPr>
              <w:pStyle w:val="Compact"/>
              <w:jc w:val="left"/>
            </w:pPr>
            <w:r>
              <w:rPr>
                <w:sz w:val="22"/>
              </w:rPr>
              <w:t xml:space="preserve">Ending</w:t>
            </w:r>
          </w:p>
        </w:tc>
        <w:tc>
          <w:tcPr/>
          <w:p>
            <w:pPr>
              <w:pStyle w:val="Compact"/>
              <w:jc w:val="left"/>
            </w:pPr>
            <w:r>
              <w:rPr>
                <w:sz w:val="22"/>
              </w:rPr>
              <w:t xml:space="preserve">Denial</w:t>
            </w:r>
          </w:p>
        </w:tc>
        <w:tc>
          <w:tcPr/>
          <w:p>
            <w:pPr>
              <w:pStyle w:val="Compact"/>
              <w:jc w:val="left"/>
            </w:pPr>
            <w:r>
              <w:rPr>
                <w:sz w:val="22"/>
              </w:rPr>
              <w:t xml:space="preserve">—</w:t>
            </w:r>
          </w:p>
        </w:tc>
      </w:tr>
      <w:tr>
        <w:trPr>
          <w:cantSplit/>
        </w:trPr>
        <w:tc>
          <w:tcPr/>
          <w:p>
            <w:pPr>
              <w:pStyle w:val="Compact"/>
              <w:jc w:val="left"/>
            </w:pPr>
            <w:r>
              <w:rPr>
                <w:sz w:val="22"/>
              </w:rPr>
              <w:t xml:space="preserve">Week 8</w:t>
            </w:r>
          </w:p>
        </w:tc>
        <w:tc>
          <w:tcPr/>
          <w:p>
            <w:pPr>
              <w:pStyle w:val="Compact"/>
              <w:jc w:val="left"/>
            </w:pPr>
            <w:r>
              <w:rPr>
                <w:sz w:val="22"/>
              </w:rPr>
              <w:t xml:space="preserve">Discovery</w:t>
            </w:r>
          </w:p>
        </w:tc>
        <w:tc>
          <w:tcPr/>
          <w:p>
            <w:pPr>
              <w:pStyle w:val="Compact"/>
              <w:jc w:val="left"/>
            </w:pPr>
            <w:r>
              <w:rPr>
                <w:sz w:val="22"/>
              </w:rPr>
              <w:t xml:space="preserve">Unfreeze</w:t>
            </w:r>
          </w:p>
        </w:tc>
        <w:tc>
          <w:tcPr/>
          <w:p>
            <w:pPr>
              <w:pStyle w:val="Compact"/>
              <w:jc w:val="left"/>
            </w:pPr>
            <w:r>
              <w:rPr>
                <w:sz w:val="22"/>
              </w:rPr>
              <w:t xml:space="preserve">Awareness</w:t>
            </w:r>
          </w:p>
        </w:tc>
        <w:tc>
          <w:tcPr/>
          <w:p>
            <w:pPr>
              <w:pStyle w:val="Compact"/>
              <w:jc w:val="left"/>
            </w:pPr>
            <w:r>
              <w:rPr>
                <w:sz w:val="22"/>
              </w:rPr>
              <w:t xml:space="preserve">Ending</w:t>
            </w:r>
          </w:p>
        </w:tc>
        <w:tc>
          <w:tcPr/>
          <w:p>
            <w:pPr>
              <w:pStyle w:val="Compact"/>
              <w:jc w:val="left"/>
            </w:pPr>
            <w:r>
              <w:rPr>
                <w:sz w:val="22"/>
              </w:rPr>
              <w:t xml:space="preserve">Denial</w:t>
            </w:r>
          </w:p>
        </w:tc>
        <w:tc>
          <w:tcPr/>
          <w:p>
            <w:pPr>
              <w:pStyle w:val="Compact"/>
              <w:jc w:val="left"/>
            </w:pPr>
            <w:r>
              <w:rPr>
                <w:sz w:val="22"/>
              </w:rPr>
              <w:t xml:space="preserve">—</w:t>
            </w:r>
          </w:p>
        </w:tc>
      </w:tr>
      <w:tr>
        <w:trPr>
          <w:cantSplit/>
        </w:trPr>
        <w:tc>
          <w:tcPr/>
          <w:p>
            <w:pPr>
              <w:pStyle w:val="Compact"/>
              <w:jc w:val="left"/>
            </w:pPr>
            <w:r>
              <w:rPr>
                <w:sz w:val="22"/>
              </w:rPr>
              <w:t xml:space="preserve">Week 9</w:t>
            </w:r>
          </w:p>
        </w:tc>
        <w:tc>
          <w:tcPr/>
          <w:p>
            <w:pPr>
              <w:pStyle w:val="Compact"/>
              <w:jc w:val="left"/>
            </w:pPr>
            <w:r>
              <w:rPr>
                <w:sz w:val="22"/>
              </w:rPr>
              <w:t xml:space="preserve">Discovery + Design</w:t>
            </w:r>
          </w:p>
        </w:tc>
        <w:tc>
          <w:tcPr/>
          <w:p>
            <w:pPr>
              <w:pStyle w:val="Compact"/>
              <w:jc w:val="left"/>
            </w:pPr>
            <w:r>
              <w:rPr>
                <w:sz w:val="22"/>
              </w:rPr>
              <w:t xml:space="preserve">Unfreeze</w:t>
            </w:r>
          </w:p>
        </w:tc>
        <w:tc>
          <w:tcPr/>
          <w:p>
            <w:pPr>
              <w:pStyle w:val="Compact"/>
              <w:jc w:val="left"/>
            </w:pPr>
            <w:r>
              <w:rPr>
                <w:sz w:val="22"/>
              </w:rPr>
              <w:t xml:space="preserve">Awareness</w:t>
            </w:r>
          </w:p>
        </w:tc>
        <w:tc>
          <w:tcPr/>
          <w:p>
            <w:pPr>
              <w:pStyle w:val="Compact"/>
              <w:jc w:val="left"/>
            </w:pPr>
            <w:r>
              <w:rPr>
                <w:sz w:val="22"/>
              </w:rPr>
              <w:t xml:space="preserve">Ending</w:t>
            </w:r>
          </w:p>
        </w:tc>
        <w:tc>
          <w:tcPr/>
          <w:p>
            <w:pPr>
              <w:pStyle w:val="Compact"/>
              <w:jc w:val="left"/>
            </w:pPr>
            <w:r>
              <w:rPr>
                <w:sz w:val="22"/>
              </w:rPr>
              <w:t xml:space="preserve">Denial</w:t>
            </w:r>
          </w:p>
        </w:tc>
        <w:tc>
          <w:tcPr/>
          <w:p>
            <w:pPr>
              <w:pStyle w:val="Compact"/>
              <w:jc w:val="left"/>
            </w:pPr>
            <w:r>
              <w:rPr>
                <w:sz w:val="22"/>
              </w:rPr>
              <w:t xml:space="preserve">—</w:t>
            </w:r>
          </w:p>
        </w:tc>
      </w:tr>
      <w:tr>
        <w:trPr>
          <w:cantSplit/>
        </w:trPr>
        <w:tc>
          <w:tcPr/>
          <w:p>
            <w:pPr>
              <w:pStyle w:val="Compact"/>
              <w:jc w:val="left"/>
            </w:pPr>
            <w:r>
              <w:rPr>
                <w:sz w:val="22"/>
              </w:rPr>
              <w:t xml:space="preserve">Week 10</w:t>
            </w:r>
          </w:p>
        </w:tc>
        <w:tc>
          <w:tcPr/>
          <w:p>
            <w:pPr>
              <w:pStyle w:val="Compact"/>
              <w:jc w:val="left"/>
            </w:pPr>
            <w:r>
              <w:rPr>
                <w:sz w:val="22"/>
              </w:rPr>
              <w:t xml:space="preserve">Discovery + Design</w:t>
            </w:r>
          </w:p>
        </w:tc>
        <w:tc>
          <w:tcPr/>
          <w:p>
            <w:pPr>
              <w:pStyle w:val="Compact"/>
              <w:jc w:val="left"/>
            </w:pPr>
            <w:r>
              <w:rPr>
                <w:sz w:val="22"/>
              </w:rPr>
              <w:t xml:space="preserve">Unfreeze</w:t>
            </w:r>
          </w:p>
        </w:tc>
        <w:tc>
          <w:tcPr/>
          <w:p>
            <w:pPr>
              <w:pStyle w:val="Compact"/>
              <w:jc w:val="left"/>
            </w:pPr>
            <w:r>
              <w:rPr>
                <w:sz w:val="22"/>
              </w:rPr>
              <w:t xml:space="preserve">Awareness → Desire</w:t>
            </w:r>
          </w:p>
        </w:tc>
        <w:tc>
          <w:tcPr/>
          <w:p>
            <w:pPr>
              <w:pStyle w:val="Compact"/>
              <w:jc w:val="left"/>
            </w:pPr>
            <w:r>
              <w:rPr>
                <w:sz w:val="22"/>
              </w:rPr>
              <w:t xml:space="preserve">Ending</w:t>
            </w:r>
          </w:p>
        </w:tc>
        <w:tc>
          <w:tcPr/>
          <w:p>
            <w:pPr>
              <w:pStyle w:val="Compact"/>
              <w:jc w:val="left"/>
            </w:pPr>
            <w:r>
              <w:rPr>
                <w:sz w:val="22"/>
              </w:rPr>
              <w:t xml:space="preserve">Denial → Resistance/Anger</w:t>
            </w:r>
          </w:p>
        </w:tc>
        <w:tc>
          <w:tcPr/>
          <w:p>
            <w:pPr>
              <w:pStyle w:val="Compact"/>
              <w:jc w:val="left"/>
            </w:pPr>
            <w:r>
              <w:rPr>
                <w:sz w:val="22"/>
              </w:rPr>
              <w:t xml:space="preserve">—</w:t>
            </w:r>
          </w:p>
        </w:tc>
      </w:tr>
      <w:tr>
        <w:trPr>
          <w:cantSplit/>
        </w:trPr>
        <w:tc>
          <w:tcPr/>
          <w:p>
            <w:pPr>
              <w:pStyle w:val="Compact"/>
              <w:jc w:val="left"/>
            </w:pPr>
            <w:r>
              <w:rPr>
                <w:sz w:val="22"/>
              </w:rPr>
              <w:t xml:space="preserve">Week 11</w:t>
            </w:r>
          </w:p>
        </w:tc>
        <w:tc>
          <w:tcPr/>
          <w:p>
            <w:pPr>
              <w:pStyle w:val="Compact"/>
              <w:jc w:val="left"/>
            </w:pPr>
            <w:r>
              <w:rPr>
                <w:sz w:val="22"/>
              </w:rPr>
              <w:t xml:space="preserve">Discovery + Design</w:t>
            </w:r>
          </w:p>
        </w:tc>
        <w:tc>
          <w:tcPr/>
          <w:p>
            <w:pPr>
              <w:pStyle w:val="Compact"/>
              <w:jc w:val="left"/>
            </w:pPr>
            <w:r>
              <w:rPr>
                <w:sz w:val="22"/>
              </w:rPr>
              <w:t xml:space="preserve">Unfreeze</w:t>
            </w:r>
          </w:p>
        </w:tc>
        <w:tc>
          <w:tcPr/>
          <w:p>
            <w:pPr>
              <w:pStyle w:val="Compact"/>
              <w:jc w:val="left"/>
            </w:pPr>
            <w:r>
              <w:rPr>
                <w:sz w:val="22"/>
              </w:rPr>
              <w:t xml:space="preserve">Awareness → Desire</w:t>
            </w:r>
          </w:p>
        </w:tc>
        <w:tc>
          <w:tcPr/>
          <w:p>
            <w:pPr>
              <w:pStyle w:val="Compact"/>
              <w:jc w:val="left"/>
            </w:pPr>
            <w:r>
              <w:rPr>
                <w:sz w:val="22"/>
              </w:rPr>
              <w:t xml:space="preserve">Ending</w:t>
            </w:r>
          </w:p>
        </w:tc>
        <w:tc>
          <w:tcPr/>
          <w:p>
            <w:pPr>
              <w:pStyle w:val="Compact"/>
              <w:jc w:val="left"/>
            </w:pPr>
            <w:r>
              <w:rPr>
                <w:sz w:val="22"/>
              </w:rPr>
              <w:t xml:space="preserve">Denial → Resistance/Anger</w:t>
            </w:r>
          </w:p>
        </w:tc>
        <w:tc>
          <w:tcPr/>
          <w:p>
            <w:pPr>
              <w:pStyle w:val="Compact"/>
              <w:jc w:val="left"/>
            </w:pPr>
            <w:r>
              <w:rPr>
                <w:sz w:val="22"/>
              </w:rPr>
              <w:t xml:space="preserve">—</w:t>
            </w:r>
          </w:p>
        </w:tc>
      </w:tr>
      <w:tr>
        <w:trPr>
          <w:cantSplit/>
        </w:trPr>
        <w:tc>
          <w:tcPr/>
          <w:p>
            <w:pPr>
              <w:pStyle w:val="Compact"/>
              <w:jc w:val="left"/>
            </w:pPr>
            <w:r>
              <w:rPr>
                <w:sz w:val="22"/>
              </w:rPr>
              <w:t xml:space="preserve">Week 12</w:t>
            </w:r>
          </w:p>
        </w:tc>
        <w:tc>
          <w:tcPr/>
          <w:p>
            <w:pPr>
              <w:pStyle w:val="Compact"/>
              <w:jc w:val="left"/>
            </w:pPr>
            <w:r>
              <w:rPr>
                <w:sz w:val="22"/>
              </w:rPr>
              <w:t xml:space="preserve">Design + Build</w:t>
            </w:r>
          </w:p>
        </w:tc>
        <w:tc>
          <w:tcPr/>
          <w:p>
            <w:pPr>
              <w:pStyle w:val="Compact"/>
              <w:jc w:val="left"/>
            </w:pPr>
            <w:r>
              <w:rPr>
                <w:sz w:val="22"/>
              </w:rPr>
              <w:t xml:space="preserve">Unfreeze</w:t>
            </w:r>
          </w:p>
        </w:tc>
        <w:tc>
          <w:tcPr/>
          <w:p>
            <w:pPr>
              <w:pStyle w:val="Compact"/>
              <w:jc w:val="left"/>
            </w:pPr>
            <w:r>
              <w:rPr>
                <w:sz w:val="22"/>
              </w:rPr>
              <w:t xml:space="preserve">Awareness → Desire</w:t>
            </w:r>
          </w:p>
        </w:tc>
        <w:tc>
          <w:tcPr/>
          <w:p>
            <w:pPr>
              <w:pStyle w:val="Compact"/>
              <w:jc w:val="left"/>
            </w:pPr>
            <w:r>
              <w:rPr>
                <w:sz w:val="22"/>
              </w:rPr>
              <w:t xml:space="preserve">Ending</w:t>
            </w:r>
          </w:p>
        </w:tc>
        <w:tc>
          <w:tcPr/>
          <w:p>
            <w:pPr>
              <w:pStyle w:val="Compact"/>
              <w:jc w:val="left"/>
            </w:pPr>
            <w:r>
              <w:rPr>
                <w:sz w:val="22"/>
              </w:rPr>
              <w:t xml:space="preserve">Denial → Resistance/Anger</w:t>
            </w:r>
          </w:p>
        </w:tc>
        <w:tc>
          <w:tcPr/>
          <w:p>
            <w:pPr>
              <w:pStyle w:val="Compact"/>
              <w:jc w:val="left"/>
            </w:pPr>
            <w:r>
              <w:rPr>
                <w:sz w:val="22"/>
              </w:rPr>
              <w:t xml:space="preserve">—</w:t>
            </w:r>
          </w:p>
        </w:tc>
      </w:tr>
      <w:tr>
        <w:trPr>
          <w:cantSplit/>
        </w:trPr>
        <w:tc>
          <w:tcPr/>
          <w:p>
            <w:pPr>
              <w:pStyle w:val="Compact"/>
              <w:jc w:val="left"/>
            </w:pPr>
            <w:r>
              <w:rPr>
                <w:sz w:val="22"/>
              </w:rPr>
              <w:t xml:space="preserve">Week 13</w:t>
            </w:r>
          </w:p>
        </w:tc>
        <w:tc>
          <w:tcPr/>
          <w:p>
            <w:pPr>
              <w:pStyle w:val="Compact"/>
              <w:jc w:val="left"/>
            </w:pPr>
            <w:r>
              <w:rPr>
                <w:sz w:val="22"/>
              </w:rPr>
              <w:t xml:space="preserve">Design + Build</w:t>
            </w:r>
          </w:p>
        </w:tc>
        <w:tc>
          <w:tcPr/>
          <w:p>
            <w:pPr>
              <w:pStyle w:val="Compact"/>
              <w:jc w:val="left"/>
            </w:pPr>
            <w:r>
              <w:rPr>
                <w:sz w:val="22"/>
              </w:rPr>
              <w:t xml:space="preserve">Unfreeze</w:t>
            </w:r>
          </w:p>
        </w:tc>
        <w:tc>
          <w:tcPr/>
          <w:p>
            <w:pPr>
              <w:pStyle w:val="Compact"/>
              <w:jc w:val="left"/>
            </w:pPr>
            <w:r>
              <w:rPr>
                <w:sz w:val="22"/>
              </w:rPr>
              <w:t xml:space="preserve">Awareness → Desire</w:t>
            </w:r>
          </w:p>
        </w:tc>
        <w:tc>
          <w:tcPr/>
          <w:p>
            <w:pPr>
              <w:pStyle w:val="Compact"/>
              <w:jc w:val="left"/>
            </w:pPr>
            <w:r>
              <w:rPr>
                <w:sz w:val="22"/>
              </w:rPr>
              <w:t xml:space="preserve">Ending</w:t>
            </w:r>
          </w:p>
        </w:tc>
        <w:tc>
          <w:tcPr/>
          <w:p>
            <w:pPr>
              <w:pStyle w:val="Compact"/>
              <w:jc w:val="left"/>
            </w:pPr>
            <w:r>
              <w:rPr>
                <w:sz w:val="22"/>
              </w:rPr>
              <w:t xml:space="preserve">Denial → Resistance/Anger</w:t>
            </w:r>
          </w:p>
        </w:tc>
        <w:tc>
          <w:tcPr/>
          <w:p>
            <w:pPr>
              <w:pStyle w:val="Compact"/>
              <w:jc w:val="left"/>
            </w:pPr>
            <w:r>
              <w:rPr>
                <w:sz w:val="22"/>
              </w:rPr>
              <w:t xml:space="preserve">—</w:t>
            </w:r>
          </w:p>
        </w:tc>
      </w:tr>
      <w:tr>
        <w:trPr>
          <w:cantSplit/>
        </w:trPr>
        <w:tc>
          <w:tcPr/>
          <w:p>
            <w:pPr>
              <w:pStyle w:val="Compact"/>
              <w:jc w:val="left"/>
            </w:pPr>
            <w:r>
              <w:rPr>
                <w:sz w:val="22"/>
              </w:rPr>
              <w:t xml:space="preserve">Week 14</w:t>
            </w:r>
          </w:p>
        </w:tc>
        <w:tc>
          <w:tcPr/>
          <w:p>
            <w:pPr>
              <w:pStyle w:val="Compact"/>
              <w:jc w:val="left"/>
            </w:pPr>
            <w:r>
              <w:rPr>
                <w:sz w:val="22"/>
              </w:rPr>
              <w:t xml:space="preserve">Design + Build</w:t>
            </w:r>
          </w:p>
        </w:tc>
        <w:tc>
          <w:tcPr/>
          <w:p>
            <w:pPr>
              <w:pStyle w:val="Compact"/>
              <w:jc w:val="left"/>
            </w:pPr>
            <w:r>
              <w:rPr>
                <w:sz w:val="22"/>
              </w:rPr>
              <w:t xml:space="preserve">Unfreeze</w:t>
            </w:r>
          </w:p>
        </w:tc>
        <w:tc>
          <w:tcPr/>
          <w:p>
            <w:pPr>
              <w:pStyle w:val="Compact"/>
              <w:jc w:val="left"/>
            </w:pPr>
            <w:r>
              <w:rPr>
                <w:sz w:val="22"/>
              </w:rPr>
              <w:t xml:space="preserve">Awareness → Desire</w:t>
            </w:r>
          </w:p>
        </w:tc>
        <w:tc>
          <w:tcPr/>
          <w:p>
            <w:pPr>
              <w:pStyle w:val="Compact"/>
              <w:jc w:val="left"/>
            </w:pPr>
            <w:r>
              <w:rPr>
                <w:sz w:val="22"/>
              </w:rPr>
              <w:t xml:space="preserve">Ending</w:t>
            </w:r>
          </w:p>
        </w:tc>
        <w:tc>
          <w:tcPr/>
          <w:p>
            <w:pPr>
              <w:pStyle w:val="Compact"/>
              <w:jc w:val="left"/>
            </w:pPr>
            <w:r>
              <w:rPr>
                <w:sz w:val="22"/>
              </w:rPr>
              <w:t xml:space="preserve">Denial → Resistance/Anger</w:t>
            </w:r>
          </w:p>
        </w:tc>
        <w:tc>
          <w:tcPr/>
          <w:p>
            <w:pPr>
              <w:pStyle w:val="Compact"/>
              <w:jc w:val="left"/>
            </w:pPr>
            <w:r>
              <w:rPr>
                <w:sz w:val="22"/>
              </w:rPr>
              <w:t xml:space="preserve">—</w:t>
            </w:r>
          </w:p>
        </w:tc>
      </w:tr>
      <w:tr>
        <w:trPr>
          <w:cantSplit/>
        </w:trPr>
        <w:tc>
          <w:tcPr/>
          <w:p>
            <w:pPr>
              <w:pStyle w:val="Compact"/>
              <w:jc w:val="left"/>
            </w:pPr>
            <w:r>
              <w:rPr>
                <w:sz w:val="22"/>
              </w:rPr>
              <w:t xml:space="preserve">Week 15</w:t>
            </w:r>
          </w:p>
        </w:tc>
        <w:tc>
          <w:tcPr/>
          <w:p>
            <w:pPr>
              <w:pStyle w:val="Compact"/>
              <w:jc w:val="left"/>
            </w:pPr>
            <w:r>
              <w:rPr>
                <w:sz w:val="22"/>
              </w:rPr>
              <w:t xml:space="preserve">Design + Build</w:t>
            </w:r>
          </w:p>
        </w:tc>
        <w:tc>
          <w:tcPr/>
          <w:p>
            <w:pPr>
              <w:pStyle w:val="Compact"/>
              <w:jc w:val="left"/>
            </w:pPr>
            <w:r>
              <w:rPr>
                <w:sz w:val="22"/>
              </w:rPr>
              <w:t xml:space="preserve">Unfreeze</w:t>
            </w:r>
          </w:p>
        </w:tc>
        <w:tc>
          <w:tcPr/>
          <w:p>
            <w:pPr>
              <w:pStyle w:val="Compact"/>
              <w:jc w:val="left"/>
            </w:pPr>
            <w:r>
              <w:rPr>
                <w:sz w:val="22"/>
              </w:rPr>
              <w:t xml:space="preserve">Awareness → Desire</w:t>
            </w:r>
          </w:p>
        </w:tc>
        <w:tc>
          <w:tcPr/>
          <w:p>
            <w:pPr>
              <w:pStyle w:val="Compact"/>
              <w:jc w:val="left"/>
            </w:pPr>
            <w:r>
              <w:rPr>
                <w:sz w:val="22"/>
              </w:rPr>
              <w:t xml:space="preserve">Ending</w:t>
            </w:r>
          </w:p>
        </w:tc>
        <w:tc>
          <w:tcPr/>
          <w:p>
            <w:pPr>
              <w:pStyle w:val="Compact"/>
              <w:jc w:val="left"/>
            </w:pPr>
            <w:r>
              <w:rPr>
                <w:sz w:val="22"/>
              </w:rPr>
              <w:t xml:space="preserve">Denial → Resistance/Anger</w:t>
            </w:r>
          </w:p>
        </w:tc>
        <w:tc>
          <w:tcPr/>
          <w:p>
            <w:pPr>
              <w:pStyle w:val="Compact"/>
              <w:jc w:val="left"/>
            </w:pPr>
            <w:r>
              <w:rPr>
                <w:sz w:val="22"/>
              </w:rPr>
              <w:t xml:space="preserve">—</w:t>
            </w:r>
          </w:p>
        </w:tc>
      </w:tr>
      <w:tr>
        <w:trPr>
          <w:cantSplit/>
        </w:trPr>
        <w:tc>
          <w:tcPr/>
          <w:p>
            <w:pPr>
              <w:pStyle w:val="Compact"/>
              <w:jc w:val="left"/>
            </w:pPr>
            <w:r>
              <w:rPr>
                <w:sz w:val="22"/>
              </w:rPr>
              <w:t xml:space="preserve">Week 16</w:t>
            </w:r>
          </w:p>
        </w:tc>
        <w:tc>
          <w:tcPr/>
          <w:p>
            <w:pPr>
              <w:pStyle w:val="Compact"/>
              <w:jc w:val="left"/>
            </w:pPr>
            <w:r>
              <w:rPr>
                <w:sz w:val="22"/>
              </w:rPr>
              <w:t xml:space="preserve">Design + Build</w:t>
            </w:r>
          </w:p>
        </w:tc>
        <w:tc>
          <w:tcPr/>
          <w:p>
            <w:pPr>
              <w:pStyle w:val="Compact"/>
              <w:jc w:val="left"/>
            </w:pPr>
            <w:r>
              <w:rPr>
                <w:sz w:val="22"/>
              </w:rPr>
              <w:t xml:space="preserve">Unfreeze</w:t>
            </w:r>
          </w:p>
        </w:tc>
        <w:tc>
          <w:tcPr/>
          <w:p>
            <w:pPr>
              <w:pStyle w:val="Compact"/>
              <w:jc w:val="left"/>
            </w:pPr>
            <w:r>
              <w:rPr>
                <w:sz w:val="22"/>
              </w:rPr>
              <w:t xml:space="preserve">Awareness → Desire</w:t>
            </w:r>
          </w:p>
        </w:tc>
        <w:tc>
          <w:tcPr/>
          <w:p>
            <w:pPr>
              <w:pStyle w:val="Compact"/>
              <w:jc w:val="left"/>
            </w:pPr>
            <w:r>
              <w:rPr>
                <w:sz w:val="22"/>
              </w:rPr>
              <w:t xml:space="preserve">Ending</w:t>
            </w:r>
          </w:p>
        </w:tc>
        <w:tc>
          <w:tcPr/>
          <w:p>
            <w:pPr>
              <w:pStyle w:val="Compact"/>
              <w:jc w:val="left"/>
            </w:pPr>
            <w:r>
              <w:rPr>
                <w:sz w:val="22"/>
              </w:rPr>
              <w:t xml:space="preserve">Denial → Resistance/Anger</w:t>
            </w:r>
          </w:p>
        </w:tc>
        <w:tc>
          <w:tcPr/>
          <w:p>
            <w:pPr>
              <w:pStyle w:val="Compact"/>
              <w:jc w:val="left"/>
            </w:pPr>
            <w:r>
              <w:rPr>
                <w:sz w:val="22"/>
              </w:rPr>
              <w:t xml:space="preserve">—</w:t>
            </w:r>
          </w:p>
        </w:tc>
      </w:tr>
      <w:tr>
        <w:trPr>
          <w:cantSplit/>
        </w:trPr>
        <w:tc>
          <w:tcPr/>
          <w:p>
            <w:pPr>
              <w:pStyle w:val="Compact"/>
              <w:jc w:val="left"/>
            </w:pPr>
            <w:r>
              <w:rPr>
                <w:sz w:val="22"/>
              </w:rPr>
              <w:t xml:space="preserve">Week 17</w:t>
            </w:r>
          </w:p>
        </w:tc>
        <w:tc>
          <w:tcPr/>
          <w:p>
            <w:pPr>
              <w:pStyle w:val="Compact"/>
              <w:jc w:val="left"/>
            </w:pPr>
            <w:r>
              <w:rPr>
                <w:sz w:val="22"/>
              </w:rPr>
              <w:t xml:space="preserve">Design + Build</w:t>
            </w:r>
          </w:p>
        </w:tc>
        <w:tc>
          <w:tcPr/>
          <w:p>
            <w:pPr>
              <w:pStyle w:val="Compact"/>
              <w:jc w:val="left"/>
            </w:pPr>
            <w:r>
              <w:rPr>
                <w:sz w:val="22"/>
              </w:rPr>
              <w:t xml:space="preserve">Unfreeze</w:t>
            </w:r>
          </w:p>
        </w:tc>
        <w:tc>
          <w:tcPr/>
          <w:p>
            <w:pPr>
              <w:pStyle w:val="Compact"/>
              <w:jc w:val="left"/>
            </w:pPr>
            <w:r>
              <w:rPr>
                <w:sz w:val="22"/>
              </w:rPr>
              <w:t xml:space="preserve">Awareness → Desire</w:t>
            </w:r>
          </w:p>
        </w:tc>
        <w:tc>
          <w:tcPr/>
          <w:p>
            <w:pPr>
              <w:pStyle w:val="Compact"/>
              <w:jc w:val="left"/>
            </w:pPr>
            <w:r>
              <w:rPr>
                <w:sz w:val="22"/>
              </w:rPr>
              <w:t xml:space="preserve">Ending</w:t>
            </w:r>
          </w:p>
        </w:tc>
        <w:tc>
          <w:tcPr/>
          <w:p>
            <w:pPr>
              <w:pStyle w:val="Compact"/>
              <w:jc w:val="left"/>
            </w:pPr>
            <w:r>
              <w:rPr>
                <w:sz w:val="22"/>
              </w:rPr>
              <w:t xml:space="preserve">Denial → Resistance/Anger</w:t>
            </w:r>
          </w:p>
        </w:tc>
        <w:tc>
          <w:tcPr/>
          <w:p>
            <w:pPr>
              <w:pStyle w:val="Compact"/>
              <w:jc w:val="left"/>
            </w:pPr>
            <w:r>
              <w:rPr>
                <w:sz w:val="22"/>
              </w:rPr>
              <w:t xml:space="preserve">—</w:t>
            </w:r>
          </w:p>
        </w:tc>
      </w:tr>
      <w:tr>
        <w:trPr>
          <w:cantSplit/>
        </w:trPr>
        <w:tc>
          <w:tcPr/>
          <w:p>
            <w:pPr>
              <w:pStyle w:val="Compact"/>
              <w:jc w:val="left"/>
            </w:pPr>
            <w:r>
              <w:rPr>
                <w:sz w:val="22"/>
              </w:rPr>
              <w:t xml:space="preserve">Week 18</w:t>
            </w:r>
          </w:p>
        </w:tc>
        <w:tc>
          <w:tcPr/>
          <w:p>
            <w:pPr>
              <w:pStyle w:val="Compact"/>
              <w:jc w:val="left"/>
            </w:pPr>
            <w:r>
              <w:rPr>
                <w:sz w:val="22"/>
              </w:rPr>
              <w:t xml:space="preserve">Build</w:t>
            </w:r>
          </w:p>
        </w:tc>
        <w:tc>
          <w:tcPr/>
          <w:p>
            <w:pPr>
              <w:pStyle w:val="Compact"/>
              <w:jc w:val="left"/>
            </w:pPr>
            <w:r>
              <w:rPr>
                <w:sz w:val="22"/>
              </w:rPr>
              <w:t xml:space="preserve">Unfreeze</w:t>
            </w:r>
          </w:p>
        </w:tc>
        <w:tc>
          <w:tcPr/>
          <w:p>
            <w:pPr>
              <w:pStyle w:val="Compact"/>
              <w:jc w:val="left"/>
            </w:pPr>
            <w:r>
              <w:rPr>
                <w:sz w:val="22"/>
              </w:rPr>
              <w:t xml:space="preserve">Desire</w:t>
            </w:r>
          </w:p>
        </w:tc>
        <w:tc>
          <w:tcPr/>
          <w:p>
            <w:pPr>
              <w:pStyle w:val="Compact"/>
              <w:jc w:val="left"/>
            </w:pPr>
            <w:r>
              <w:rPr>
                <w:sz w:val="22"/>
              </w:rPr>
              <w:t xml:space="preserve">Ending → Neutral Zone</w:t>
            </w:r>
          </w:p>
        </w:tc>
        <w:tc>
          <w:tcPr/>
          <w:p>
            <w:pPr>
              <w:pStyle w:val="Compact"/>
              <w:jc w:val="left"/>
            </w:pPr>
            <w:r>
              <w:rPr>
                <w:sz w:val="22"/>
              </w:rPr>
              <w:t xml:space="preserve">Denial → Resistance/Anger</w:t>
            </w:r>
          </w:p>
        </w:tc>
        <w:tc>
          <w:tcPr/>
          <w:p>
            <w:pPr>
              <w:pStyle w:val="Compact"/>
              <w:jc w:val="left"/>
            </w:pPr>
            <w:r>
              <w:rPr>
                <w:sz w:val="22"/>
              </w:rPr>
              <w:t xml:space="preserve">—</w:t>
            </w:r>
          </w:p>
        </w:tc>
      </w:tr>
      <w:tr>
        <w:trPr>
          <w:cantSplit/>
        </w:trPr>
        <w:tc>
          <w:tcPr/>
          <w:p>
            <w:pPr>
              <w:pStyle w:val="Compact"/>
              <w:jc w:val="left"/>
            </w:pPr>
            <w:r>
              <w:rPr>
                <w:sz w:val="22"/>
              </w:rPr>
              <w:t xml:space="preserve">Week 19</w:t>
            </w:r>
          </w:p>
        </w:tc>
        <w:tc>
          <w:tcPr/>
          <w:p>
            <w:pPr>
              <w:pStyle w:val="Compact"/>
              <w:jc w:val="left"/>
            </w:pPr>
            <w:r>
              <w:rPr>
                <w:sz w:val="22"/>
              </w:rPr>
              <w:t xml:space="preserve">Build</w:t>
            </w:r>
          </w:p>
        </w:tc>
        <w:tc>
          <w:tcPr/>
          <w:p>
            <w:pPr>
              <w:pStyle w:val="Compact"/>
              <w:jc w:val="left"/>
            </w:pPr>
            <w:r>
              <w:rPr>
                <w:sz w:val="22"/>
              </w:rPr>
              <w:t xml:space="preserve">Unfreeze</w:t>
            </w:r>
          </w:p>
        </w:tc>
        <w:tc>
          <w:tcPr/>
          <w:p>
            <w:pPr>
              <w:pStyle w:val="Compact"/>
              <w:jc w:val="left"/>
            </w:pPr>
            <w:r>
              <w:rPr>
                <w:sz w:val="22"/>
              </w:rPr>
              <w:t xml:space="preserve">Desire</w:t>
            </w:r>
          </w:p>
        </w:tc>
        <w:tc>
          <w:tcPr/>
          <w:p>
            <w:pPr>
              <w:pStyle w:val="Compact"/>
              <w:jc w:val="left"/>
            </w:pPr>
            <w:r>
              <w:rPr>
                <w:sz w:val="22"/>
              </w:rPr>
              <w:t xml:space="preserve">Ending → Neutral Zone</w:t>
            </w:r>
          </w:p>
        </w:tc>
        <w:tc>
          <w:tcPr/>
          <w:p>
            <w:pPr>
              <w:pStyle w:val="Compact"/>
              <w:jc w:val="left"/>
            </w:pPr>
            <w:r>
              <w:rPr>
                <w:sz w:val="22"/>
              </w:rPr>
              <w:t xml:space="preserve">Denial → Resistance/Anger</w:t>
            </w:r>
          </w:p>
        </w:tc>
        <w:tc>
          <w:tcPr/>
          <w:p>
            <w:pPr>
              <w:pStyle w:val="Compact"/>
              <w:jc w:val="left"/>
            </w:pPr>
            <w:r>
              <w:rPr>
                <w:sz w:val="22"/>
              </w:rPr>
              <w:t xml:space="preserve">—</w:t>
            </w:r>
          </w:p>
        </w:tc>
      </w:tr>
      <w:tr>
        <w:trPr>
          <w:cantSplit/>
        </w:trPr>
        <w:tc>
          <w:tcPr/>
          <w:p>
            <w:pPr>
              <w:pStyle w:val="Compact"/>
              <w:jc w:val="left"/>
            </w:pPr>
            <w:r>
              <w:rPr>
                <w:sz w:val="22"/>
              </w:rPr>
              <w:t xml:space="preserve">Week 20</w:t>
            </w:r>
          </w:p>
        </w:tc>
        <w:tc>
          <w:tcPr/>
          <w:p>
            <w:pPr>
              <w:pStyle w:val="Compact"/>
              <w:jc w:val="left"/>
            </w:pPr>
            <w:r>
              <w:rPr>
                <w:sz w:val="22"/>
              </w:rPr>
              <w:t xml:space="preserve">Build</w:t>
            </w:r>
          </w:p>
        </w:tc>
        <w:tc>
          <w:tcPr/>
          <w:p>
            <w:pPr>
              <w:pStyle w:val="Compact"/>
              <w:jc w:val="left"/>
            </w:pPr>
            <w:r>
              <w:rPr>
                <w:sz w:val="22"/>
              </w:rPr>
              <w:t xml:space="preserve">Unfreeze</w:t>
            </w:r>
          </w:p>
        </w:tc>
        <w:tc>
          <w:tcPr/>
          <w:p>
            <w:pPr>
              <w:pStyle w:val="Compact"/>
              <w:jc w:val="left"/>
            </w:pPr>
            <w:r>
              <w:rPr>
                <w:sz w:val="22"/>
              </w:rPr>
              <w:t xml:space="preserve">Desire</w:t>
            </w:r>
          </w:p>
        </w:tc>
        <w:tc>
          <w:tcPr/>
          <w:p>
            <w:pPr>
              <w:pStyle w:val="Compact"/>
              <w:jc w:val="left"/>
            </w:pPr>
            <w:r>
              <w:rPr>
                <w:sz w:val="22"/>
              </w:rPr>
              <w:t xml:space="preserve">Ending → Neutral Zone</w:t>
            </w:r>
          </w:p>
        </w:tc>
        <w:tc>
          <w:tcPr/>
          <w:p>
            <w:pPr>
              <w:pStyle w:val="Compact"/>
              <w:jc w:val="left"/>
            </w:pPr>
            <w:r>
              <w:rPr>
                <w:sz w:val="22"/>
              </w:rPr>
              <w:t xml:space="preserve">Denial → Resistance/Anger</w:t>
            </w:r>
          </w:p>
        </w:tc>
        <w:tc>
          <w:tcPr/>
          <w:p>
            <w:pPr>
              <w:pStyle w:val="Compact"/>
              <w:jc w:val="left"/>
            </w:pPr>
            <w:r>
              <w:rPr>
                <w:sz w:val="22"/>
              </w:rPr>
              <w:t xml:space="preserve">E1 (Desire Stall at Settat)</w:t>
            </w:r>
          </w:p>
        </w:tc>
      </w:tr>
      <w:tr>
        <w:trPr>
          <w:cantSplit/>
        </w:trPr>
        <w:tc>
          <w:tcPr/>
          <w:p>
            <w:pPr>
              <w:pStyle w:val="Compact"/>
              <w:jc w:val="left"/>
            </w:pPr>
            <w:r>
              <w:rPr>
                <w:sz w:val="22"/>
              </w:rPr>
              <w:t xml:space="preserve">Week 21</w:t>
            </w:r>
          </w:p>
        </w:tc>
        <w:tc>
          <w:tcPr/>
          <w:p>
            <w:pPr>
              <w:pStyle w:val="Compact"/>
              <w:jc w:val="left"/>
            </w:pPr>
            <w:r>
              <w:rPr>
                <w:sz w:val="22"/>
              </w:rPr>
              <w:t xml:space="preserve">Build</w:t>
            </w:r>
          </w:p>
        </w:tc>
        <w:tc>
          <w:tcPr/>
          <w:p>
            <w:pPr>
              <w:pStyle w:val="Compact"/>
              <w:jc w:val="left"/>
            </w:pPr>
            <w:r>
              <w:rPr>
                <w:sz w:val="22"/>
              </w:rPr>
              <w:t xml:space="preserve">Unfreeze</w:t>
            </w:r>
          </w:p>
        </w:tc>
        <w:tc>
          <w:tcPr/>
          <w:p>
            <w:pPr>
              <w:pStyle w:val="Compact"/>
              <w:jc w:val="left"/>
            </w:pPr>
            <w:r>
              <w:rPr>
                <w:sz w:val="22"/>
              </w:rPr>
              <w:t xml:space="preserve">Desire</w:t>
            </w:r>
          </w:p>
        </w:tc>
        <w:tc>
          <w:tcPr/>
          <w:p>
            <w:pPr>
              <w:pStyle w:val="Compact"/>
              <w:jc w:val="left"/>
            </w:pPr>
            <w:r>
              <w:rPr>
                <w:sz w:val="22"/>
              </w:rPr>
              <w:t xml:space="preserve">Ending → Neutral Zone</w:t>
            </w:r>
          </w:p>
        </w:tc>
        <w:tc>
          <w:tcPr/>
          <w:p>
            <w:pPr>
              <w:pStyle w:val="Compact"/>
              <w:jc w:val="left"/>
            </w:pPr>
            <w:r>
              <w:rPr>
                <w:sz w:val="22"/>
              </w:rPr>
              <w:t xml:space="preserve">Resistance/Anger</w:t>
            </w:r>
          </w:p>
        </w:tc>
        <w:tc>
          <w:tcPr/>
          <w:p>
            <w:pPr>
              <w:pStyle w:val="Compact"/>
              <w:jc w:val="left"/>
            </w:pPr>
            <w:r>
              <w:rPr>
                <w:sz w:val="22"/>
              </w:rPr>
              <w:t xml:space="preserve">E1 (Desire Stall at Settat)</w:t>
            </w:r>
          </w:p>
        </w:tc>
      </w:tr>
      <w:tr>
        <w:trPr>
          <w:cantSplit/>
        </w:trPr>
        <w:tc>
          <w:tcPr/>
          <w:p>
            <w:pPr>
              <w:pStyle w:val="Compact"/>
              <w:jc w:val="left"/>
            </w:pPr>
            <w:r>
              <w:rPr>
                <w:sz w:val="22"/>
              </w:rPr>
              <w:t xml:space="preserve">Week 22</w:t>
            </w:r>
          </w:p>
        </w:tc>
        <w:tc>
          <w:tcPr/>
          <w:p>
            <w:pPr>
              <w:pStyle w:val="Compact"/>
              <w:jc w:val="left"/>
            </w:pPr>
            <w:r>
              <w:rPr>
                <w:sz w:val="22"/>
              </w:rPr>
              <w:t xml:space="preserve">Build</w:t>
            </w:r>
          </w:p>
        </w:tc>
        <w:tc>
          <w:tcPr/>
          <w:p>
            <w:pPr>
              <w:pStyle w:val="Compact"/>
              <w:jc w:val="left"/>
            </w:pPr>
            <w:r>
              <w:rPr>
                <w:sz w:val="22"/>
              </w:rPr>
              <w:t xml:space="preserve">Unfreeze</w:t>
            </w:r>
          </w:p>
        </w:tc>
        <w:tc>
          <w:tcPr/>
          <w:p>
            <w:pPr>
              <w:pStyle w:val="Compact"/>
              <w:jc w:val="left"/>
            </w:pPr>
            <w:r>
              <w:rPr>
                <w:sz w:val="22"/>
              </w:rPr>
              <w:t xml:space="preserve">Desire</w:t>
            </w:r>
          </w:p>
        </w:tc>
        <w:tc>
          <w:tcPr/>
          <w:p>
            <w:pPr>
              <w:pStyle w:val="Compact"/>
              <w:jc w:val="left"/>
            </w:pPr>
            <w:r>
              <w:rPr>
                <w:sz w:val="22"/>
              </w:rPr>
              <w:t xml:space="preserve">Ending → Neutral Zone</w:t>
            </w:r>
          </w:p>
        </w:tc>
        <w:tc>
          <w:tcPr/>
          <w:p>
            <w:pPr>
              <w:pStyle w:val="Compact"/>
              <w:jc w:val="left"/>
            </w:pPr>
            <w:r>
              <w:rPr>
                <w:sz w:val="22"/>
              </w:rPr>
              <w:t xml:space="preserve">Resistance/Anger</w:t>
            </w:r>
          </w:p>
        </w:tc>
        <w:tc>
          <w:tcPr/>
          <w:p>
            <w:pPr>
              <w:pStyle w:val="Compact"/>
              <w:jc w:val="left"/>
            </w:pPr>
            <w:r>
              <w:rPr>
                <w:sz w:val="22"/>
              </w:rPr>
              <w:t xml:space="preserve">E1 (Desire Stall at Settat)</w:t>
            </w:r>
          </w:p>
        </w:tc>
      </w:tr>
      <w:tr>
        <w:trPr>
          <w:cantSplit/>
        </w:trPr>
        <w:tc>
          <w:tcPr/>
          <w:p>
            <w:pPr>
              <w:pStyle w:val="Compact"/>
              <w:jc w:val="left"/>
            </w:pPr>
            <w:r>
              <w:rPr>
                <w:sz w:val="22"/>
              </w:rPr>
              <w:t xml:space="preserve">Week 23</w:t>
            </w:r>
          </w:p>
        </w:tc>
        <w:tc>
          <w:tcPr/>
          <w:p>
            <w:pPr>
              <w:pStyle w:val="Compact"/>
              <w:jc w:val="left"/>
            </w:pPr>
            <w:r>
              <w:rPr>
                <w:sz w:val="22"/>
              </w:rPr>
              <w:t xml:space="preserve">Build</w:t>
            </w:r>
          </w:p>
        </w:tc>
        <w:tc>
          <w:tcPr/>
          <w:p>
            <w:pPr>
              <w:pStyle w:val="Compact"/>
              <w:jc w:val="left"/>
            </w:pPr>
            <w:r>
              <w:rPr>
                <w:sz w:val="22"/>
              </w:rPr>
              <w:t xml:space="preserve">Unfreeze</w:t>
            </w:r>
          </w:p>
        </w:tc>
        <w:tc>
          <w:tcPr/>
          <w:p>
            <w:pPr>
              <w:pStyle w:val="Compact"/>
              <w:jc w:val="left"/>
            </w:pPr>
            <w:r>
              <w:rPr>
                <w:sz w:val="22"/>
              </w:rPr>
              <w:t xml:space="preserve">Desire</w:t>
            </w:r>
          </w:p>
        </w:tc>
        <w:tc>
          <w:tcPr/>
          <w:p>
            <w:pPr>
              <w:pStyle w:val="Compact"/>
              <w:jc w:val="left"/>
            </w:pPr>
            <w:r>
              <w:rPr>
                <w:sz w:val="22"/>
              </w:rPr>
              <w:t xml:space="preserve">Ending → Neutral Zone</w:t>
            </w:r>
          </w:p>
        </w:tc>
        <w:tc>
          <w:tcPr/>
          <w:p>
            <w:pPr>
              <w:pStyle w:val="Compact"/>
              <w:jc w:val="left"/>
            </w:pPr>
            <w:r>
              <w:rPr>
                <w:sz w:val="22"/>
              </w:rPr>
              <w:t xml:space="preserve">Resistance/Anger</w:t>
            </w:r>
          </w:p>
        </w:tc>
        <w:tc>
          <w:tcPr/>
          <w:p>
            <w:pPr>
              <w:pStyle w:val="Compact"/>
              <w:jc w:val="left"/>
            </w:pPr>
            <w:r>
              <w:rPr>
                <w:sz w:val="22"/>
              </w:rPr>
              <w:t xml:space="preserve">E1 (Desire Stall at Settat)</w:t>
            </w:r>
          </w:p>
        </w:tc>
      </w:tr>
      <w:tr>
        <w:trPr>
          <w:cantSplit/>
        </w:trPr>
        <w:tc>
          <w:tcPr/>
          <w:p>
            <w:pPr>
              <w:pStyle w:val="Compact"/>
              <w:jc w:val="left"/>
            </w:pPr>
            <w:r>
              <w:rPr>
                <w:sz w:val="22"/>
              </w:rPr>
              <w:t xml:space="preserve">Week 24</w:t>
            </w:r>
          </w:p>
        </w:tc>
        <w:tc>
          <w:tcPr/>
          <w:p>
            <w:pPr>
              <w:pStyle w:val="Compact"/>
              <w:jc w:val="left"/>
            </w:pPr>
            <w:r>
              <w:rPr>
                <w:sz w:val="22"/>
              </w:rPr>
              <w:t xml:space="preserve">Build</w:t>
            </w:r>
          </w:p>
        </w:tc>
        <w:tc>
          <w:tcPr/>
          <w:p>
            <w:pPr>
              <w:pStyle w:val="Compact"/>
              <w:jc w:val="left"/>
            </w:pPr>
            <w:r>
              <w:rPr>
                <w:sz w:val="22"/>
              </w:rPr>
              <w:t xml:space="preserve">Unfreeze</w:t>
            </w:r>
          </w:p>
        </w:tc>
        <w:tc>
          <w:tcPr/>
          <w:p>
            <w:pPr>
              <w:pStyle w:val="Compact"/>
              <w:jc w:val="left"/>
            </w:pPr>
            <w:r>
              <w:rPr>
                <w:sz w:val="22"/>
              </w:rPr>
              <w:t xml:space="preserve">Desire</w:t>
            </w:r>
          </w:p>
        </w:tc>
        <w:tc>
          <w:tcPr/>
          <w:p>
            <w:pPr>
              <w:pStyle w:val="Compact"/>
              <w:jc w:val="left"/>
            </w:pPr>
            <w:r>
              <w:rPr>
                <w:sz w:val="22"/>
              </w:rPr>
              <w:t xml:space="preserve">Ending → Neutral Zone</w:t>
            </w:r>
          </w:p>
        </w:tc>
        <w:tc>
          <w:tcPr/>
          <w:p>
            <w:pPr>
              <w:pStyle w:val="Compact"/>
              <w:jc w:val="left"/>
            </w:pPr>
            <w:r>
              <w:rPr>
                <w:sz w:val="22"/>
              </w:rPr>
              <w:t xml:space="preserve">Resistance/Anger</w:t>
            </w:r>
          </w:p>
        </w:tc>
        <w:tc>
          <w:tcPr/>
          <w:p>
            <w:pPr>
              <w:pStyle w:val="Compact"/>
              <w:jc w:val="left"/>
            </w:pPr>
            <w:r>
              <w:rPr>
                <w:sz w:val="22"/>
              </w:rPr>
              <w:t xml:space="preserve">E1 (Desire Stall at Settat)</w:t>
            </w:r>
          </w:p>
        </w:tc>
      </w:tr>
      <w:tr>
        <w:trPr>
          <w:cantSplit/>
        </w:trPr>
        <w:tc>
          <w:tcPr/>
          <w:p>
            <w:pPr>
              <w:pStyle w:val="Compact"/>
              <w:jc w:val="left"/>
            </w:pPr>
            <w:r>
              <w:rPr>
                <w:sz w:val="22"/>
              </w:rPr>
              <w:t xml:space="preserve">Week 25</w:t>
            </w:r>
          </w:p>
        </w:tc>
        <w:tc>
          <w:tcPr/>
          <w:p>
            <w:pPr>
              <w:pStyle w:val="Compact"/>
              <w:jc w:val="left"/>
            </w:pPr>
            <w:r>
              <w:rPr>
                <w:sz w:val="22"/>
              </w:rPr>
              <w:t xml:space="preserve">Build</w:t>
            </w:r>
          </w:p>
        </w:tc>
        <w:tc>
          <w:tcPr/>
          <w:p>
            <w:pPr>
              <w:pStyle w:val="Compact"/>
              <w:jc w:val="left"/>
            </w:pPr>
            <w:r>
              <w:rPr>
                <w:sz w:val="22"/>
              </w:rPr>
              <w:t xml:space="preserve">Unfreeze</w:t>
            </w:r>
          </w:p>
        </w:tc>
        <w:tc>
          <w:tcPr/>
          <w:p>
            <w:pPr>
              <w:pStyle w:val="Compact"/>
              <w:jc w:val="left"/>
            </w:pPr>
            <w:r>
              <w:rPr>
                <w:sz w:val="22"/>
              </w:rPr>
              <w:t xml:space="preserve">Desire</w:t>
            </w:r>
          </w:p>
        </w:tc>
        <w:tc>
          <w:tcPr/>
          <w:p>
            <w:pPr>
              <w:pStyle w:val="Compact"/>
              <w:jc w:val="left"/>
            </w:pPr>
            <w:r>
              <w:rPr>
                <w:sz w:val="22"/>
              </w:rPr>
              <w:t xml:space="preserve">Ending → Neutral Zone</w:t>
            </w:r>
          </w:p>
        </w:tc>
        <w:tc>
          <w:tcPr/>
          <w:p>
            <w:pPr>
              <w:pStyle w:val="Compact"/>
              <w:jc w:val="left"/>
            </w:pPr>
            <w:r>
              <w:rPr>
                <w:sz w:val="22"/>
              </w:rPr>
              <w:t xml:space="preserve">Resistance/Anger</w:t>
            </w:r>
          </w:p>
        </w:tc>
        <w:tc>
          <w:tcPr/>
          <w:p>
            <w:pPr>
              <w:pStyle w:val="Compact"/>
              <w:jc w:val="left"/>
            </w:pPr>
            <w:r>
              <w:rPr>
                <w:sz w:val="22"/>
              </w:rPr>
              <w:t xml:space="preserve">—</w:t>
            </w:r>
          </w:p>
        </w:tc>
      </w:tr>
      <w:tr>
        <w:trPr>
          <w:cantSplit/>
        </w:trPr>
        <w:tc>
          <w:tcPr/>
          <w:p>
            <w:pPr>
              <w:pStyle w:val="Compact"/>
              <w:jc w:val="left"/>
            </w:pPr>
            <w:r>
              <w:rPr>
                <w:sz w:val="22"/>
              </w:rPr>
              <w:t xml:space="preserve">Week 26</w:t>
            </w:r>
          </w:p>
        </w:tc>
        <w:tc>
          <w:tcPr/>
          <w:p>
            <w:pPr>
              <w:pStyle w:val="Compact"/>
              <w:jc w:val="left"/>
            </w:pPr>
            <w:r>
              <w:rPr>
                <w:sz w:val="22"/>
              </w:rPr>
              <w:t xml:space="preserve">Build</w:t>
            </w:r>
          </w:p>
        </w:tc>
        <w:tc>
          <w:tcPr/>
          <w:p>
            <w:pPr>
              <w:pStyle w:val="Compact"/>
              <w:jc w:val="left"/>
            </w:pPr>
            <w:r>
              <w:rPr>
                <w:sz w:val="22"/>
              </w:rPr>
              <w:t xml:space="preserve">Change</w:t>
            </w:r>
          </w:p>
        </w:tc>
        <w:tc>
          <w:tcPr/>
          <w:p>
            <w:pPr>
              <w:pStyle w:val="Compact"/>
              <w:jc w:val="left"/>
            </w:pPr>
            <w:r>
              <w:rPr>
                <w:sz w:val="22"/>
              </w:rPr>
              <w:t xml:space="preserve">Desire</w:t>
            </w:r>
          </w:p>
        </w:tc>
        <w:tc>
          <w:tcPr/>
          <w:p>
            <w:pPr>
              <w:pStyle w:val="Compact"/>
              <w:jc w:val="left"/>
            </w:pPr>
            <w:r>
              <w:rPr>
                <w:sz w:val="22"/>
              </w:rPr>
              <w:t xml:space="preserve">Ending → Neutral Zone</w:t>
            </w:r>
          </w:p>
        </w:tc>
        <w:tc>
          <w:tcPr/>
          <w:p>
            <w:pPr>
              <w:pStyle w:val="Compact"/>
              <w:jc w:val="left"/>
            </w:pPr>
            <w:r>
              <w:rPr>
                <w:sz w:val="22"/>
              </w:rPr>
              <w:t xml:space="preserve">Resistance/Anger</w:t>
            </w:r>
          </w:p>
        </w:tc>
        <w:tc>
          <w:tcPr/>
          <w:p>
            <w:pPr>
              <w:pStyle w:val="Compact"/>
              <w:jc w:val="left"/>
            </w:pPr>
            <w:r>
              <w:rPr>
                <w:sz w:val="22"/>
              </w:rPr>
              <w:t xml:space="preserve">—</w:t>
            </w:r>
          </w:p>
        </w:tc>
      </w:tr>
      <w:tr>
        <w:trPr>
          <w:cantSplit/>
        </w:trPr>
        <w:tc>
          <w:tcPr/>
          <w:p>
            <w:pPr>
              <w:pStyle w:val="Compact"/>
              <w:jc w:val="left"/>
            </w:pPr>
            <w:r>
              <w:rPr>
                <w:sz w:val="22"/>
              </w:rPr>
              <w:t xml:space="preserve">Week 27</w:t>
            </w:r>
          </w:p>
        </w:tc>
        <w:tc>
          <w:tcPr/>
          <w:p>
            <w:pPr>
              <w:pStyle w:val="Compact"/>
              <w:jc w:val="left"/>
            </w:pPr>
            <w:r>
              <w:rPr>
                <w:sz w:val="22"/>
              </w:rPr>
              <w:t xml:space="preserve">Build</w:t>
            </w:r>
          </w:p>
        </w:tc>
        <w:tc>
          <w:tcPr/>
          <w:p>
            <w:pPr>
              <w:pStyle w:val="Compact"/>
              <w:jc w:val="left"/>
            </w:pPr>
            <w:r>
              <w:rPr>
                <w:sz w:val="22"/>
              </w:rPr>
              <w:t xml:space="preserve">Change</w:t>
            </w:r>
          </w:p>
        </w:tc>
        <w:tc>
          <w:tcPr/>
          <w:p>
            <w:pPr>
              <w:pStyle w:val="Compact"/>
              <w:jc w:val="left"/>
            </w:pPr>
            <w:r>
              <w:rPr>
                <w:sz w:val="22"/>
              </w:rPr>
              <w:t xml:space="preserve">Desire</w:t>
            </w:r>
          </w:p>
        </w:tc>
        <w:tc>
          <w:tcPr/>
          <w:p>
            <w:pPr>
              <w:pStyle w:val="Compact"/>
              <w:jc w:val="left"/>
            </w:pPr>
            <w:r>
              <w:rPr>
                <w:sz w:val="22"/>
              </w:rPr>
              <w:t xml:space="preserve">Ending → Neutral Zone</w:t>
            </w:r>
          </w:p>
        </w:tc>
        <w:tc>
          <w:tcPr/>
          <w:p>
            <w:pPr>
              <w:pStyle w:val="Compact"/>
              <w:jc w:val="left"/>
            </w:pPr>
            <w:r>
              <w:rPr>
                <w:sz w:val="22"/>
              </w:rPr>
              <w:t xml:space="preserve">Resistance/Anger</w:t>
            </w:r>
          </w:p>
        </w:tc>
        <w:tc>
          <w:tcPr/>
          <w:p>
            <w:pPr>
              <w:pStyle w:val="Compact"/>
              <w:jc w:val="left"/>
            </w:pPr>
            <w:r>
              <w:rPr>
                <w:sz w:val="22"/>
              </w:rPr>
              <w:t xml:space="preserve">—</w:t>
            </w:r>
          </w:p>
        </w:tc>
      </w:tr>
      <w:tr>
        <w:trPr>
          <w:cantSplit/>
        </w:trPr>
        <w:tc>
          <w:tcPr/>
          <w:p>
            <w:pPr>
              <w:pStyle w:val="Compact"/>
              <w:jc w:val="left"/>
            </w:pPr>
            <w:r>
              <w:rPr>
                <w:sz w:val="22"/>
              </w:rPr>
              <w:t xml:space="preserve">Week 28</w:t>
            </w:r>
          </w:p>
        </w:tc>
        <w:tc>
          <w:tcPr/>
          <w:p>
            <w:pPr>
              <w:pStyle w:val="Compact"/>
              <w:jc w:val="left"/>
            </w:pPr>
            <w:r>
              <w:rPr>
                <w:sz w:val="22"/>
              </w:rPr>
              <w:t xml:space="preserve">Build + Test</w:t>
            </w:r>
          </w:p>
        </w:tc>
        <w:tc>
          <w:tcPr/>
          <w:p>
            <w:pPr>
              <w:pStyle w:val="Compact"/>
              <w:jc w:val="left"/>
            </w:pPr>
            <w:r>
              <w:rPr>
                <w:sz w:val="22"/>
              </w:rPr>
              <w:t xml:space="preserve">Change</w:t>
            </w:r>
          </w:p>
        </w:tc>
        <w:tc>
          <w:tcPr/>
          <w:p>
            <w:pPr>
              <w:pStyle w:val="Compact"/>
              <w:jc w:val="left"/>
            </w:pPr>
            <w:r>
              <w:rPr>
                <w:sz w:val="22"/>
              </w:rPr>
              <w:t xml:space="preserve">Desire → Knowledge</w:t>
            </w:r>
          </w:p>
        </w:tc>
        <w:tc>
          <w:tcPr/>
          <w:p>
            <w:pPr>
              <w:pStyle w:val="Compact"/>
              <w:jc w:val="left"/>
            </w:pPr>
            <w:r>
              <w:rPr>
                <w:sz w:val="22"/>
              </w:rPr>
              <w:t xml:space="preserve">Ending → Neutral Zone</w:t>
            </w:r>
          </w:p>
        </w:tc>
        <w:tc>
          <w:tcPr/>
          <w:p>
            <w:pPr>
              <w:pStyle w:val="Compact"/>
              <w:jc w:val="left"/>
            </w:pPr>
            <w:r>
              <w:rPr>
                <w:sz w:val="22"/>
              </w:rPr>
              <w:t xml:space="preserve">Resistance/Anger</w:t>
            </w:r>
          </w:p>
        </w:tc>
        <w:tc>
          <w:tcPr/>
          <w:p>
            <w:pPr>
              <w:pStyle w:val="Compact"/>
              <w:jc w:val="left"/>
            </w:pPr>
            <w:r>
              <w:rPr>
                <w:sz w:val="22"/>
              </w:rPr>
              <w:t xml:space="preserve">—</w:t>
            </w:r>
          </w:p>
        </w:tc>
      </w:tr>
      <w:tr>
        <w:trPr>
          <w:cantSplit/>
        </w:trPr>
        <w:tc>
          <w:tcPr/>
          <w:p>
            <w:pPr>
              <w:pStyle w:val="Compact"/>
              <w:jc w:val="left"/>
            </w:pPr>
            <w:r>
              <w:rPr>
                <w:sz w:val="22"/>
              </w:rPr>
              <w:t xml:space="preserve">Week 29</w:t>
            </w:r>
          </w:p>
        </w:tc>
        <w:tc>
          <w:tcPr/>
          <w:p>
            <w:pPr>
              <w:pStyle w:val="Compact"/>
              <w:jc w:val="left"/>
            </w:pPr>
            <w:r>
              <w:rPr>
                <w:sz w:val="22"/>
              </w:rPr>
              <w:t xml:space="preserve">Build + Test</w:t>
            </w:r>
          </w:p>
        </w:tc>
        <w:tc>
          <w:tcPr/>
          <w:p>
            <w:pPr>
              <w:pStyle w:val="Compact"/>
              <w:jc w:val="left"/>
            </w:pPr>
            <w:r>
              <w:rPr>
                <w:sz w:val="22"/>
              </w:rPr>
              <w:t xml:space="preserve">Change</w:t>
            </w:r>
          </w:p>
        </w:tc>
        <w:tc>
          <w:tcPr/>
          <w:p>
            <w:pPr>
              <w:pStyle w:val="Compact"/>
              <w:jc w:val="left"/>
            </w:pPr>
            <w:r>
              <w:rPr>
                <w:sz w:val="22"/>
              </w:rPr>
              <w:t xml:space="preserve">Desire → Knowledge</w:t>
            </w:r>
          </w:p>
        </w:tc>
        <w:tc>
          <w:tcPr/>
          <w:p>
            <w:pPr>
              <w:pStyle w:val="Compact"/>
              <w:jc w:val="left"/>
            </w:pPr>
            <w:r>
              <w:rPr>
                <w:sz w:val="22"/>
              </w:rPr>
              <w:t xml:space="preserve">Ending → Neutral Zone</w:t>
            </w:r>
          </w:p>
        </w:tc>
        <w:tc>
          <w:tcPr/>
          <w:p>
            <w:pPr>
              <w:pStyle w:val="Compact"/>
              <w:jc w:val="left"/>
            </w:pPr>
            <w:r>
              <w:rPr>
                <w:sz w:val="22"/>
              </w:rPr>
              <w:t xml:space="preserve">Resistance/Anger</w:t>
            </w:r>
          </w:p>
        </w:tc>
        <w:tc>
          <w:tcPr/>
          <w:p>
            <w:pPr>
              <w:pStyle w:val="Compact"/>
              <w:jc w:val="left"/>
            </w:pPr>
            <w:r>
              <w:rPr>
                <w:sz w:val="22"/>
              </w:rPr>
              <w:t xml:space="preserve">—</w:t>
            </w:r>
          </w:p>
        </w:tc>
      </w:tr>
      <w:tr>
        <w:trPr>
          <w:cantSplit/>
        </w:trPr>
        <w:tc>
          <w:tcPr/>
          <w:p>
            <w:pPr>
              <w:pStyle w:val="Compact"/>
              <w:jc w:val="left"/>
            </w:pPr>
            <w:r>
              <w:rPr>
                <w:sz w:val="22"/>
              </w:rPr>
              <w:t xml:space="preserve">Week 30</w:t>
            </w:r>
          </w:p>
        </w:tc>
        <w:tc>
          <w:tcPr/>
          <w:p>
            <w:pPr>
              <w:pStyle w:val="Compact"/>
              <w:jc w:val="left"/>
            </w:pPr>
            <w:r>
              <w:rPr>
                <w:sz w:val="22"/>
              </w:rPr>
              <w:t xml:space="preserve">Build + Test + Train</w:t>
            </w:r>
          </w:p>
        </w:tc>
        <w:tc>
          <w:tcPr/>
          <w:p>
            <w:pPr>
              <w:pStyle w:val="Compact"/>
              <w:jc w:val="left"/>
            </w:pPr>
            <w:r>
              <w:rPr>
                <w:sz w:val="22"/>
              </w:rPr>
              <w:t xml:space="preserve">Change</w:t>
            </w:r>
          </w:p>
        </w:tc>
        <w:tc>
          <w:tcPr/>
          <w:p>
            <w:pPr>
              <w:pStyle w:val="Compact"/>
              <w:jc w:val="left"/>
            </w:pPr>
            <w:r>
              <w:rPr>
                <w:sz w:val="22"/>
              </w:rPr>
              <w:t xml:space="preserve">Desire → Knowledge</w:t>
            </w:r>
          </w:p>
        </w:tc>
        <w:tc>
          <w:tcPr/>
          <w:p>
            <w:pPr>
              <w:pStyle w:val="Compact"/>
              <w:jc w:val="left"/>
            </w:pPr>
            <w:r>
              <w:rPr>
                <w:sz w:val="22"/>
              </w:rPr>
              <w:t xml:space="preserve">Neutral Zone</w:t>
            </w:r>
          </w:p>
        </w:tc>
        <w:tc>
          <w:tcPr/>
          <w:p>
            <w:pPr>
              <w:pStyle w:val="Compact"/>
              <w:jc w:val="left"/>
            </w:pPr>
            <w:r>
              <w:rPr>
                <w:sz w:val="22"/>
              </w:rPr>
              <w:t xml:space="preserve">Resistance/Anger</w:t>
            </w:r>
          </w:p>
        </w:tc>
        <w:tc>
          <w:tcPr/>
          <w:p>
            <w:pPr>
              <w:pStyle w:val="Compact"/>
              <w:jc w:val="left"/>
            </w:pPr>
            <w:r>
              <w:rPr>
                <w:sz w:val="22"/>
              </w:rPr>
              <w:t xml:space="preserve">—</w:t>
            </w:r>
          </w:p>
        </w:tc>
      </w:tr>
      <w:tr>
        <w:trPr>
          <w:cantSplit/>
        </w:trPr>
        <w:tc>
          <w:tcPr/>
          <w:p>
            <w:pPr>
              <w:pStyle w:val="Compact"/>
              <w:jc w:val="left"/>
            </w:pPr>
            <w:r>
              <w:rPr>
                <w:sz w:val="22"/>
              </w:rPr>
              <w:t xml:space="preserve">Week 31</w:t>
            </w:r>
          </w:p>
        </w:tc>
        <w:tc>
          <w:tcPr/>
          <w:p>
            <w:pPr>
              <w:pStyle w:val="Compact"/>
              <w:jc w:val="left"/>
            </w:pPr>
            <w:r>
              <w:rPr>
                <w:sz w:val="22"/>
              </w:rPr>
              <w:t xml:space="preserve">Test + Train</w:t>
            </w:r>
          </w:p>
        </w:tc>
        <w:tc>
          <w:tcPr/>
          <w:p>
            <w:pPr>
              <w:pStyle w:val="Compact"/>
              <w:jc w:val="left"/>
            </w:pPr>
            <w:r>
              <w:rPr>
                <w:sz w:val="22"/>
              </w:rPr>
              <w:t xml:space="preserve">Change</w:t>
            </w:r>
          </w:p>
        </w:tc>
        <w:tc>
          <w:tcPr/>
          <w:p>
            <w:pPr>
              <w:pStyle w:val="Compact"/>
              <w:jc w:val="left"/>
            </w:pPr>
            <w:r>
              <w:rPr>
                <w:sz w:val="22"/>
              </w:rPr>
              <w:t xml:space="preserve">Desire → Knowledge</w:t>
            </w:r>
          </w:p>
        </w:tc>
        <w:tc>
          <w:tcPr/>
          <w:p>
            <w:pPr>
              <w:pStyle w:val="Compact"/>
              <w:jc w:val="left"/>
            </w:pPr>
            <w:r>
              <w:rPr>
                <w:sz w:val="22"/>
              </w:rPr>
              <w:t xml:space="preserve">Neutral Zone</w:t>
            </w:r>
          </w:p>
        </w:tc>
        <w:tc>
          <w:tcPr/>
          <w:p>
            <w:pPr>
              <w:pStyle w:val="Compact"/>
              <w:jc w:val="left"/>
            </w:pPr>
            <w:r>
              <w:rPr>
                <w:sz w:val="22"/>
              </w:rPr>
              <w:t xml:space="preserve">Resistance/Anger</w:t>
            </w:r>
          </w:p>
        </w:tc>
        <w:tc>
          <w:tcPr/>
          <w:p>
            <w:pPr>
              <w:pStyle w:val="Compact"/>
              <w:jc w:val="left"/>
            </w:pPr>
            <w:r>
              <w:rPr>
                <w:sz w:val="22"/>
              </w:rPr>
              <w:t xml:space="preserve">E2 (Divergence Pattern at UAT)</w:t>
            </w:r>
          </w:p>
        </w:tc>
      </w:tr>
      <w:tr>
        <w:trPr>
          <w:cantSplit/>
        </w:trPr>
        <w:tc>
          <w:tcPr/>
          <w:p>
            <w:pPr>
              <w:pStyle w:val="Compact"/>
              <w:jc w:val="left"/>
            </w:pPr>
            <w:r>
              <w:rPr>
                <w:sz w:val="22"/>
              </w:rPr>
              <w:t xml:space="preserve">Week 32</w:t>
            </w:r>
          </w:p>
        </w:tc>
        <w:tc>
          <w:tcPr/>
          <w:p>
            <w:pPr>
              <w:pStyle w:val="Compact"/>
              <w:jc w:val="left"/>
            </w:pPr>
            <w:r>
              <w:rPr>
                <w:sz w:val="22"/>
              </w:rPr>
              <w:t xml:space="preserve">Test + Train</w:t>
            </w:r>
          </w:p>
        </w:tc>
        <w:tc>
          <w:tcPr/>
          <w:p>
            <w:pPr>
              <w:pStyle w:val="Compact"/>
              <w:jc w:val="left"/>
            </w:pPr>
            <w:r>
              <w:rPr>
                <w:sz w:val="22"/>
              </w:rPr>
              <w:t xml:space="preserve">Change</w:t>
            </w:r>
          </w:p>
        </w:tc>
        <w:tc>
          <w:tcPr/>
          <w:p>
            <w:pPr>
              <w:pStyle w:val="Compact"/>
              <w:jc w:val="left"/>
            </w:pPr>
            <w:r>
              <w:rPr>
                <w:sz w:val="22"/>
              </w:rPr>
              <w:t xml:space="preserve">Desire → Knowledge</w:t>
            </w:r>
          </w:p>
        </w:tc>
        <w:tc>
          <w:tcPr/>
          <w:p>
            <w:pPr>
              <w:pStyle w:val="Compact"/>
              <w:jc w:val="left"/>
            </w:pPr>
            <w:r>
              <w:rPr>
                <w:sz w:val="22"/>
              </w:rPr>
              <w:t xml:space="preserve">Neutral Zone</w:t>
            </w:r>
          </w:p>
        </w:tc>
        <w:tc>
          <w:tcPr/>
          <w:p>
            <w:pPr>
              <w:pStyle w:val="Compact"/>
              <w:jc w:val="left"/>
            </w:pPr>
            <w:r>
              <w:rPr>
                <w:sz w:val="22"/>
              </w:rPr>
              <w:t xml:space="preserve">Resistance/Anger</w:t>
            </w:r>
          </w:p>
        </w:tc>
        <w:tc>
          <w:tcPr/>
          <w:p>
            <w:pPr>
              <w:pStyle w:val="Compact"/>
              <w:jc w:val="left"/>
            </w:pPr>
            <w:r>
              <w:rPr>
                <w:sz w:val="22"/>
              </w:rPr>
              <w:t xml:space="preserve">E2 (Divergence Pattern at UAT)</w:t>
            </w:r>
          </w:p>
        </w:tc>
      </w:tr>
      <w:tr>
        <w:trPr>
          <w:cantSplit/>
        </w:trPr>
        <w:tc>
          <w:tcPr/>
          <w:p>
            <w:pPr>
              <w:pStyle w:val="Compact"/>
              <w:jc w:val="left"/>
            </w:pPr>
            <w:r>
              <w:rPr>
                <w:sz w:val="22"/>
              </w:rPr>
              <w:t xml:space="preserve">Week 33</w:t>
            </w:r>
          </w:p>
        </w:tc>
        <w:tc>
          <w:tcPr/>
          <w:p>
            <w:pPr>
              <w:pStyle w:val="Compact"/>
              <w:jc w:val="left"/>
            </w:pPr>
            <w:r>
              <w:rPr>
                <w:sz w:val="22"/>
              </w:rPr>
              <w:t xml:space="preserve">Test + Train</w:t>
            </w:r>
          </w:p>
        </w:tc>
        <w:tc>
          <w:tcPr/>
          <w:p>
            <w:pPr>
              <w:pStyle w:val="Compact"/>
              <w:jc w:val="left"/>
            </w:pPr>
            <w:r>
              <w:rPr>
                <w:sz w:val="22"/>
              </w:rPr>
              <w:t xml:space="preserve">Change</w:t>
            </w:r>
          </w:p>
        </w:tc>
        <w:tc>
          <w:tcPr/>
          <w:p>
            <w:pPr>
              <w:pStyle w:val="Compact"/>
              <w:jc w:val="left"/>
            </w:pPr>
            <w:r>
              <w:rPr>
                <w:sz w:val="22"/>
              </w:rPr>
              <w:t xml:space="preserve">Desire → Knowledge</w:t>
            </w:r>
          </w:p>
        </w:tc>
        <w:tc>
          <w:tcPr/>
          <w:p>
            <w:pPr>
              <w:pStyle w:val="Compact"/>
              <w:jc w:val="left"/>
            </w:pPr>
            <w:r>
              <w:rPr>
                <w:sz w:val="22"/>
              </w:rPr>
              <w:t xml:space="preserve">Neutral Zone</w:t>
            </w:r>
          </w:p>
        </w:tc>
        <w:tc>
          <w:tcPr/>
          <w:p>
            <w:pPr>
              <w:pStyle w:val="Compact"/>
              <w:jc w:val="left"/>
            </w:pPr>
            <w:r>
              <w:rPr>
                <w:sz w:val="22"/>
              </w:rPr>
              <w:t xml:space="preserve">Resistance/Anger</w:t>
            </w:r>
          </w:p>
        </w:tc>
        <w:tc>
          <w:tcPr/>
          <w:p>
            <w:pPr>
              <w:pStyle w:val="Compact"/>
              <w:jc w:val="left"/>
            </w:pPr>
            <w:r>
              <w:rPr>
                <w:sz w:val="22"/>
              </w:rPr>
              <w:t xml:space="preserve">E2 (Divergence Pattern at UAT)</w:t>
            </w:r>
          </w:p>
        </w:tc>
      </w:tr>
      <w:tr>
        <w:trPr>
          <w:cantSplit/>
        </w:trPr>
        <w:tc>
          <w:tcPr/>
          <w:p>
            <w:pPr>
              <w:pStyle w:val="Compact"/>
              <w:jc w:val="left"/>
            </w:pPr>
            <w:r>
              <w:rPr>
                <w:sz w:val="22"/>
              </w:rPr>
              <w:t xml:space="preserve">Week 34</w:t>
            </w:r>
          </w:p>
        </w:tc>
        <w:tc>
          <w:tcPr/>
          <w:p>
            <w:pPr>
              <w:pStyle w:val="Compact"/>
              <w:jc w:val="left"/>
            </w:pPr>
            <w:r>
              <w:rPr>
                <w:sz w:val="22"/>
              </w:rPr>
              <w:t xml:space="preserve">Test + Train</w:t>
            </w:r>
          </w:p>
        </w:tc>
        <w:tc>
          <w:tcPr/>
          <w:p>
            <w:pPr>
              <w:pStyle w:val="Compact"/>
              <w:jc w:val="left"/>
            </w:pPr>
            <w:r>
              <w:rPr>
                <w:sz w:val="22"/>
              </w:rPr>
              <w:t xml:space="preserve">Change</w:t>
            </w:r>
          </w:p>
        </w:tc>
        <w:tc>
          <w:tcPr/>
          <w:p>
            <w:pPr>
              <w:pStyle w:val="Compact"/>
              <w:jc w:val="left"/>
            </w:pPr>
            <w:r>
              <w:rPr>
                <w:sz w:val="22"/>
              </w:rPr>
              <w:t xml:space="preserve">Desire → Knowledge</w:t>
            </w:r>
          </w:p>
        </w:tc>
        <w:tc>
          <w:tcPr/>
          <w:p>
            <w:pPr>
              <w:pStyle w:val="Compact"/>
              <w:jc w:val="left"/>
            </w:pPr>
            <w:r>
              <w:rPr>
                <w:sz w:val="22"/>
              </w:rPr>
              <w:t xml:space="preserve">Neutral Zone</w:t>
            </w:r>
          </w:p>
        </w:tc>
        <w:tc>
          <w:tcPr/>
          <w:p>
            <w:pPr>
              <w:pStyle w:val="Compact"/>
              <w:jc w:val="left"/>
            </w:pPr>
            <w:r>
              <w:rPr>
                <w:sz w:val="22"/>
              </w:rPr>
              <w:t xml:space="preserve">Resistance/Anger</w:t>
            </w:r>
          </w:p>
        </w:tc>
        <w:tc>
          <w:tcPr/>
          <w:p>
            <w:pPr>
              <w:pStyle w:val="Compact"/>
              <w:jc w:val="left"/>
            </w:pPr>
            <w:r>
              <w:rPr>
                <w:sz w:val="22"/>
              </w:rPr>
              <w:t xml:space="preserve">—</w:t>
            </w:r>
          </w:p>
        </w:tc>
      </w:tr>
      <w:tr>
        <w:trPr>
          <w:cantSplit/>
        </w:trPr>
        <w:tc>
          <w:tcPr/>
          <w:p>
            <w:pPr>
              <w:pStyle w:val="Compact"/>
              <w:jc w:val="left"/>
            </w:pPr>
            <w:r>
              <w:rPr>
                <w:sz w:val="22"/>
              </w:rPr>
              <w:t xml:space="preserve">Week 35</w:t>
            </w:r>
          </w:p>
        </w:tc>
        <w:tc>
          <w:tcPr/>
          <w:p>
            <w:pPr>
              <w:pStyle w:val="Compact"/>
              <w:jc w:val="left"/>
            </w:pPr>
            <w:r>
              <w:rPr>
                <w:sz w:val="22"/>
              </w:rPr>
              <w:t xml:space="preserve">Test + Train</w:t>
            </w:r>
          </w:p>
        </w:tc>
        <w:tc>
          <w:tcPr/>
          <w:p>
            <w:pPr>
              <w:pStyle w:val="Compact"/>
              <w:jc w:val="left"/>
            </w:pPr>
            <w:r>
              <w:rPr>
                <w:sz w:val="22"/>
              </w:rPr>
              <w:t xml:space="preserve">Change</w:t>
            </w:r>
          </w:p>
        </w:tc>
        <w:tc>
          <w:tcPr/>
          <w:p>
            <w:pPr>
              <w:pStyle w:val="Compact"/>
              <w:jc w:val="left"/>
            </w:pPr>
            <w:r>
              <w:rPr>
                <w:sz w:val="22"/>
              </w:rPr>
              <w:t xml:space="preserve">Knowledge → Ability</w:t>
            </w:r>
          </w:p>
        </w:tc>
        <w:tc>
          <w:tcPr/>
          <w:p>
            <w:pPr>
              <w:pStyle w:val="Compact"/>
              <w:jc w:val="left"/>
            </w:pPr>
            <w:r>
              <w:rPr>
                <w:sz w:val="22"/>
              </w:rPr>
              <w:t xml:space="preserve">Neutral Zone</w:t>
            </w:r>
          </w:p>
        </w:tc>
        <w:tc>
          <w:tcPr/>
          <w:p>
            <w:pPr>
              <w:pStyle w:val="Compact"/>
              <w:jc w:val="left"/>
            </w:pPr>
            <w:r>
              <w:rPr>
                <w:sz w:val="22"/>
              </w:rPr>
              <w:t xml:space="preserve">Resistance/Anger → Exploration</w:t>
            </w:r>
          </w:p>
        </w:tc>
        <w:tc>
          <w:tcPr/>
          <w:p>
            <w:pPr>
              <w:pStyle w:val="Compact"/>
              <w:jc w:val="left"/>
            </w:pPr>
            <w:r>
              <w:rPr>
                <w:sz w:val="22"/>
              </w:rPr>
              <w:t xml:space="preserve">—</w:t>
            </w:r>
          </w:p>
        </w:tc>
      </w:tr>
      <w:tr>
        <w:trPr>
          <w:cantSplit/>
        </w:trPr>
        <w:tc>
          <w:tcPr/>
          <w:p>
            <w:pPr>
              <w:pStyle w:val="Compact"/>
              <w:jc w:val="left"/>
            </w:pPr>
            <w:r>
              <w:rPr>
                <w:sz w:val="22"/>
              </w:rPr>
              <w:t xml:space="preserve">Week 36</w:t>
            </w:r>
          </w:p>
        </w:tc>
        <w:tc>
          <w:tcPr/>
          <w:p>
            <w:pPr>
              <w:pStyle w:val="Compact"/>
              <w:jc w:val="left"/>
            </w:pPr>
            <w:r>
              <w:rPr>
                <w:sz w:val="22"/>
              </w:rPr>
              <w:t xml:space="preserve">Test + Train</w:t>
            </w:r>
          </w:p>
        </w:tc>
        <w:tc>
          <w:tcPr/>
          <w:p>
            <w:pPr>
              <w:pStyle w:val="Compact"/>
              <w:jc w:val="left"/>
            </w:pPr>
            <w:r>
              <w:rPr>
                <w:sz w:val="22"/>
              </w:rPr>
              <w:t xml:space="preserve">Change</w:t>
            </w:r>
          </w:p>
        </w:tc>
        <w:tc>
          <w:tcPr/>
          <w:p>
            <w:pPr>
              <w:pStyle w:val="Compact"/>
              <w:jc w:val="left"/>
            </w:pPr>
            <w:r>
              <w:rPr>
                <w:sz w:val="22"/>
              </w:rPr>
              <w:t xml:space="preserve">Knowledge → Ability</w:t>
            </w:r>
          </w:p>
        </w:tc>
        <w:tc>
          <w:tcPr/>
          <w:p>
            <w:pPr>
              <w:pStyle w:val="Compact"/>
              <w:jc w:val="left"/>
            </w:pPr>
            <w:r>
              <w:rPr>
                <w:sz w:val="22"/>
              </w:rPr>
              <w:t xml:space="preserve">Neutral Zone</w:t>
            </w:r>
          </w:p>
        </w:tc>
        <w:tc>
          <w:tcPr/>
          <w:p>
            <w:pPr>
              <w:pStyle w:val="Compact"/>
              <w:jc w:val="left"/>
            </w:pPr>
            <w:r>
              <w:rPr>
                <w:sz w:val="22"/>
              </w:rPr>
              <w:t xml:space="preserve">Resistance/Anger → Exploration</w:t>
            </w:r>
          </w:p>
        </w:tc>
        <w:tc>
          <w:tcPr/>
          <w:p>
            <w:pPr>
              <w:pStyle w:val="Compact"/>
              <w:jc w:val="left"/>
            </w:pPr>
            <w:r>
              <w:rPr>
                <w:sz w:val="22"/>
              </w:rPr>
              <w:t xml:space="preserve">E6 (Cohort Divergence Across Sites)</w:t>
            </w:r>
          </w:p>
        </w:tc>
      </w:tr>
      <w:tr>
        <w:trPr>
          <w:cantSplit/>
        </w:trPr>
        <w:tc>
          <w:tcPr/>
          <w:p>
            <w:pPr>
              <w:pStyle w:val="Compact"/>
              <w:jc w:val="left"/>
            </w:pPr>
            <w:r>
              <w:rPr>
                <w:sz w:val="22"/>
              </w:rPr>
              <w:t xml:space="preserve">Week 37</w:t>
            </w:r>
          </w:p>
        </w:tc>
        <w:tc>
          <w:tcPr/>
          <w:p>
            <w:pPr>
              <w:pStyle w:val="Compact"/>
              <w:jc w:val="left"/>
            </w:pPr>
            <w:r>
              <w:rPr>
                <w:sz w:val="22"/>
              </w:rPr>
              <w:t xml:space="preserve">Test + Train</w:t>
            </w:r>
          </w:p>
        </w:tc>
        <w:tc>
          <w:tcPr/>
          <w:p>
            <w:pPr>
              <w:pStyle w:val="Compact"/>
              <w:jc w:val="left"/>
            </w:pPr>
            <w:r>
              <w:rPr>
                <w:sz w:val="22"/>
              </w:rPr>
              <w:t xml:space="preserve">Change</w:t>
            </w:r>
          </w:p>
        </w:tc>
        <w:tc>
          <w:tcPr/>
          <w:p>
            <w:pPr>
              <w:pStyle w:val="Compact"/>
              <w:jc w:val="left"/>
            </w:pPr>
            <w:r>
              <w:rPr>
                <w:sz w:val="22"/>
              </w:rPr>
              <w:t xml:space="preserve">Knowledge → Ability</w:t>
            </w:r>
          </w:p>
        </w:tc>
        <w:tc>
          <w:tcPr/>
          <w:p>
            <w:pPr>
              <w:pStyle w:val="Compact"/>
              <w:jc w:val="left"/>
            </w:pPr>
            <w:r>
              <w:rPr>
                <w:sz w:val="22"/>
              </w:rPr>
              <w:t xml:space="preserve">Neutral Zone</w:t>
            </w:r>
          </w:p>
        </w:tc>
        <w:tc>
          <w:tcPr/>
          <w:p>
            <w:pPr>
              <w:pStyle w:val="Compact"/>
              <w:jc w:val="left"/>
            </w:pPr>
            <w:r>
              <w:rPr>
                <w:sz w:val="22"/>
              </w:rPr>
              <w:t xml:space="preserve">Resistance/Anger → Exploration</w:t>
            </w:r>
          </w:p>
        </w:tc>
        <w:tc>
          <w:tcPr/>
          <w:p>
            <w:pPr>
              <w:pStyle w:val="Compact"/>
              <w:jc w:val="left"/>
            </w:pPr>
            <w:r>
              <w:rPr>
                <w:sz w:val="22"/>
              </w:rPr>
              <w:t xml:space="preserve">E6 (Cohort Divergence Across Sites)</w:t>
            </w:r>
          </w:p>
        </w:tc>
      </w:tr>
      <w:tr>
        <w:trPr>
          <w:cantSplit/>
        </w:trPr>
        <w:tc>
          <w:tcPr/>
          <w:p>
            <w:pPr>
              <w:pStyle w:val="Compact"/>
              <w:jc w:val="left"/>
            </w:pPr>
            <w:r>
              <w:rPr>
                <w:sz w:val="22"/>
              </w:rPr>
              <w:t xml:space="preserve">Week 38</w:t>
            </w:r>
          </w:p>
        </w:tc>
        <w:tc>
          <w:tcPr/>
          <w:p>
            <w:pPr>
              <w:pStyle w:val="Compact"/>
              <w:jc w:val="left"/>
            </w:pPr>
            <w:r>
              <w:rPr>
                <w:sz w:val="22"/>
              </w:rPr>
              <w:t xml:space="preserve">Test + Train</w:t>
            </w:r>
          </w:p>
        </w:tc>
        <w:tc>
          <w:tcPr/>
          <w:p>
            <w:pPr>
              <w:pStyle w:val="Compact"/>
              <w:jc w:val="left"/>
            </w:pPr>
            <w:r>
              <w:rPr>
                <w:sz w:val="22"/>
              </w:rPr>
              <w:t xml:space="preserve">Change</w:t>
            </w:r>
          </w:p>
        </w:tc>
        <w:tc>
          <w:tcPr/>
          <w:p>
            <w:pPr>
              <w:pStyle w:val="Compact"/>
              <w:jc w:val="left"/>
            </w:pPr>
            <w:r>
              <w:rPr>
                <w:sz w:val="22"/>
              </w:rPr>
              <w:t xml:space="preserve">Knowledge → Ability</w:t>
            </w:r>
          </w:p>
        </w:tc>
        <w:tc>
          <w:tcPr/>
          <w:p>
            <w:pPr>
              <w:pStyle w:val="Compact"/>
              <w:jc w:val="left"/>
            </w:pPr>
            <w:r>
              <w:rPr>
                <w:sz w:val="22"/>
              </w:rPr>
              <w:t xml:space="preserve">Neutral Zone</w:t>
            </w:r>
          </w:p>
        </w:tc>
        <w:tc>
          <w:tcPr/>
          <w:p>
            <w:pPr>
              <w:pStyle w:val="Compact"/>
              <w:jc w:val="left"/>
            </w:pPr>
            <w:r>
              <w:rPr>
                <w:sz w:val="22"/>
              </w:rPr>
              <w:t xml:space="preserve">Resistance/Anger → Exploration</w:t>
            </w:r>
          </w:p>
        </w:tc>
        <w:tc>
          <w:tcPr/>
          <w:p>
            <w:pPr>
              <w:pStyle w:val="Compact"/>
              <w:jc w:val="left"/>
            </w:pPr>
            <w:r>
              <w:rPr>
                <w:sz w:val="22"/>
              </w:rPr>
              <w:t xml:space="preserve">E6 (Cohort Divergence Across Sites)</w:t>
            </w:r>
          </w:p>
        </w:tc>
      </w:tr>
      <w:tr>
        <w:trPr>
          <w:cantSplit/>
        </w:trPr>
        <w:tc>
          <w:tcPr/>
          <w:p>
            <w:pPr>
              <w:pStyle w:val="Compact"/>
              <w:jc w:val="left"/>
            </w:pPr>
            <w:r>
              <w:rPr>
                <w:sz w:val="22"/>
              </w:rPr>
              <w:t xml:space="preserve">Week 39</w:t>
            </w:r>
          </w:p>
        </w:tc>
        <w:tc>
          <w:tcPr/>
          <w:p>
            <w:pPr>
              <w:pStyle w:val="Compact"/>
              <w:jc w:val="left"/>
            </w:pPr>
            <w:r>
              <w:rPr>
                <w:sz w:val="22"/>
              </w:rPr>
              <w:t xml:space="preserve">Train</w:t>
            </w:r>
          </w:p>
        </w:tc>
        <w:tc>
          <w:tcPr/>
          <w:p>
            <w:pPr>
              <w:pStyle w:val="Compact"/>
              <w:jc w:val="left"/>
            </w:pPr>
            <w:r>
              <w:rPr>
                <w:sz w:val="22"/>
              </w:rPr>
              <w:t xml:space="preserve">Change</w:t>
            </w:r>
          </w:p>
        </w:tc>
        <w:tc>
          <w:tcPr/>
          <w:p>
            <w:pPr>
              <w:pStyle w:val="Compact"/>
              <w:jc w:val="left"/>
            </w:pPr>
            <w:r>
              <w:rPr>
                <w:sz w:val="22"/>
              </w:rPr>
              <w:t xml:space="preserve">Knowledge → Ability</w:t>
            </w:r>
          </w:p>
        </w:tc>
        <w:tc>
          <w:tcPr/>
          <w:p>
            <w:pPr>
              <w:pStyle w:val="Compact"/>
              <w:jc w:val="left"/>
            </w:pPr>
            <w:r>
              <w:rPr>
                <w:sz w:val="22"/>
              </w:rPr>
              <w:t xml:space="preserve">Neutral Zone</w:t>
            </w:r>
          </w:p>
        </w:tc>
        <w:tc>
          <w:tcPr/>
          <w:p>
            <w:pPr>
              <w:pStyle w:val="Compact"/>
              <w:jc w:val="left"/>
            </w:pPr>
            <w:r>
              <w:rPr>
                <w:sz w:val="22"/>
              </w:rPr>
              <w:t xml:space="preserve">Resistance/Anger → Exploration</w:t>
            </w:r>
          </w:p>
        </w:tc>
        <w:tc>
          <w:tcPr/>
          <w:p>
            <w:pPr>
              <w:pStyle w:val="Compact"/>
              <w:jc w:val="left"/>
            </w:pPr>
            <w:r>
              <w:rPr>
                <w:sz w:val="22"/>
              </w:rPr>
              <w:t xml:space="preserve">E6 (Cohort Divergence Across Sites)</w:t>
            </w:r>
          </w:p>
        </w:tc>
      </w:tr>
      <w:tr>
        <w:trPr>
          <w:cantSplit/>
        </w:trPr>
        <w:tc>
          <w:tcPr/>
          <w:p>
            <w:pPr>
              <w:pStyle w:val="Compact"/>
              <w:jc w:val="left"/>
            </w:pPr>
            <w:r>
              <w:rPr>
                <w:sz w:val="22"/>
              </w:rPr>
              <w:t xml:space="preserve">Week 40</w:t>
            </w:r>
          </w:p>
        </w:tc>
        <w:tc>
          <w:tcPr/>
          <w:p>
            <w:pPr>
              <w:pStyle w:val="Compact"/>
              <w:jc w:val="left"/>
            </w:pPr>
            <w:r>
              <w:rPr>
                <w:sz w:val="22"/>
              </w:rPr>
              <w:t xml:space="preserve">Train</w:t>
            </w:r>
          </w:p>
        </w:tc>
        <w:tc>
          <w:tcPr/>
          <w:p>
            <w:pPr>
              <w:pStyle w:val="Compact"/>
              <w:jc w:val="left"/>
            </w:pPr>
            <w:r>
              <w:rPr>
                <w:sz w:val="22"/>
              </w:rPr>
              <w:t xml:space="preserve">Change</w:t>
            </w:r>
          </w:p>
        </w:tc>
        <w:tc>
          <w:tcPr/>
          <w:p>
            <w:pPr>
              <w:pStyle w:val="Compact"/>
              <w:jc w:val="left"/>
            </w:pPr>
            <w:r>
              <w:rPr>
                <w:sz w:val="22"/>
              </w:rPr>
              <w:t xml:space="preserve">Knowledge → Ability</w:t>
            </w:r>
          </w:p>
        </w:tc>
        <w:tc>
          <w:tcPr/>
          <w:p>
            <w:pPr>
              <w:pStyle w:val="Compact"/>
              <w:jc w:val="left"/>
            </w:pPr>
            <w:r>
              <w:rPr>
                <w:sz w:val="22"/>
              </w:rPr>
              <w:t xml:space="preserve">Neutral Zone</w:t>
            </w:r>
          </w:p>
        </w:tc>
        <w:tc>
          <w:tcPr/>
          <w:p>
            <w:pPr>
              <w:pStyle w:val="Compact"/>
              <w:jc w:val="left"/>
            </w:pPr>
            <w:r>
              <w:rPr>
                <w:sz w:val="22"/>
              </w:rPr>
              <w:t xml:space="preserve">Resistance/Anger → Exploration</w:t>
            </w:r>
          </w:p>
        </w:tc>
        <w:tc>
          <w:tcPr/>
          <w:p>
            <w:pPr>
              <w:pStyle w:val="Compact"/>
              <w:jc w:val="left"/>
            </w:pPr>
            <w:r>
              <w:rPr>
                <w:sz w:val="22"/>
              </w:rPr>
              <w:t xml:space="preserve">E6 (Cohort Divergence Across Sites)</w:t>
            </w:r>
          </w:p>
        </w:tc>
      </w:tr>
      <w:tr>
        <w:trPr>
          <w:cantSplit/>
        </w:trPr>
        <w:tc>
          <w:tcPr/>
          <w:p>
            <w:pPr>
              <w:pStyle w:val="Compact"/>
              <w:jc w:val="left"/>
            </w:pPr>
            <w:r>
              <w:rPr>
                <w:sz w:val="22"/>
              </w:rPr>
              <w:t xml:space="preserve">Week 41</w:t>
            </w:r>
          </w:p>
        </w:tc>
        <w:tc>
          <w:tcPr/>
          <w:p>
            <w:pPr>
              <w:pStyle w:val="Compact"/>
              <w:jc w:val="left"/>
            </w:pPr>
            <w:r>
              <w:rPr>
                <w:sz w:val="22"/>
              </w:rPr>
              <w:t xml:space="preserve">Train</w:t>
            </w:r>
          </w:p>
        </w:tc>
        <w:tc>
          <w:tcPr/>
          <w:p>
            <w:pPr>
              <w:pStyle w:val="Compact"/>
              <w:jc w:val="left"/>
            </w:pPr>
            <w:r>
              <w:rPr>
                <w:sz w:val="22"/>
              </w:rPr>
              <w:t xml:space="preserve">Change</w:t>
            </w:r>
          </w:p>
        </w:tc>
        <w:tc>
          <w:tcPr/>
          <w:p>
            <w:pPr>
              <w:pStyle w:val="Compact"/>
              <w:jc w:val="left"/>
            </w:pPr>
            <w:r>
              <w:rPr>
                <w:sz w:val="22"/>
              </w:rPr>
              <w:t xml:space="preserve">Knowledge → Ability</w:t>
            </w:r>
          </w:p>
        </w:tc>
        <w:tc>
          <w:tcPr/>
          <w:p>
            <w:pPr>
              <w:pStyle w:val="Compact"/>
              <w:jc w:val="left"/>
            </w:pPr>
            <w:r>
              <w:rPr>
                <w:sz w:val="22"/>
              </w:rPr>
              <w:t xml:space="preserve">Neutral Zone</w:t>
            </w:r>
          </w:p>
        </w:tc>
        <w:tc>
          <w:tcPr/>
          <w:p>
            <w:pPr>
              <w:pStyle w:val="Compact"/>
              <w:jc w:val="left"/>
            </w:pPr>
            <w:r>
              <w:rPr>
                <w:sz w:val="22"/>
              </w:rPr>
              <w:t xml:space="preserve">Resistance/Anger → Exploration</w:t>
            </w:r>
          </w:p>
        </w:tc>
        <w:tc>
          <w:tcPr/>
          <w:p>
            <w:pPr>
              <w:pStyle w:val="Compact"/>
              <w:jc w:val="left"/>
            </w:pPr>
            <w:r>
              <w:rPr>
                <w:sz w:val="22"/>
              </w:rPr>
              <w:t xml:space="preserve">E6 (Cohort Divergence Across Sites)</w:t>
            </w:r>
          </w:p>
        </w:tc>
      </w:tr>
      <w:tr>
        <w:trPr>
          <w:cantSplit/>
        </w:trPr>
        <w:tc>
          <w:tcPr/>
          <w:p>
            <w:pPr>
              <w:pStyle w:val="Compact"/>
              <w:jc w:val="left"/>
            </w:pPr>
            <w:r>
              <w:rPr>
                <w:sz w:val="22"/>
              </w:rPr>
              <w:t xml:space="preserve">Week 42</w:t>
            </w:r>
          </w:p>
        </w:tc>
        <w:tc>
          <w:tcPr/>
          <w:p>
            <w:pPr>
              <w:pStyle w:val="Compact"/>
              <w:jc w:val="left"/>
            </w:pPr>
            <w:r>
              <w:rPr>
                <w:sz w:val="22"/>
              </w:rPr>
              <w:t xml:space="preserve">Train</w:t>
            </w:r>
          </w:p>
        </w:tc>
        <w:tc>
          <w:tcPr/>
          <w:p>
            <w:pPr>
              <w:pStyle w:val="Compact"/>
              <w:jc w:val="left"/>
            </w:pPr>
            <w:r>
              <w:rPr>
                <w:sz w:val="22"/>
              </w:rPr>
              <w:t xml:space="preserve">Change</w:t>
            </w:r>
          </w:p>
        </w:tc>
        <w:tc>
          <w:tcPr/>
          <w:p>
            <w:pPr>
              <w:pStyle w:val="Compact"/>
              <w:jc w:val="left"/>
            </w:pPr>
            <w:r>
              <w:rPr>
                <w:sz w:val="22"/>
              </w:rPr>
              <w:t xml:space="preserve">Knowledge → Ability</w:t>
            </w:r>
          </w:p>
        </w:tc>
        <w:tc>
          <w:tcPr/>
          <w:p>
            <w:pPr>
              <w:pStyle w:val="Compact"/>
              <w:jc w:val="left"/>
            </w:pPr>
            <w:r>
              <w:rPr>
                <w:sz w:val="22"/>
              </w:rPr>
              <w:t xml:space="preserve">Neutral Zone</w:t>
            </w:r>
          </w:p>
        </w:tc>
        <w:tc>
          <w:tcPr/>
          <w:p>
            <w:pPr>
              <w:pStyle w:val="Compact"/>
              <w:jc w:val="left"/>
            </w:pPr>
            <w:r>
              <w:rPr>
                <w:sz w:val="22"/>
              </w:rPr>
              <w:t xml:space="preserve">Resistance/Anger → Exploration</w:t>
            </w:r>
          </w:p>
        </w:tc>
        <w:tc>
          <w:tcPr/>
          <w:p>
            <w:pPr>
              <w:pStyle w:val="Compact"/>
              <w:jc w:val="left"/>
            </w:pPr>
            <w:r>
              <w:rPr>
                <w:sz w:val="22"/>
              </w:rPr>
              <w:t xml:space="preserve">E6 (Cohort Divergence Across Sites)</w:t>
            </w:r>
          </w:p>
        </w:tc>
      </w:tr>
      <w:tr>
        <w:trPr>
          <w:cantSplit/>
        </w:trPr>
        <w:tc>
          <w:tcPr/>
          <w:p>
            <w:pPr>
              <w:pStyle w:val="Compact"/>
              <w:jc w:val="left"/>
            </w:pPr>
            <w:r>
              <w:rPr>
                <w:sz w:val="22"/>
              </w:rPr>
              <w:t xml:space="preserve">Week 43</w:t>
            </w:r>
          </w:p>
        </w:tc>
        <w:tc>
          <w:tcPr/>
          <w:p>
            <w:pPr>
              <w:pStyle w:val="Compact"/>
              <w:jc w:val="left"/>
            </w:pPr>
            <w:r>
              <w:rPr>
                <w:sz w:val="22"/>
              </w:rPr>
              <w:t xml:space="preserve">Deploy</w:t>
            </w:r>
          </w:p>
        </w:tc>
        <w:tc>
          <w:tcPr/>
          <w:p>
            <w:pPr>
              <w:pStyle w:val="Compact"/>
              <w:jc w:val="left"/>
            </w:pPr>
            <w:r>
              <w:rPr>
                <w:sz w:val="22"/>
              </w:rPr>
              <w:t xml:space="preserve">Change → Refreeze (provisional)</w:t>
            </w:r>
          </w:p>
        </w:tc>
        <w:tc>
          <w:tcPr/>
          <w:p>
            <w:pPr>
              <w:pStyle w:val="Compact"/>
              <w:jc w:val="left"/>
            </w:pPr>
            <w:r>
              <w:rPr>
                <w:sz w:val="22"/>
              </w:rPr>
              <w:t xml:space="preserve">Ability</w:t>
            </w:r>
          </w:p>
        </w:tc>
        <w:tc>
          <w:tcPr/>
          <w:p>
            <w:pPr>
              <w:pStyle w:val="Compact"/>
              <w:jc w:val="left"/>
            </w:pPr>
            <w:r>
              <w:rPr>
                <w:sz w:val="22"/>
              </w:rPr>
              <w:t xml:space="preserve">Neutral Zone → New Beginning (provisional)</w:t>
            </w:r>
          </w:p>
        </w:tc>
        <w:tc>
          <w:tcPr/>
          <w:p>
            <w:pPr>
              <w:pStyle w:val="Compact"/>
              <w:jc w:val="left"/>
            </w:pPr>
            <w:r>
              <w:rPr>
                <w:sz w:val="22"/>
              </w:rPr>
              <w:t xml:space="preserve">Exploration</w:t>
            </w:r>
          </w:p>
        </w:tc>
        <w:tc>
          <w:tcPr/>
          <w:p>
            <w:pPr>
              <w:pStyle w:val="Compact"/>
              <w:jc w:val="left"/>
            </w:pPr>
            <w:r>
              <w:rPr>
                <w:sz w:val="22"/>
              </w:rPr>
              <w:t xml:space="preserve">E6 (Cohort Divergence Across Sites); E3 (Two-Clock Problem at Deploy)</w:t>
            </w:r>
          </w:p>
        </w:tc>
      </w:tr>
      <w:tr>
        <w:trPr>
          <w:cantSplit/>
        </w:trPr>
        <w:tc>
          <w:tcPr/>
          <w:p>
            <w:pPr>
              <w:pStyle w:val="Compact"/>
              <w:jc w:val="left"/>
            </w:pPr>
            <w:r>
              <w:rPr>
                <w:sz w:val="22"/>
              </w:rPr>
              <w:t xml:space="preserve">Week 44</w:t>
            </w:r>
          </w:p>
        </w:tc>
        <w:tc>
          <w:tcPr/>
          <w:p>
            <w:pPr>
              <w:pStyle w:val="Compact"/>
              <w:jc w:val="left"/>
            </w:pPr>
            <w:r>
              <w:rPr>
                <w:sz w:val="22"/>
              </w:rPr>
              <w:t xml:space="preserve">Hypercare</w:t>
            </w:r>
          </w:p>
        </w:tc>
        <w:tc>
          <w:tcPr/>
          <w:p>
            <w:pPr>
              <w:pStyle w:val="Compact"/>
              <w:jc w:val="left"/>
            </w:pPr>
            <w:r>
              <w:rPr>
                <w:sz w:val="22"/>
              </w:rPr>
              <w:t xml:space="preserve">Change → Refreeze (provisional)</w:t>
            </w:r>
          </w:p>
        </w:tc>
        <w:tc>
          <w:tcPr/>
          <w:p>
            <w:pPr>
              <w:pStyle w:val="Compact"/>
              <w:jc w:val="left"/>
            </w:pPr>
            <w:r>
              <w:rPr>
                <w:sz w:val="22"/>
              </w:rPr>
              <w:t xml:space="preserve">Ability → Reinforcement</w:t>
            </w:r>
          </w:p>
        </w:tc>
        <w:tc>
          <w:tcPr/>
          <w:p>
            <w:pPr>
              <w:pStyle w:val="Compact"/>
              <w:jc w:val="left"/>
            </w:pPr>
            <w:r>
              <w:rPr>
                <w:sz w:val="22"/>
              </w:rPr>
              <w:t xml:space="preserve">New Beginning</w:t>
            </w:r>
          </w:p>
        </w:tc>
        <w:tc>
          <w:tcPr/>
          <w:p>
            <w:pPr>
              <w:pStyle w:val="Compact"/>
              <w:jc w:val="left"/>
            </w:pPr>
            <w:r>
              <w:rPr>
                <w:sz w:val="22"/>
              </w:rPr>
              <w:t xml:space="preserve">Exploration</w:t>
            </w:r>
          </w:p>
        </w:tc>
        <w:tc>
          <w:tcPr/>
          <w:p>
            <w:pPr>
              <w:pStyle w:val="Compact"/>
              <w:jc w:val="left"/>
            </w:pPr>
            <w:r>
              <w:rPr>
                <w:sz w:val="22"/>
              </w:rPr>
              <w:t xml:space="preserve">E6 (Cohort Divergence Across Sites); E3 (Two-Clock Problem at Deploy)</w:t>
            </w:r>
          </w:p>
        </w:tc>
      </w:tr>
      <w:tr>
        <w:trPr>
          <w:cantSplit/>
        </w:trPr>
        <w:tc>
          <w:tcPr/>
          <w:p>
            <w:pPr>
              <w:pStyle w:val="Compact"/>
              <w:jc w:val="left"/>
            </w:pPr>
            <w:r>
              <w:rPr>
                <w:sz w:val="22"/>
              </w:rPr>
              <w:t xml:space="preserve">Week 45</w:t>
            </w:r>
          </w:p>
        </w:tc>
        <w:tc>
          <w:tcPr/>
          <w:p>
            <w:pPr>
              <w:pStyle w:val="Compact"/>
              <w:jc w:val="left"/>
            </w:pPr>
            <w:r>
              <w:rPr>
                <w:sz w:val="22"/>
              </w:rPr>
              <w:t xml:space="preserve">Hypercare</w:t>
            </w:r>
          </w:p>
        </w:tc>
        <w:tc>
          <w:tcPr/>
          <w:p>
            <w:pPr>
              <w:pStyle w:val="Compact"/>
              <w:jc w:val="left"/>
            </w:pPr>
            <w:r>
              <w:rPr>
                <w:sz w:val="22"/>
              </w:rPr>
              <w:t xml:space="preserve">Change → Refreeze (provisional)</w:t>
            </w:r>
          </w:p>
        </w:tc>
        <w:tc>
          <w:tcPr/>
          <w:p>
            <w:pPr>
              <w:pStyle w:val="Compact"/>
              <w:jc w:val="left"/>
            </w:pPr>
            <w:r>
              <w:rPr>
                <w:sz w:val="22"/>
              </w:rPr>
              <w:t xml:space="preserve">Ability → Reinforcement</w:t>
            </w:r>
          </w:p>
        </w:tc>
        <w:tc>
          <w:tcPr/>
          <w:p>
            <w:pPr>
              <w:pStyle w:val="Compact"/>
              <w:jc w:val="left"/>
            </w:pPr>
            <w:r>
              <w:rPr>
                <w:sz w:val="22"/>
              </w:rPr>
              <w:t xml:space="preserve">New Beginning</w:t>
            </w:r>
          </w:p>
        </w:tc>
        <w:tc>
          <w:tcPr/>
          <w:p>
            <w:pPr>
              <w:pStyle w:val="Compact"/>
              <w:jc w:val="left"/>
            </w:pPr>
            <w:r>
              <w:rPr>
                <w:sz w:val="22"/>
              </w:rPr>
              <w:t xml:space="preserve">Exploration</w:t>
            </w:r>
          </w:p>
        </w:tc>
        <w:tc>
          <w:tcPr/>
          <w:p>
            <w:pPr>
              <w:pStyle w:val="Compact"/>
              <w:jc w:val="left"/>
            </w:pPr>
            <w:r>
              <w:rPr>
                <w:sz w:val="22"/>
              </w:rPr>
              <w:t xml:space="preserve">E6 (Cohort Divergence Across Sites); E3 (Two-Clock Problem at Deploy); E4 (Sentiment Regression During Hypercare)</w:t>
            </w:r>
          </w:p>
        </w:tc>
      </w:tr>
      <w:tr>
        <w:trPr>
          <w:cantSplit/>
        </w:trPr>
        <w:tc>
          <w:tcPr/>
          <w:p>
            <w:pPr>
              <w:pStyle w:val="Compact"/>
              <w:jc w:val="left"/>
            </w:pPr>
            <w:r>
              <w:rPr>
                <w:sz w:val="22"/>
              </w:rPr>
              <w:t xml:space="preserve">Week 46</w:t>
            </w:r>
          </w:p>
        </w:tc>
        <w:tc>
          <w:tcPr/>
          <w:p>
            <w:pPr>
              <w:pStyle w:val="Compact"/>
              <w:jc w:val="left"/>
            </w:pPr>
            <w:r>
              <w:rPr>
                <w:sz w:val="22"/>
              </w:rPr>
              <w:t xml:space="preserve">Hypercare</w:t>
            </w:r>
          </w:p>
        </w:tc>
        <w:tc>
          <w:tcPr/>
          <w:p>
            <w:pPr>
              <w:pStyle w:val="Compact"/>
              <w:jc w:val="left"/>
            </w:pPr>
            <w:r>
              <w:rPr>
                <w:sz w:val="22"/>
              </w:rPr>
              <w:t xml:space="preserve">Change → Refreeze (provisional)</w:t>
            </w:r>
          </w:p>
        </w:tc>
        <w:tc>
          <w:tcPr/>
          <w:p>
            <w:pPr>
              <w:pStyle w:val="Compact"/>
              <w:jc w:val="left"/>
            </w:pPr>
            <w:r>
              <w:rPr>
                <w:sz w:val="22"/>
              </w:rPr>
              <w:t xml:space="preserve">Ability → Reinforcement</w:t>
            </w:r>
          </w:p>
        </w:tc>
        <w:tc>
          <w:tcPr/>
          <w:p>
            <w:pPr>
              <w:pStyle w:val="Compact"/>
              <w:jc w:val="left"/>
            </w:pPr>
            <w:r>
              <w:rPr>
                <w:sz w:val="22"/>
              </w:rPr>
              <w:t xml:space="preserve">New Beginning</w:t>
            </w:r>
          </w:p>
        </w:tc>
        <w:tc>
          <w:tcPr/>
          <w:p>
            <w:pPr>
              <w:pStyle w:val="Compact"/>
              <w:jc w:val="left"/>
            </w:pPr>
            <w:r>
              <w:rPr>
                <w:sz w:val="22"/>
              </w:rPr>
              <w:t xml:space="preserve">Exploration</w:t>
            </w:r>
          </w:p>
        </w:tc>
        <w:tc>
          <w:tcPr/>
          <w:p>
            <w:pPr>
              <w:pStyle w:val="Compact"/>
              <w:jc w:val="left"/>
            </w:pPr>
            <w:r>
              <w:rPr>
                <w:sz w:val="22"/>
              </w:rPr>
              <w:t xml:space="preserve">E6 (Cohort Divergence Across Sites); E3 (Two-Clock Problem at Deploy); E4 (Sentiment Regression During Hypercare)</w:t>
            </w:r>
          </w:p>
        </w:tc>
      </w:tr>
      <w:tr>
        <w:trPr>
          <w:cantSplit/>
        </w:trPr>
        <w:tc>
          <w:tcPr/>
          <w:p>
            <w:pPr>
              <w:pStyle w:val="Compact"/>
              <w:jc w:val="left"/>
            </w:pPr>
            <w:r>
              <w:rPr>
                <w:sz w:val="22"/>
              </w:rPr>
              <w:t xml:space="preserve">Week 47</w:t>
            </w:r>
          </w:p>
        </w:tc>
        <w:tc>
          <w:tcPr/>
          <w:p>
            <w:pPr>
              <w:pStyle w:val="Compact"/>
              <w:jc w:val="left"/>
            </w:pPr>
            <w:r>
              <w:rPr>
                <w:sz w:val="22"/>
              </w:rPr>
              <w:t xml:space="preserve">Hypercare</w:t>
            </w:r>
          </w:p>
        </w:tc>
        <w:tc>
          <w:tcPr/>
          <w:p>
            <w:pPr>
              <w:pStyle w:val="Compact"/>
              <w:jc w:val="left"/>
            </w:pPr>
            <w:r>
              <w:rPr>
                <w:sz w:val="22"/>
              </w:rPr>
              <w:t xml:space="preserve">Change → Refreeze (provisional)</w:t>
            </w:r>
          </w:p>
        </w:tc>
        <w:tc>
          <w:tcPr/>
          <w:p>
            <w:pPr>
              <w:pStyle w:val="Compact"/>
              <w:jc w:val="left"/>
            </w:pPr>
            <w:r>
              <w:rPr>
                <w:sz w:val="22"/>
              </w:rPr>
              <w:t xml:space="preserve">Ability → Reinforcement</w:t>
            </w:r>
          </w:p>
        </w:tc>
        <w:tc>
          <w:tcPr/>
          <w:p>
            <w:pPr>
              <w:pStyle w:val="Compact"/>
              <w:jc w:val="left"/>
            </w:pPr>
            <w:r>
              <w:rPr>
                <w:sz w:val="22"/>
              </w:rPr>
              <w:t xml:space="preserve">New Beginning</w:t>
            </w:r>
          </w:p>
        </w:tc>
        <w:tc>
          <w:tcPr/>
          <w:p>
            <w:pPr>
              <w:pStyle w:val="Compact"/>
              <w:jc w:val="left"/>
            </w:pPr>
            <w:r>
              <w:rPr>
                <w:sz w:val="22"/>
              </w:rPr>
              <w:t xml:space="preserve">Exploration</w:t>
            </w:r>
          </w:p>
        </w:tc>
        <w:tc>
          <w:tcPr/>
          <w:p>
            <w:pPr>
              <w:pStyle w:val="Compact"/>
              <w:jc w:val="left"/>
            </w:pPr>
            <w:r>
              <w:rPr>
                <w:sz w:val="22"/>
              </w:rPr>
              <w:t xml:space="preserve">E6 (Cohort Divergence Across Sites); E3 (Two-Clock Problem at Deploy)</w:t>
            </w:r>
          </w:p>
        </w:tc>
      </w:tr>
      <w:tr>
        <w:trPr>
          <w:cantSplit/>
        </w:trPr>
        <w:tc>
          <w:tcPr/>
          <w:p>
            <w:pPr>
              <w:pStyle w:val="Compact"/>
              <w:jc w:val="left"/>
            </w:pPr>
            <w:r>
              <w:rPr>
                <w:sz w:val="22"/>
              </w:rPr>
              <w:t xml:space="preserve">Week 48</w:t>
            </w:r>
          </w:p>
        </w:tc>
        <w:tc>
          <w:tcPr/>
          <w:p>
            <w:pPr>
              <w:pStyle w:val="Compact"/>
              <w:jc w:val="left"/>
            </w:pPr>
            <w:r>
              <w:rPr>
                <w:sz w:val="22"/>
              </w:rPr>
              <w:t xml:space="preserve">Hypercare</w:t>
            </w:r>
          </w:p>
        </w:tc>
        <w:tc>
          <w:tcPr/>
          <w:p>
            <w:pPr>
              <w:pStyle w:val="Compact"/>
              <w:jc w:val="left"/>
            </w:pPr>
            <w:r>
              <w:rPr>
                <w:sz w:val="22"/>
              </w:rPr>
              <w:t xml:space="preserve">Change → Refreeze (provisional)</w:t>
            </w:r>
          </w:p>
        </w:tc>
        <w:tc>
          <w:tcPr/>
          <w:p>
            <w:pPr>
              <w:pStyle w:val="Compact"/>
              <w:jc w:val="left"/>
            </w:pPr>
            <w:r>
              <w:rPr>
                <w:sz w:val="22"/>
              </w:rPr>
              <w:t xml:space="preserve">Ability → Reinforcement</w:t>
            </w:r>
          </w:p>
        </w:tc>
        <w:tc>
          <w:tcPr/>
          <w:p>
            <w:pPr>
              <w:pStyle w:val="Compact"/>
              <w:jc w:val="left"/>
            </w:pPr>
            <w:r>
              <w:rPr>
                <w:sz w:val="22"/>
              </w:rPr>
              <w:t xml:space="preserve">New Beginning</w:t>
            </w:r>
          </w:p>
        </w:tc>
        <w:tc>
          <w:tcPr/>
          <w:p>
            <w:pPr>
              <w:pStyle w:val="Compact"/>
              <w:jc w:val="left"/>
            </w:pPr>
            <w:r>
              <w:rPr>
                <w:sz w:val="22"/>
              </w:rPr>
              <w:t xml:space="preserve">Exploration</w:t>
            </w:r>
          </w:p>
        </w:tc>
        <w:tc>
          <w:tcPr/>
          <w:p>
            <w:pPr>
              <w:pStyle w:val="Compact"/>
              <w:jc w:val="left"/>
            </w:pPr>
            <w:r>
              <w:rPr>
                <w:sz w:val="22"/>
              </w:rPr>
              <w:t xml:space="preserve">E6 (Cohort Divergence Across Sites); E3 (Two-Clock Problem at Deploy)</w:t>
            </w:r>
          </w:p>
        </w:tc>
      </w:tr>
      <w:tr>
        <w:trPr>
          <w:cantSplit/>
        </w:trPr>
        <w:tc>
          <w:tcPr/>
          <w:p>
            <w:pPr>
              <w:pStyle w:val="Compact"/>
              <w:jc w:val="left"/>
            </w:pPr>
            <w:r>
              <w:rPr>
                <w:sz w:val="22"/>
              </w:rPr>
              <w:t xml:space="preserve">Week 49</w:t>
            </w:r>
          </w:p>
        </w:tc>
        <w:tc>
          <w:tcPr/>
          <w:p>
            <w:pPr>
              <w:pStyle w:val="Compact"/>
              <w:jc w:val="left"/>
            </w:pPr>
            <w:r>
              <w:rPr>
                <w:sz w:val="22"/>
              </w:rPr>
              <w:t xml:space="preserve">Hypercare</w:t>
            </w:r>
          </w:p>
        </w:tc>
        <w:tc>
          <w:tcPr/>
          <w:p>
            <w:pPr>
              <w:pStyle w:val="Compact"/>
              <w:jc w:val="left"/>
            </w:pPr>
            <w:r>
              <w:rPr>
                <w:sz w:val="22"/>
              </w:rPr>
              <w:t xml:space="preserve">Change → Refreeze (provisional)</w:t>
            </w:r>
          </w:p>
        </w:tc>
        <w:tc>
          <w:tcPr/>
          <w:p>
            <w:pPr>
              <w:pStyle w:val="Compact"/>
              <w:jc w:val="left"/>
            </w:pPr>
            <w:r>
              <w:rPr>
                <w:sz w:val="22"/>
              </w:rPr>
              <w:t xml:space="preserve">Ability → Reinforcement</w:t>
            </w:r>
          </w:p>
        </w:tc>
        <w:tc>
          <w:tcPr/>
          <w:p>
            <w:pPr>
              <w:pStyle w:val="Compact"/>
              <w:jc w:val="left"/>
            </w:pPr>
            <w:r>
              <w:rPr>
                <w:sz w:val="22"/>
              </w:rPr>
              <w:t xml:space="preserve">New Beginning</w:t>
            </w:r>
          </w:p>
        </w:tc>
        <w:tc>
          <w:tcPr/>
          <w:p>
            <w:pPr>
              <w:pStyle w:val="Compact"/>
              <w:jc w:val="left"/>
            </w:pPr>
            <w:r>
              <w:rPr>
                <w:sz w:val="22"/>
              </w:rPr>
              <w:t xml:space="preserve">Exploration → Commitment</w:t>
            </w:r>
          </w:p>
        </w:tc>
        <w:tc>
          <w:tcPr/>
          <w:p>
            <w:pPr>
              <w:pStyle w:val="Compact"/>
              <w:jc w:val="left"/>
            </w:pPr>
            <w:r>
              <w:rPr>
                <w:sz w:val="22"/>
              </w:rPr>
              <w:t xml:space="preserve">E6 (Cohort Divergence Across Sites); E3 (Two-Clock Problem at Deploy)</w:t>
            </w:r>
          </w:p>
        </w:tc>
      </w:tr>
      <w:tr>
        <w:trPr>
          <w:cantSplit/>
        </w:trPr>
        <w:tc>
          <w:tcPr/>
          <w:p>
            <w:pPr>
              <w:pStyle w:val="Compact"/>
              <w:jc w:val="left"/>
            </w:pPr>
            <w:r>
              <w:rPr>
                <w:sz w:val="22"/>
              </w:rPr>
              <w:t xml:space="preserve">Week 50</w:t>
            </w:r>
          </w:p>
        </w:tc>
        <w:tc>
          <w:tcPr/>
          <w:p>
            <w:pPr>
              <w:pStyle w:val="Compact"/>
              <w:jc w:val="left"/>
            </w:pPr>
            <w:r>
              <w:rPr>
                <w:sz w:val="22"/>
              </w:rPr>
              <w:t xml:space="preserve">Hypercare</w:t>
            </w:r>
          </w:p>
        </w:tc>
        <w:tc>
          <w:tcPr/>
          <w:p>
            <w:pPr>
              <w:pStyle w:val="Compact"/>
              <w:jc w:val="left"/>
            </w:pPr>
            <w:r>
              <w:rPr>
                <w:sz w:val="22"/>
              </w:rPr>
              <w:t xml:space="preserve">Change → Refreeze (provisional)</w:t>
            </w:r>
          </w:p>
        </w:tc>
        <w:tc>
          <w:tcPr/>
          <w:p>
            <w:pPr>
              <w:pStyle w:val="Compact"/>
              <w:jc w:val="left"/>
            </w:pPr>
            <w:r>
              <w:rPr>
                <w:sz w:val="22"/>
              </w:rPr>
              <w:t xml:space="preserve">Ability → Reinforcement</w:t>
            </w:r>
          </w:p>
        </w:tc>
        <w:tc>
          <w:tcPr/>
          <w:p>
            <w:pPr>
              <w:pStyle w:val="Compact"/>
              <w:jc w:val="left"/>
            </w:pPr>
            <w:r>
              <w:rPr>
                <w:sz w:val="22"/>
              </w:rPr>
              <w:t xml:space="preserve">New Beginning</w:t>
            </w:r>
          </w:p>
        </w:tc>
        <w:tc>
          <w:tcPr/>
          <w:p>
            <w:pPr>
              <w:pStyle w:val="Compact"/>
              <w:jc w:val="left"/>
            </w:pPr>
            <w:r>
              <w:rPr>
                <w:sz w:val="22"/>
              </w:rPr>
              <w:t xml:space="preserve">Exploration → Commitment</w:t>
            </w:r>
          </w:p>
        </w:tc>
        <w:tc>
          <w:tcPr/>
          <w:p>
            <w:pPr>
              <w:pStyle w:val="Compact"/>
              <w:jc w:val="left"/>
            </w:pPr>
            <w:r>
              <w:rPr>
                <w:sz w:val="22"/>
              </w:rPr>
              <w:t xml:space="preserve">E6 (Cohort Divergence Across Sites); E3 (Two-Clock Problem at Deploy)</w:t>
            </w:r>
          </w:p>
        </w:tc>
      </w:tr>
      <w:tr>
        <w:trPr>
          <w:cantSplit/>
        </w:trPr>
        <w:tc>
          <w:tcPr/>
          <w:p>
            <w:pPr>
              <w:pStyle w:val="Compact"/>
              <w:jc w:val="left"/>
            </w:pPr>
            <w:r>
              <w:rPr>
                <w:sz w:val="22"/>
              </w:rPr>
              <w:t xml:space="preserve">Week 51</w:t>
            </w:r>
          </w:p>
        </w:tc>
        <w:tc>
          <w:tcPr/>
          <w:p>
            <w:pPr>
              <w:pStyle w:val="Compact"/>
              <w:jc w:val="left"/>
            </w:pPr>
            <w:r>
              <w:rPr>
                <w:sz w:val="22"/>
              </w:rPr>
              <w:t xml:space="preserve">Sustain</w:t>
            </w:r>
          </w:p>
        </w:tc>
        <w:tc>
          <w:tcPr/>
          <w:p>
            <w:pPr>
              <w:pStyle w:val="Compact"/>
              <w:jc w:val="left"/>
            </w:pPr>
            <w:r>
              <w:rPr>
                <w:sz w:val="22"/>
              </w:rPr>
              <w:t xml:space="preserve">Change → Refreeze (provisional)</w:t>
            </w:r>
          </w:p>
        </w:tc>
        <w:tc>
          <w:tcPr/>
          <w:p>
            <w:pPr>
              <w:pStyle w:val="Compact"/>
              <w:jc w:val="left"/>
            </w:pPr>
            <w:r>
              <w:rPr>
                <w:sz w:val="22"/>
              </w:rPr>
              <w:t xml:space="preserve">Reinforcement</w:t>
            </w:r>
          </w:p>
        </w:tc>
        <w:tc>
          <w:tcPr/>
          <w:p>
            <w:pPr>
              <w:pStyle w:val="Compact"/>
              <w:jc w:val="left"/>
            </w:pPr>
            <w:r>
              <w:rPr>
                <w:sz w:val="22"/>
              </w:rPr>
              <w:t xml:space="preserve">New Beginning</w:t>
            </w:r>
          </w:p>
        </w:tc>
        <w:tc>
          <w:tcPr/>
          <w:p>
            <w:pPr>
              <w:pStyle w:val="Compact"/>
              <w:jc w:val="left"/>
            </w:pPr>
            <w:r>
              <w:rPr>
                <w:sz w:val="22"/>
              </w:rPr>
              <w:t xml:space="preserve">Exploration → Commitment</w:t>
            </w:r>
          </w:p>
        </w:tc>
        <w:tc>
          <w:tcPr/>
          <w:p>
            <w:pPr>
              <w:pStyle w:val="Compact"/>
              <w:jc w:val="left"/>
            </w:pPr>
            <w:r>
              <w:rPr>
                <w:sz w:val="22"/>
              </w:rPr>
              <w:t xml:space="preserve">E3 (Two-Clock Problem at Deploy)</w:t>
            </w:r>
          </w:p>
        </w:tc>
      </w:tr>
      <w:tr>
        <w:trPr>
          <w:cantSplit/>
        </w:trPr>
        <w:tc>
          <w:tcPr/>
          <w:p>
            <w:pPr>
              <w:pStyle w:val="Compact"/>
              <w:jc w:val="left"/>
            </w:pPr>
            <w:r>
              <w:rPr>
                <w:sz w:val="22"/>
              </w:rPr>
              <w:t xml:space="preserve">Week 52</w:t>
            </w:r>
          </w:p>
        </w:tc>
        <w:tc>
          <w:tcPr/>
          <w:p>
            <w:pPr>
              <w:pStyle w:val="Compact"/>
              <w:jc w:val="left"/>
            </w:pPr>
            <w:r>
              <w:rPr>
                <w:sz w:val="22"/>
              </w:rPr>
              <w:t xml:space="preserve">Sustain</w:t>
            </w:r>
          </w:p>
        </w:tc>
        <w:tc>
          <w:tcPr/>
          <w:p>
            <w:pPr>
              <w:pStyle w:val="Compact"/>
              <w:jc w:val="left"/>
            </w:pPr>
            <w:r>
              <w:rPr>
                <w:sz w:val="22"/>
              </w:rPr>
              <w:t xml:space="preserve">Change → Refreeze (provisional)</w:t>
            </w:r>
          </w:p>
        </w:tc>
        <w:tc>
          <w:tcPr/>
          <w:p>
            <w:pPr>
              <w:pStyle w:val="Compact"/>
              <w:jc w:val="left"/>
            </w:pPr>
            <w:r>
              <w:rPr>
                <w:sz w:val="22"/>
              </w:rPr>
              <w:t xml:space="preserve">Reinforcement</w:t>
            </w:r>
          </w:p>
        </w:tc>
        <w:tc>
          <w:tcPr/>
          <w:p>
            <w:pPr>
              <w:pStyle w:val="Compact"/>
              <w:jc w:val="left"/>
            </w:pPr>
            <w:r>
              <w:rPr>
                <w:sz w:val="22"/>
              </w:rPr>
              <w:t xml:space="preserve">New Beginning</w:t>
            </w:r>
          </w:p>
        </w:tc>
        <w:tc>
          <w:tcPr/>
          <w:p>
            <w:pPr>
              <w:pStyle w:val="Compact"/>
              <w:jc w:val="left"/>
            </w:pPr>
            <w:r>
              <w:rPr>
                <w:sz w:val="22"/>
              </w:rPr>
              <w:t xml:space="preserve">Exploration → Commitment</w:t>
            </w:r>
          </w:p>
        </w:tc>
        <w:tc>
          <w:tcPr/>
          <w:p>
            <w:pPr>
              <w:pStyle w:val="Compact"/>
              <w:jc w:val="left"/>
            </w:pPr>
            <w:r>
              <w:rPr>
                <w:sz w:val="22"/>
              </w:rPr>
              <w:t xml:space="preserve">—</w:t>
            </w:r>
          </w:p>
        </w:tc>
      </w:tr>
      <w:tr>
        <w:trPr>
          <w:cantSplit/>
        </w:trPr>
        <w:tc>
          <w:tcPr/>
          <w:p>
            <w:pPr>
              <w:pStyle w:val="Compact"/>
              <w:jc w:val="left"/>
            </w:pPr>
            <w:r>
              <w:rPr>
                <w:sz w:val="22"/>
              </w:rPr>
              <w:t xml:space="preserve">Week 53</w:t>
            </w:r>
          </w:p>
        </w:tc>
        <w:tc>
          <w:tcPr/>
          <w:p>
            <w:pPr>
              <w:pStyle w:val="Compact"/>
              <w:jc w:val="left"/>
            </w:pPr>
            <w:r>
              <w:rPr>
                <w:sz w:val="22"/>
              </w:rPr>
              <w:t xml:space="preserve">Sustain</w:t>
            </w:r>
          </w:p>
        </w:tc>
        <w:tc>
          <w:tcPr/>
          <w:p>
            <w:pPr>
              <w:pStyle w:val="Compact"/>
              <w:jc w:val="left"/>
            </w:pPr>
            <w:r>
              <w:rPr>
                <w:sz w:val="22"/>
              </w:rPr>
              <w:t xml:space="preserve">Change → Refreeze (provisional)</w:t>
            </w:r>
          </w:p>
        </w:tc>
        <w:tc>
          <w:tcPr/>
          <w:p>
            <w:pPr>
              <w:pStyle w:val="Compact"/>
              <w:jc w:val="left"/>
            </w:pPr>
            <w:r>
              <w:rPr>
                <w:sz w:val="22"/>
              </w:rPr>
              <w:t xml:space="preserve">Reinforcement</w:t>
            </w:r>
          </w:p>
        </w:tc>
        <w:tc>
          <w:tcPr/>
          <w:p>
            <w:pPr>
              <w:pStyle w:val="Compact"/>
              <w:jc w:val="left"/>
            </w:pPr>
            <w:r>
              <w:rPr>
                <w:sz w:val="22"/>
              </w:rPr>
              <w:t xml:space="preserve">New Beginning</w:t>
            </w:r>
          </w:p>
        </w:tc>
        <w:tc>
          <w:tcPr/>
          <w:p>
            <w:pPr>
              <w:pStyle w:val="Compact"/>
              <w:jc w:val="left"/>
            </w:pPr>
            <w:r>
              <w:rPr>
                <w:sz w:val="22"/>
              </w:rPr>
              <w:t xml:space="preserve">Exploration → Commitment</w:t>
            </w:r>
          </w:p>
        </w:tc>
        <w:tc>
          <w:tcPr/>
          <w:p>
            <w:pPr>
              <w:pStyle w:val="Compact"/>
              <w:jc w:val="left"/>
            </w:pPr>
            <w:r>
              <w:rPr>
                <w:sz w:val="22"/>
              </w:rPr>
              <w:t xml:space="preserve">—</w:t>
            </w:r>
          </w:p>
        </w:tc>
      </w:tr>
      <w:tr>
        <w:trPr>
          <w:cantSplit/>
        </w:trPr>
        <w:tc>
          <w:tcPr/>
          <w:p>
            <w:pPr>
              <w:pStyle w:val="Compact"/>
              <w:jc w:val="left"/>
            </w:pPr>
            <w:r>
              <w:rPr>
                <w:sz w:val="22"/>
              </w:rPr>
              <w:t xml:space="preserve">Week 54</w:t>
            </w:r>
          </w:p>
        </w:tc>
        <w:tc>
          <w:tcPr/>
          <w:p>
            <w:pPr>
              <w:pStyle w:val="Compact"/>
              <w:jc w:val="left"/>
            </w:pPr>
            <w:r>
              <w:rPr>
                <w:sz w:val="22"/>
              </w:rPr>
              <w:t xml:space="preserve">Sustain</w:t>
            </w:r>
          </w:p>
        </w:tc>
        <w:tc>
          <w:tcPr/>
          <w:p>
            <w:pPr>
              <w:pStyle w:val="Compact"/>
              <w:jc w:val="left"/>
            </w:pPr>
            <w:r>
              <w:rPr>
                <w:sz w:val="22"/>
              </w:rPr>
              <w:t xml:space="preserve">Change → Refreeze (provisional)</w:t>
            </w:r>
          </w:p>
        </w:tc>
        <w:tc>
          <w:tcPr/>
          <w:p>
            <w:pPr>
              <w:pStyle w:val="Compact"/>
              <w:jc w:val="left"/>
            </w:pPr>
            <w:r>
              <w:rPr>
                <w:sz w:val="22"/>
              </w:rPr>
              <w:t xml:space="preserve">Reinforcement</w:t>
            </w:r>
          </w:p>
        </w:tc>
        <w:tc>
          <w:tcPr/>
          <w:p>
            <w:pPr>
              <w:pStyle w:val="Compact"/>
              <w:jc w:val="left"/>
            </w:pPr>
            <w:r>
              <w:rPr>
                <w:sz w:val="22"/>
              </w:rPr>
              <w:t xml:space="preserve">New Beginning</w:t>
            </w:r>
          </w:p>
        </w:tc>
        <w:tc>
          <w:tcPr/>
          <w:p>
            <w:pPr>
              <w:pStyle w:val="Compact"/>
              <w:jc w:val="left"/>
            </w:pPr>
            <w:r>
              <w:rPr>
                <w:sz w:val="22"/>
              </w:rPr>
              <w:t xml:space="preserve">Exploration → Commitment</w:t>
            </w:r>
          </w:p>
        </w:tc>
        <w:tc>
          <w:tcPr/>
          <w:p>
            <w:pPr>
              <w:pStyle w:val="Compact"/>
              <w:jc w:val="left"/>
            </w:pPr>
            <w:r>
              <w:rPr>
                <w:sz w:val="22"/>
              </w:rPr>
              <w:t xml:space="preserve">—</w:t>
            </w:r>
          </w:p>
        </w:tc>
      </w:tr>
      <w:tr>
        <w:trPr>
          <w:cantSplit/>
        </w:trPr>
        <w:tc>
          <w:tcPr/>
          <w:p>
            <w:pPr>
              <w:pStyle w:val="Compact"/>
              <w:jc w:val="left"/>
            </w:pPr>
            <w:r>
              <w:rPr>
                <w:sz w:val="22"/>
              </w:rPr>
              <w:t xml:space="preserve">Week 55</w:t>
            </w:r>
          </w:p>
        </w:tc>
        <w:tc>
          <w:tcPr/>
          <w:p>
            <w:pPr>
              <w:pStyle w:val="Compact"/>
              <w:jc w:val="left"/>
            </w:pPr>
            <w:r>
              <w:rPr>
                <w:sz w:val="22"/>
              </w:rPr>
              <w:t xml:space="preserve">Sustain</w:t>
            </w:r>
          </w:p>
        </w:tc>
        <w:tc>
          <w:tcPr/>
          <w:p>
            <w:pPr>
              <w:pStyle w:val="Compact"/>
              <w:jc w:val="left"/>
            </w:pPr>
            <w:r>
              <w:rPr>
                <w:sz w:val="22"/>
              </w:rPr>
              <w:t xml:space="preserve">Change → Refreeze (provisional)</w:t>
            </w:r>
          </w:p>
        </w:tc>
        <w:tc>
          <w:tcPr/>
          <w:p>
            <w:pPr>
              <w:pStyle w:val="Compact"/>
              <w:jc w:val="left"/>
            </w:pPr>
            <w:r>
              <w:rPr>
                <w:sz w:val="22"/>
              </w:rPr>
              <w:t xml:space="preserve">Reinforcement</w:t>
            </w:r>
          </w:p>
        </w:tc>
        <w:tc>
          <w:tcPr/>
          <w:p>
            <w:pPr>
              <w:pStyle w:val="Compact"/>
              <w:jc w:val="left"/>
            </w:pPr>
            <w:r>
              <w:rPr>
                <w:sz w:val="22"/>
              </w:rPr>
              <w:t xml:space="preserve">New Beginning</w:t>
            </w:r>
          </w:p>
        </w:tc>
        <w:tc>
          <w:tcPr/>
          <w:p>
            <w:pPr>
              <w:pStyle w:val="Compact"/>
              <w:jc w:val="left"/>
            </w:pPr>
            <w:r>
              <w:rPr>
                <w:sz w:val="22"/>
              </w:rPr>
              <w:t xml:space="preserve">Exploration → Commitment</w:t>
            </w:r>
          </w:p>
        </w:tc>
        <w:tc>
          <w:tcPr/>
          <w:p>
            <w:pPr>
              <w:pStyle w:val="Compact"/>
              <w:jc w:val="left"/>
            </w:pPr>
            <w:r>
              <w:rPr>
                <w:sz w:val="22"/>
              </w:rPr>
              <w:t xml:space="preserve">—</w:t>
            </w:r>
          </w:p>
        </w:tc>
      </w:tr>
      <w:tr>
        <w:trPr>
          <w:cantSplit/>
        </w:trPr>
        <w:tc>
          <w:tcPr/>
          <w:p>
            <w:pPr>
              <w:pStyle w:val="Compact"/>
              <w:jc w:val="left"/>
            </w:pPr>
            <w:r>
              <w:rPr>
                <w:sz w:val="22"/>
              </w:rPr>
              <w:t xml:space="preserve">Week 56</w:t>
            </w:r>
          </w:p>
        </w:tc>
        <w:tc>
          <w:tcPr/>
          <w:p>
            <w:pPr>
              <w:pStyle w:val="Compact"/>
              <w:jc w:val="left"/>
            </w:pPr>
            <w:r>
              <w:rPr>
                <w:sz w:val="22"/>
              </w:rPr>
              <w:t xml:space="preserve">Sustain</w:t>
            </w:r>
          </w:p>
        </w:tc>
        <w:tc>
          <w:tcPr/>
          <w:p>
            <w:pPr>
              <w:pStyle w:val="Compact"/>
              <w:jc w:val="left"/>
            </w:pPr>
            <w:r>
              <w:rPr>
                <w:sz w:val="22"/>
              </w:rPr>
              <w:t xml:space="preserve">Refreeze (confirmed)</w:t>
            </w:r>
          </w:p>
        </w:tc>
        <w:tc>
          <w:tcPr/>
          <w:p>
            <w:pPr>
              <w:pStyle w:val="Compact"/>
              <w:jc w:val="left"/>
            </w:pPr>
            <w:r>
              <w:rPr>
                <w:sz w:val="22"/>
              </w:rPr>
              <w:t xml:space="preserve">Reinforcement</w:t>
            </w:r>
          </w:p>
        </w:tc>
        <w:tc>
          <w:tcPr/>
          <w:p>
            <w:pPr>
              <w:pStyle w:val="Compact"/>
              <w:jc w:val="left"/>
            </w:pPr>
            <w:r>
              <w:rPr>
                <w:sz w:val="22"/>
              </w:rPr>
              <w:t xml:space="preserve">New Beginning (confirmed)</w:t>
            </w:r>
          </w:p>
        </w:tc>
        <w:tc>
          <w:tcPr/>
          <w:p>
            <w:pPr>
              <w:pStyle w:val="Compact"/>
              <w:jc w:val="left"/>
            </w:pPr>
            <w:r>
              <w:rPr>
                <w:sz w:val="22"/>
              </w:rPr>
              <w:t xml:space="preserve">Commitment</w:t>
            </w:r>
          </w:p>
        </w:tc>
        <w:tc>
          <w:tcPr/>
          <w:p>
            <w:pPr>
              <w:pStyle w:val="Compact"/>
              <w:jc w:val="left"/>
            </w:pPr>
            <w:r>
              <w:rPr>
                <w:sz w:val="22"/>
              </w:rPr>
              <w:t xml:space="preserve">E5 (Reinforcement Gap at Sustain)</w:t>
            </w:r>
          </w:p>
        </w:tc>
      </w:tr>
      <w:tr>
        <w:trPr>
          <w:cantSplit/>
        </w:trPr>
        <w:tc>
          <w:tcPr/>
          <w:p>
            <w:pPr>
              <w:pStyle w:val="Compact"/>
              <w:jc w:val="left"/>
            </w:pPr>
            <w:r>
              <w:rPr>
                <w:sz w:val="22"/>
              </w:rPr>
              <w:t xml:space="preserve">Week 57</w:t>
            </w:r>
          </w:p>
        </w:tc>
        <w:tc>
          <w:tcPr/>
          <w:p>
            <w:pPr>
              <w:pStyle w:val="Compact"/>
              <w:jc w:val="left"/>
            </w:pPr>
            <w:r>
              <w:rPr>
                <w:sz w:val="22"/>
              </w:rPr>
              <w:t xml:space="preserve">Sustain</w:t>
            </w:r>
          </w:p>
        </w:tc>
        <w:tc>
          <w:tcPr/>
          <w:p>
            <w:pPr>
              <w:pStyle w:val="Compact"/>
              <w:jc w:val="left"/>
            </w:pPr>
            <w:r>
              <w:rPr>
                <w:sz w:val="22"/>
              </w:rPr>
              <w:t xml:space="preserve">Refreeze (confirmed)</w:t>
            </w:r>
          </w:p>
        </w:tc>
        <w:tc>
          <w:tcPr/>
          <w:p>
            <w:pPr>
              <w:pStyle w:val="Compact"/>
              <w:jc w:val="left"/>
            </w:pPr>
            <w:r>
              <w:rPr>
                <w:sz w:val="22"/>
              </w:rPr>
              <w:t xml:space="preserve">Reinforcement</w:t>
            </w:r>
          </w:p>
        </w:tc>
        <w:tc>
          <w:tcPr/>
          <w:p>
            <w:pPr>
              <w:pStyle w:val="Compact"/>
              <w:jc w:val="left"/>
            </w:pPr>
            <w:r>
              <w:rPr>
                <w:sz w:val="22"/>
              </w:rPr>
              <w:t xml:space="preserve">New Beginning (confirmed)</w:t>
            </w:r>
          </w:p>
        </w:tc>
        <w:tc>
          <w:tcPr/>
          <w:p>
            <w:pPr>
              <w:pStyle w:val="Compact"/>
              <w:jc w:val="left"/>
            </w:pPr>
            <w:r>
              <w:rPr>
                <w:sz w:val="22"/>
              </w:rPr>
              <w:t xml:space="preserve">Commitment</w:t>
            </w:r>
          </w:p>
        </w:tc>
        <w:tc>
          <w:tcPr/>
          <w:p>
            <w:pPr>
              <w:pStyle w:val="Compact"/>
              <w:jc w:val="left"/>
            </w:pPr>
            <w:r>
              <w:rPr>
                <w:sz w:val="22"/>
              </w:rPr>
              <w:t xml:space="preserve">E5 (Reinforcement Gap at Sustain)</w:t>
            </w:r>
          </w:p>
        </w:tc>
      </w:tr>
      <w:tr>
        <w:trPr>
          <w:cantSplit/>
        </w:trPr>
        <w:tc>
          <w:tcPr/>
          <w:p>
            <w:pPr>
              <w:pStyle w:val="Compact"/>
              <w:jc w:val="left"/>
            </w:pPr>
            <w:r>
              <w:rPr>
                <w:sz w:val="22"/>
              </w:rPr>
              <w:t xml:space="preserve">Week 58</w:t>
            </w:r>
          </w:p>
        </w:tc>
        <w:tc>
          <w:tcPr/>
          <w:p>
            <w:pPr>
              <w:pStyle w:val="Compact"/>
              <w:jc w:val="left"/>
            </w:pPr>
            <w:r>
              <w:rPr>
                <w:sz w:val="22"/>
              </w:rPr>
              <w:t xml:space="preserve">Sustain</w:t>
            </w:r>
          </w:p>
        </w:tc>
        <w:tc>
          <w:tcPr/>
          <w:p>
            <w:pPr>
              <w:pStyle w:val="Compact"/>
              <w:jc w:val="left"/>
            </w:pPr>
            <w:r>
              <w:rPr>
                <w:sz w:val="22"/>
              </w:rPr>
              <w:t xml:space="preserve">Refreeze (confirmed)</w:t>
            </w:r>
          </w:p>
        </w:tc>
        <w:tc>
          <w:tcPr/>
          <w:p>
            <w:pPr>
              <w:pStyle w:val="Compact"/>
              <w:jc w:val="left"/>
            </w:pPr>
            <w:r>
              <w:rPr>
                <w:sz w:val="22"/>
              </w:rPr>
              <w:t xml:space="preserve">Reinforcement</w:t>
            </w:r>
          </w:p>
        </w:tc>
        <w:tc>
          <w:tcPr/>
          <w:p>
            <w:pPr>
              <w:pStyle w:val="Compact"/>
              <w:jc w:val="left"/>
            </w:pPr>
            <w:r>
              <w:rPr>
                <w:sz w:val="22"/>
              </w:rPr>
              <w:t xml:space="preserve">New Beginning (confirmed)</w:t>
            </w:r>
          </w:p>
        </w:tc>
        <w:tc>
          <w:tcPr/>
          <w:p>
            <w:pPr>
              <w:pStyle w:val="Compact"/>
              <w:jc w:val="left"/>
            </w:pPr>
            <w:r>
              <w:rPr>
                <w:sz w:val="22"/>
              </w:rPr>
              <w:t xml:space="preserve">Commitment</w:t>
            </w:r>
          </w:p>
        </w:tc>
        <w:tc>
          <w:tcPr/>
          <w:p>
            <w:pPr>
              <w:pStyle w:val="Compact"/>
              <w:jc w:val="left"/>
            </w:pPr>
            <w:r>
              <w:rPr>
                <w:sz w:val="22"/>
              </w:rPr>
              <w:t xml:space="preserve">E5 (Reinforcement Gap at Sustain)</w:t>
            </w:r>
          </w:p>
        </w:tc>
      </w:tr>
      <w:tr>
        <w:trPr>
          <w:cantSplit/>
        </w:trPr>
        <w:tc>
          <w:tcPr/>
          <w:p>
            <w:pPr>
              <w:pStyle w:val="Compact"/>
              <w:jc w:val="left"/>
            </w:pPr>
            <w:r>
              <w:rPr>
                <w:sz w:val="22"/>
              </w:rPr>
              <w:t xml:space="preserve">Week 59</w:t>
            </w:r>
          </w:p>
        </w:tc>
        <w:tc>
          <w:tcPr/>
          <w:p>
            <w:pPr>
              <w:pStyle w:val="Compact"/>
              <w:jc w:val="left"/>
            </w:pPr>
            <w:r>
              <w:rPr>
                <w:sz w:val="22"/>
              </w:rPr>
              <w:t xml:space="preserve">Sustain</w:t>
            </w:r>
          </w:p>
        </w:tc>
        <w:tc>
          <w:tcPr/>
          <w:p>
            <w:pPr>
              <w:pStyle w:val="Compact"/>
              <w:jc w:val="left"/>
            </w:pPr>
            <w:r>
              <w:rPr>
                <w:sz w:val="22"/>
              </w:rPr>
              <w:t xml:space="preserve">Refreeze (confirmed)</w:t>
            </w:r>
          </w:p>
        </w:tc>
        <w:tc>
          <w:tcPr/>
          <w:p>
            <w:pPr>
              <w:pStyle w:val="Compact"/>
              <w:jc w:val="left"/>
            </w:pPr>
            <w:r>
              <w:rPr>
                <w:sz w:val="22"/>
              </w:rPr>
              <w:t xml:space="preserve">Reinforcement</w:t>
            </w:r>
          </w:p>
        </w:tc>
        <w:tc>
          <w:tcPr/>
          <w:p>
            <w:pPr>
              <w:pStyle w:val="Compact"/>
              <w:jc w:val="left"/>
            </w:pPr>
            <w:r>
              <w:rPr>
                <w:sz w:val="22"/>
              </w:rPr>
              <w:t xml:space="preserve">New Beginning (confirmed)</w:t>
            </w:r>
          </w:p>
        </w:tc>
        <w:tc>
          <w:tcPr/>
          <w:p>
            <w:pPr>
              <w:pStyle w:val="Compact"/>
              <w:jc w:val="left"/>
            </w:pPr>
            <w:r>
              <w:rPr>
                <w:sz w:val="22"/>
              </w:rPr>
              <w:t xml:space="preserve">Commitment</w:t>
            </w:r>
          </w:p>
        </w:tc>
        <w:tc>
          <w:tcPr/>
          <w:p>
            <w:pPr>
              <w:pStyle w:val="Compact"/>
              <w:jc w:val="left"/>
            </w:pPr>
            <w:r>
              <w:rPr>
                <w:sz w:val="22"/>
              </w:rPr>
              <w:t xml:space="preserve">E5 (Reinforcement Gap at Sustain)</w:t>
            </w:r>
          </w:p>
        </w:tc>
      </w:tr>
      <w:tr>
        <w:trPr>
          <w:cantSplit/>
        </w:trPr>
        <w:tc>
          <w:tcPr/>
          <w:p>
            <w:pPr>
              <w:pStyle w:val="Compact"/>
              <w:jc w:val="left"/>
            </w:pPr>
            <w:r>
              <w:rPr>
                <w:sz w:val="22"/>
              </w:rPr>
              <w:t xml:space="preserve">Week 60</w:t>
            </w:r>
          </w:p>
        </w:tc>
        <w:tc>
          <w:tcPr/>
          <w:p>
            <w:pPr>
              <w:pStyle w:val="Compact"/>
              <w:jc w:val="left"/>
            </w:pPr>
            <w:r>
              <w:rPr>
                <w:sz w:val="22"/>
              </w:rPr>
              <w:t xml:space="preserve">Sustain</w:t>
            </w:r>
          </w:p>
        </w:tc>
        <w:tc>
          <w:tcPr/>
          <w:p>
            <w:pPr>
              <w:pStyle w:val="Compact"/>
              <w:jc w:val="left"/>
            </w:pPr>
            <w:r>
              <w:rPr>
                <w:sz w:val="22"/>
              </w:rPr>
              <w:t xml:space="preserve">Refreeze (confirmed)</w:t>
            </w:r>
          </w:p>
        </w:tc>
        <w:tc>
          <w:tcPr/>
          <w:p>
            <w:pPr>
              <w:pStyle w:val="Compact"/>
              <w:jc w:val="left"/>
            </w:pPr>
            <w:r>
              <w:rPr>
                <w:sz w:val="22"/>
              </w:rPr>
              <w:t xml:space="preserve">Reinforcement</w:t>
            </w:r>
          </w:p>
        </w:tc>
        <w:tc>
          <w:tcPr/>
          <w:p>
            <w:pPr>
              <w:pStyle w:val="Compact"/>
              <w:jc w:val="left"/>
            </w:pPr>
            <w:r>
              <w:rPr>
                <w:sz w:val="22"/>
              </w:rPr>
              <w:t xml:space="preserve">New Beginning (confirmed)</w:t>
            </w:r>
          </w:p>
        </w:tc>
        <w:tc>
          <w:tcPr/>
          <w:p>
            <w:pPr>
              <w:pStyle w:val="Compact"/>
              <w:jc w:val="left"/>
            </w:pPr>
            <w:r>
              <w:rPr>
                <w:sz w:val="22"/>
              </w:rPr>
              <w:t xml:space="preserve">Commitment</w:t>
            </w:r>
          </w:p>
        </w:tc>
        <w:tc>
          <w:tcPr/>
          <w:p>
            <w:pPr>
              <w:pStyle w:val="Compact"/>
              <w:jc w:val="left"/>
            </w:pPr>
            <w:r>
              <w:rPr>
                <w:sz w:val="22"/>
              </w:rPr>
              <w:t xml:space="preserve">E5 (Reinforcement Gap at Sustain)</w:t>
            </w:r>
          </w:p>
        </w:tc>
      </w:tr>
      <w:tr>
        <w:trPr>
          <w:cantSplit/>
        </w:trPr>
        <w:tc>
          <w:tcPr/>
          <w:p>
            <w:pPr>
              <w:pStyle w:val="Compact"/>
              <w:jc w:val="left"/>
            </w:pPr>
            <w:r>
              <w:rPr>
                <w:sz w:val="22"/>
              </w:rPr>
              <w:t xml:space="preserve">Week 61</w:t>
            </w:r>
          </w:p>
        </w:tc>
        <w:tc>
          <w:tcPr/>
          <w:p>
            <w:pPr>
              <w:pStyle w:val="Compact"/>
              <w:jc w:val="left"/>
            </w:pPr>
            <w:r>
              <w:rPr>
                <w:sz w:val="22"/>
              </w:rPr>
              <w:t xml:space="preserve">Sustain</w:t>
            </w:r>
          </w:p>
        </w:tc>
        <w:tc>
          <w:tcPr/>
          <w:p>
            <w:pPr>
              <w:pStyle w:val="Compact"/>
              <w:jc w:val="left"/>
            </w:pPr>
            <w:r>
              <w:rPr>
                <w:sz w:val="22"/>
              </w:rPr>
              <w:t xml:space="preserve">Refreeze (confirmed)</w:t>
            </w:r>
          </w:p>
        </w:tc>
        <w:tc>
          <w:tcPr/>
          <w:p>
            <w:pPr>
              <w:pStyle w:val="Compact"/>
              <w:jc w:val="left"/>
            </w:pPr>
            <w:r>
              <w:rPr>
                <w:sz w:val="22"/>
              </w:rPr>
              <w:t xml:space="preserve">Reinforcement</w:t>
            </w:r>
          </w:p>
        </w:tc>
        <w:tc>
          <w:tcPr/>
          <w:p>
            <w:pPr>
              <w:pStyle w:val="Compact"/>
              <w:jc w:val="left"/>
            </w:pPr>
            <w:r>
              <w:rPr>
                <w:sz w:val="22"/>
              </w:rPr>
              <w:t xml:space="preserve">New Beginning (confirmed)</w:t>
            </w:r>
          </w:p>
        </w:tc>
        <w:tc>
          <w:tcPr/>
          <w:p>
            <w:pPr>
              <w:pStyle w:val="Compact"/>
              <w:jc w:val="left"/>
            </w:pPr>
            <w:r>
              <w:rPr>
                <w:sz w:val="22"/>
              </w:rPr>
              <w:t xml:space="preserve">Commitment</w:t>
            </w:r>
          </w:p>
        </w:tc>
        <w:tc>
          <w:tcPr/>
          <w:p>
            <w:pPr>
              <w:pStyle w:val="Compact"/>
              <w:jc w:val="left"/>
            </w:pPr>
            <w:r>
              <w:rPr>
                <w:sz w:val="22"/>
              </w:rPr>
              <w:t xml:space="preserve">E5 (Reinforcement Gap at Sustain)</w:t>
            </w:r>
          </w:p>
        </w:tc>
      </w:tr>
      <w:tr>
        <w:trPr>
          <w:cantSplit/>
        </w:trPr>
        <w:tc>
          <w:tcPr/>
          <w:p>
            <w:pPr>
              <w:pStyle w:val="Compact"/>
              <w:jc w:val="left"/>
            </w:pPr>
            <w:r>
              <w:rPr>
                <w:sz w:val="22"/>
              </w:rPr>
              <w:t xml:space="preserve">Week 62</w:t>
            </w:r>
          </w:p>
        </w:tc>
        <w:tc>
          <w:tcPr/>
          <w:p>
            <w:pPr>
              <w:pStyle w:val="Compact"/>
              <w:jc w:val="left"/>
            </w:pPr>
            <w:r>
              <w:rPr>
                <w:sz w:val="22"/>
              </w:rPr>
              <w:t xml:space="preserve">Sustain</w:t>
            </w:r>
          </w:p>
        </w:tc>
        <w:tc>
          <w:tcPr/>
          <w:p>
            <w:pPr>
              <w:pStyle w:val="Compact"/>
              <w:jc w:val="left"/>
            </w:pPr>
            <w:r>
              <w:rPr>
                <w:sz w:val="22"/>
              </w:rPr>
              <w:t xml:space="preserve">Refreeze (confirmed)</w:t>
            </w:r>
          </w:p>
        </w:tc>
        <w:tc>
          <w:tcPr/>
          <w:p>
            <w:pPr>
              <w:pStyle w:val="Compact"/>
              <w:jc w:val="left"/>
            </w:pPr>
            <w:r>
              <w:rPr>
                <w:sz w:val="22"/>
              </w:rPr>
              <w:t xml:space="preserve">Reinforcement</w:t>
            </w:r>
          </w:p>
        </w:tc>
        <w:tc>
          <w:tcPr/>
          <w:p>
            <w:pPr>
              <w:pStyle w:val="Compact"/>
              <w:jc w:val="left"/>
            </w:pPr>
            <w:r>
              <w:rPr>
                <w:sz w:val="22"/>
              </w:rPr>
              <w:t xml:space="preserve">New Beginning (confirmed)</w:t>
            </w:r>
          </w:p>
        </w:tc>
        <w:tc>
          <w:tcPr/>
          <w:p>
            <w:pPr>
              <w:pStyle w:val="Compact"/>
              <w:jc w:val="left"/>
            </w:pPr>
            <w:r>
              <w:rPr>
                <w:sz w:val="22"/>
              </w:rPr>
              <w:t xml:space="preserve">Commitment</w:t>
            </w:r>
          </w:p>
        </w:tc>
        <w:tc>
          <w:tcPr/>
          <w:p>
            <w:pPr>
              <w:pStyle w:val="Compact"/>
              <w:jc w:val="left"/>
            </w:pPr>
            <w:r>
              <w:rPr>
                <w:sz w:val="22"/>
              </w:rPr>
              <w:t xml:space="preserve">E5 (Reinforcement Gap at Sustain)</w:t>
            </w:r>
          </w:p>
        </w:tc>
      </w:tr>
      <w:tr>
        <w:trPr>
          <w:cantSplit/>
        </w:trPr>
        <w:tc>
          <w:tcPr/>
          <w:p>
            <w:pPr>
              <w:pStyle w:val="Compact"/>
              <w:jc w:val="left"/>
            </w:pPr>
            <w:r>
              <w:rPr>
                <w:sz w:val="22"/>
              </w:rPr>
              <w:t xml:space="preserve">Week 63</w:t>
            </w:r>
          </w:p>
        </w:tc>
        <w:tc>
          <w:tcPr/>
          <w:p>
            <w:pPr>
              <w:pStyle w:val="Compact"/>
              <w:jc w:val="left"/>
            </w:pPr>
            <w:r>
              <w:rPr>
                <w:sz w:val="22"/>
              </w:rPr>
              <w:t xml:space="preserve">Sustain</w:t>
            </w:r>
          </w:p>
        </w:tc>
        <w:tc>
          <w:tcPr/>
          <w:p>
            <w:pPr>
              <w:pStyle w:val="Compact"/>
              <w:jc w:val="left"/>
            </w:pPr>
            <w:r>
              <w:rPr>
                <w:sz w:val="22"/>
              </w:rPr>
              <w:t xml:space="preserve">Refreeze (confirmed)</w:t>
            </w:r>
          </w:p>
        </w:tc>
        <w:tc>
          <w:tcPr/>
          <w:p>
            <w:pPr>
              <w:pStyle w:val="Compact"/>
              <w:jc w:val="left"/>
            </w:pPr>
            <w:r>
              <w:rPr>
                <w:sz w:val="22"/>
              </w:rPr>
              <w:t xml:space="preserve">Reinforcement</w:t>
            </w:r>
          </w:p>
        </w:tc>
        <w:tc>
          <w:tcPr/>
          <w:p>
            <w:pPr>
              <w:pStyle w:val="Compact"/>
              <w:jc w:val="left"/>
            </w:pPr>
            <w:r>
              <w:rPr>
                <w:sz w:val="22"/>
              </w:rPr>
              <w:t xml:space="preserve">New Beginning (confirmed)</w:t>
            </w:r>
          </w:p>
        </w:tc>
        <w:tc>
          <w:tcPr/>
          <w:p>
            <w:pPr>
              <w:pStyle w:val="Compact"/>
              <w:jc w:val="left"/>
            </w:pPr>
            <w:r>
              <w:rPr>
                <w:sz w:val="22"/>
              </w:rPr>
              <w:t xml:space="preserve">Commitment</w:t>
            </w:r>
          </w:p>
        </w:tc>
        <w:tc>
          <w:tcPr/>
          <w:p>
            <w:pPr>
              <w:pStyle w:val="Compact"/>
              <w:jc w:val="left"/>
            </w:pPr>
            <w:r>
              <w:rPr>
                <w:sz w:val="22"/>
              </w:rPr>
              <w:t xml:space="preserve">E5 (Reinforcement Gap at Sustain)</w:t>
            </w:r>
          </w:p>
        </w:tc>
      </w:tr>
      <w:tr>
        <w:trPr>
          <w:cantSplit/>
        </w:trPr>
        <w:tc>
          <w:tcPr/>
          <w:p>
            <w:pPr>
              <w:pStyle w:val="Compact"/>
              <w:jc w:val="left"/>
            </w:pPr>
            <w:r>
              <w:rPr>
                <w:sz w:val="22"/>
              </w:rPr>
              <w:t xml:space="preserve">Week 64</w:t>
            </w:r>
          </w:p>
        </w:tc>
        <w:tc>
          <w:tcPr/>
          <w:p>
            <w:pPr>
              <w:pStyle w:val="Compact"/>
              <w:jc w:val="left"/>
            </w:pPr>
            <w:r>
              <w:rPr>
                <w:sz w:val="22"/>
              </w:rPr>
              <w:t xml:space="preserve">Sustain</w:t>
            </w:r>
          </w:p>
        </w:tc>
        <w:tc>
          <w:tcPr/>
          <w:p>
            <w:pPr>
              <w:pStyle w:val="Compact"/>
              <w:jc w:val="left"/>
            </w:pPr>
            <w:r>
              <w:rPr>
                <w:sz w:val="22"/>
              </w:rPr>
              <w:t xml:space="preserve">Refreeze (confirmed)</w:t>
            </w:r>
          </w:p>
        </w:tc>
        <w:tc>
          <w:tcPr/>
          <w:p>
            <w:pPr>
              <w:pStyle w:val="Compact"/>
              <w:jc w:val="left"/>
            </w:pPr>
            <w:r>
              <w:rPr>
                <w:sz w:val="22"/>
              </w:rPr>
              <w:t xml:space="preserve">Reinforcement</w:t>
            </w:r>
          </w:p>
        </w:tc>
        <w:tc>
          <w:tcPr/>
          <w:p>
            <w:pPr>
              <w:pStyle w:val="Compact"/>
              <w:jc w:val="left"/>
            </w:pPr>
            <w:r>
              <w:rPr>
                <w:sz w:val="22"/>
              </w:rPr>
              <w:t xml:space="preserve">New Beginning (confirmed)</w:t>
            </w:r>
          </w:p>
        </w:tc>
        <w:tc>
          <w:tcPr/>
          <w:p>
            <w:pPr>
              <w:pStyle w:val="Compact"/>
              <w:jc w:val="left"/>
            </w:pPr>
            <w:r>
              <w:rPr>
                <w:sz w:val="22"/>
              </w:rPr>
              <w:t xml:space="preserve">Commitment</w:t>
            </w:r>
          </w:p>
        </w:tc>
        <w:tc>
          <w:tcPr/>
          <w:p>
            <w:pPr>
              <w:pStyle w:val="Compact"/>
              <w:jc w:val="left"/>
            </w:pPr>
            <w:r>
              <w:rPr>
                <w:sz w:val="22"/>
              </w:rPr>
              <w:t xml:space="preserve">E5 (Reinforcement Gap at Sustain)</w:t>
            </w:r>
          </w:p>
        </w:tc>
      </w:tr>
    </w:tbl>
    <w:p>
      <w:pPr>
        <w:pStyle w:val="BodyText"/>
      </w:pPr>
      <w:r>
        <w:rPr>
          <w:sz w:val="25"/>
        </w:rPr>
        <w:t xml:space="preserve">Two things about this calendar are deliberate and worth stating rather than leaving implicit. First, phases overlap — Design starts before Discovery formally closes, Test starts before Build formally closes, and so on — because Bouregreg’s Project Management and Change Management tracks run in parallel, not in strict sequence, the same way E2E-06 (PM ↔ CM Governance Bridge, Part 3) assumes. Second, Lewin is marked</w:t>
      </w:r>
      <w:r>
        <w:rPr>
          <w:sz w:val="25"/>
        </w:rPr>
        <w:t xml:space="preserve"> </w:t>
      </w:r>
      <w:r>
        <w:rPr>
          <w:sz w:val="25"/>
        </w:rPr>
        <w:t xml:space="preserve">“</w:t>
      </w:r>
      <w:r>
        <w:rPr>
          <w:sz w:val="25"/>
        </w:rPr>
        <w:t xml:space="preserve">provisional</w:t>
      </w:r>
      <w:r>
        <w:rPr>
          <w:sz w:val="25"/>
        </w:rPr>
        <w:t xml:space="preserve">”</w:t>
      </w:r>
      <w:r>
        <w:rPr>
          <w:sz w:val="25"/>
        </w:rPr>
        <w:t xml:space="preserve"> </w:t>
      </w:r>
      <w:r>
        <w:rPr>
          <w:sz w:val="25"/>
        </w:rPr>
        <w:t xml:space="preserve">at Deploy and through most of Hypercare rather than called Refreeze at go-live itself: that gap between the technical go-live milestone and the confirmed Lewin call is Exception E3 (Two-Clock Problem at Deploy) below, and this calendar is built to make that gap visible rather than paper over it. Third, more than one exception can be live in the same week — Weeks 43 through 46, for instance, carry E3, E4, and E6 simultaneously, exactly the kind of overlapping-signal week a Change Manager needs the Notification Center (Part 5) for, not a single linear checklist.</w:t>
      </w:r>
    </w:p>
    <w:p>
      <w:r>
        <w:rPr>
          <w:sz w:val="25"/>
        </w:rPr>
        <w:pict>
          <v:rect style="width:0;height:1.5pt" o:hralign="center" o:hrstd="t" o:hr="t"/>
        </w:pict>
      </w:r>
    </w:p>
    <w:p>
      <w:pPr>
        <w:pStyle w:val="FirstParagraph"/>
      </w:pPr>
    </w:p>
    <w:bookmarkEnd w:id="36"/>
    <w:bookmarkStart w:id="46" w:name="b.3-phase-by-phase-playbook-normal-flow"/>
    <w:p>
      <w:pPr>
        <w:pStyle w:val="Heading3"/>
      </w:pPr>
      <w:r>
        <w:rPr>
          <w:b/>
          <w:color w:val="3F827B"/>
          <w:sz w:val="29"/>
        </w:rPr>
        <w:t xml:space="preserve">1B.3 Phase-by-Phase Playbook (Normal Flow)</w:t>
      </w:r>
    </w:p>
    <w:p>
      <w:pPr>
        <w:pStyle w:val="FirstParagraph"/>
      </w:pPr>
      <w:r>
        <w:rPr>
          <w:sz w:val="25"/>
        </w:rPr>
        <w:t xml:space="preserve">Each phase below states its weeks, its framework readings at the phase’s close, four concrete Tasks with their Steps, and the phase gate outcome recorded on M17 (WBS &amp; Gantt). Every journi module reference is real; every Task is written as something Driss El Amrani, Meryem Sabri, Houda Zerouali, or their teams actually do inside the modules toured in Part 2.</w:t>
      </w:r>
    </w:p>
    <w:p>
      <w:pPr>
        <w:pStyle w:val="BodyText"/>
      </w:pPr>
    </w:p>
    <w:bookmarkStart w:id="37" w:name="phase-1-discovery-w18"/>
    <w:p>
      <w:pPr>
        <w:pStyle w:val="Heading4"/>
      </w:pPr>
      <w:r>
        <w:rPr>
          <w:b/>
          <w:color w:val="5A8F89"/>
          <w:sz w:val="26"/>
        </w:rPr>
        <w:t xml:space="preserve">Phase 1 — Discovery (W1–8)</w:t>
      </w:r>
    </w:p>
    <w:p>
      <w:pPr>
        <w:pStyle w:val="FirstParagraph"/>
      </w:pPr>
      <w:r>
        <w:rPr>
          <w:bCs/>
          <w:b/>
          <w:sz w:val="25"/>
        </w:rPr>
        <w:t xml:space="preserve">Framework readings at close:</w:t>
      </w:r>
      <w:r>
        <w:rPr>
          <w:sz w:val="25"/>
        </w:rPr>
        <w:t xml:space="preserve"> </w:t>
      </w:r>
      <w:r>
        <w:rPr>
          <w:sz w:val="25"/>
        </w:rPr>
        <w:t xml:space="preserve">Lewin Unfreeze · ADKAR focus Awareness · Bridges Ending · Kübler-Ross Denial.</w:t>
      </w:r>
    </w:p>
    <w:p>
      <w:pPr>
        <w:pStyle w:val="BodyText"/>
      </w:pPr>
      <w:r>
        <w:rPr>
          <w:sz w:val="25"/>
        </w:rPr>
        <w:t xml:space="preserve">Discovery is where the business case gets made and the Month-0 baseline gets captured, before any visible change has reached the plant floor. The table below breaks the phase’s four Tasks into a Project Manager (PM) track and a Change Manager (CM) track, week by week, with the exact journi entries — including simulated data to type in — for each week.</w:t>
      </w:r>
    </w:p>
    <w:tbl>
      <w:tblPr>
        <w:tblStyle w:val="Table"/>
        <w:tblW w:type="pct" w:w="5000"/>
        <w:jc w:val="center"/>
        <w:tblLayout w:type="fixed"/>
        <w:tblLook w:firstRow="1" w:lastRow="0" w:firstColumn="0" w:lastColumn="0" w:noHBand="0" w:noVBand="0" w:val="0020"/>
      </w:tblPr>
      <w:tblGrid>
        <w:gridCol w:w="600760"/>
        <w:gridCol w:w="1602028"/>
        <w:gridCol w:w="1602028"/>
        <w:gridCol w:w="2069287"/>
        <w:gridCol w:w="801014"/>
      </w:tblGrid>
      <w:tr>
        <w:trPr>
          <w:tblHeader w:val="true"/>
        </w:trPr>
        <w:tc>
          <w:tcPr>
            <w:tcW w:type="dxa" w:w="946"/>
            <w:shd w:val="clear" w:fill="1F4B45"/>
          </w:tcPr>
          <w:p>
            <w:pPr>
              <w:pStyle w:val="Compact"/>
              <w:jc w:val="left"/>
            </w:pPr>
            <w:r>
              <w:rPr>
                <w:b/>
                <w:color w:val="FFFFFF"/>
                <w:sz w:val="22"/>
              </w:rPr>
              <w:t xml:space="preserve">Week</w:t>
            </w:r>
          </w:p>
        </w:tc>
        <w:tc>
          <w:tcPr>
            <w:tcW w:type="dxa" w:w="2522"/>
            <w:shd w:val="clear" w:fill="1F4B45"/>
          </w:tcPr>
          <w:p>
            <w:pPr>
              <w:pStyle w:val="Compact"/>
              <w:jc w:val="left"/>
            </w:pPr>
            <w:r>
              <w:rPr>
                <w:b/>
                <w:color w:val="FFFFFF"/>
                <w:sz w:val="22"/>
              </w:rPr>
              <w:t xml:space="preserve">Project Manager (PM) Track</w:t>
            </w:r>
          </w:p>
        </w:tc>
        <w:tc>
          <w:tcPr>
            <w:tcW w:type="dxa" w:w="2522"/>
            <w:shd w:val="clear" w:fill="1F4B45"/>
          </w:tcPr>
          <w:p>
            <w:pPr>
              <w:pStyle w:val="Compact"/>
              <w:jc w:val="left"/>
            </w:pPr>
            <w:r>
              <w:rPr>
                <w:b/>
                <w:color w:val="FFFFFF"/>
                <w:sz w:val="22"/>
              </w:rPr>
              <w:t xml:space="preserve">Change Manager (CM) Track</w:t>
            </w:r>
          </w:p>
        </w:tc>
        <w:tc>
          <w:tcPr>
            <w:tcW w:type="dxa" w:w="3258"/>
            <w:shd w:val="clear" w:fill="1F4B45"/>
          </w:tcPr>
          <w:p>
            <w:pPr>
              <w:pStyle w:val="Compact"/>
              <w:jc w:val="left"/>
            </w:pPr>
            <w:r>
              <w:rPr>
                <w:b/>
                <w:color w:val="FFFFFF"/>
                <w:sz w:val="22"/>
              </w:rPr>
              <w:t xml:space="preserve">journi Entry — What to Type In</w:t>
            </w:r>
          </w:p>
        </w:tc>
        <w:tc>
          <w:tcPr>
            <w:tcW w:type="dxa" w:w="1261"/>
            <w:shd w:val="clear" w:fill="1F4B45"/>
          </w:tcPr>
          <w:p>
            <w:pPr>
              <w:pStyle w:val="Compact"/>
              <w:jc w:val="left"/>
            </w:pPr>
            <w:r>
              <w:rPr>
                <w:b/>
                <w:color w:val="FFFFFF"/>
                <w:sz w:val="22"/>
              </w:rPr>
              <w:t xml:space="preserve">Exception</w:t>
            </w:r>
          </w:p>
        </w:tc>
      </w:tr>
      <w:tr>
        <w:tc>
          <w:tcPr>
            <w:tcW w:type="dxa" w:w="946"/>
          </w:tcPr>
          <w:p>
            <w:pPr>
              <w:pStyle w:val="Compact"/>
              <w:jc w:val="left"/>
            </w:pPr>
            <w:r>
              <w:rPr>
                <w:bCs/>
                <w:b/>
                <w:sz w:val="22"/>
              </w:rPr>
              <w:t xml:space="preserve">Week 1</w:t>
            </w:r>
          </w:p>
        </w:tc>
        <w:tc>
          <w:tcPr>
            <w:tcW w:type="dxa" w:w="2522"/>
          </w:tcPr>
          <w:p>
            <w:pPr>
              <w:pStyle w:val="Compact"/>
              <w:jc w:val="left"/>
            </w:pPr>
            <w:r>
              <w:rPr>
                <w:bCs/>
                <w:b/>
                <w:sz w:val="22"/>
              </w:rPr>
              <w:t xml:space="preserve">[PM]</w:t>
            </w:r>
            <w:r>
              <w:rPr>
                <w:sz w:val="22"/>
              </w:rPr>
              <w:t xml:space="preserve"> </w:t>
            </w:r>
            <w:r>
              <w:rPr>
                <w:sz w:val="22"/>
              </w:rPr>
              <w:t xml:space="preserve">Hold program kickoff; confirm Executive Sponsor (CFO) attendance; align the three-site workshop schedule with Functional Process Owners.</w:t>
            </w:r>
          </w:p>
        </w:tc>
        <w:tc>
          <w:tcPr>
            <w:tcW w:type="dxa" w:w="2522"/>
          </w:tcPr>
          <w:p>
            <w:pPr>
              <w:pStyle w:val="Compact"/>
              <w:jc w:val="left"/>
            </w:pPr>
            <w:r>
              <w:rPr>
                <w:bCs/>
                <w:b/>
                <w:sz w:val="22"/>
              </w:rPr>
              <w:t xml:space="preserve">[CM]</w:t>
            </w:r>
            <w:r>
              <w:rPr>
                <w:sz w:val="22"/>
              </w:rPr>
              <w:t xml:space="preserve"> </w:t>
            </w:r>
            <w:r>
              <w:rPr>
                <w:sz w:val="22"/>
              </w:rPr>
              <w:t xml:space="preserve">Brief Meryem Sabri’s team on discovery-workshop facilitation method; prepare the workaround-inventory capture sheet.</w:t>
            </w:r>
          </w:p>
        </w:tc>
        <w:tc>
          <w:tcPr>
            <w:tcW w:type="dxa" w:w="3258"/>
          </w:tcPr>
          <w:p>
            <w:pPr>
              <w:pStyle w:val="Compact"/>
              <w:jc w:val="left"/>
            </w:pPr>
            <w:r>
              <w:rPr>
                <w:sz w:val="22"/>
              </w:rPr>
              <w:t xml:space="preserve">M1 (Hierarchy) — verify the CM Project record’s scope and dates match the kickoff agreement (no new entry; record already created in Part 1).</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2</w:t>
            </w:r>
          </w:p>
        </w:tc>
        <w:tc>
          <w:tcPr>
            <w:tcW w:type="dxa" w:w="2522"/>
          </w:tcPr>
          <w:p>
            <w:pPr>
              <w:pStyle w:val="Compact"/>
              <w:jc w:val="left"/>
            </w:pPr>
            <w:r>
              <w:rPr>
                <w:bCs/>
                <w:b/>
                <w:sz w:val="22"/>
              </w:rPr>
              <w:t xml:space="preserve">[PM]</w:t>
            </w:r>
            <w:r>
              <w:rPr>
                <w:sz w:val="22"/>
              </w:rPr>
              <w:t xml:space="preserve"> </w:t>
            </w:r>
            <w:r>
              <w:rPr>
                <w:sz w:val="22"/>
              </w:rPr>
              <w:t xml:space="preserve">Facilitate Discovery Workshop 1 — Casablanca HQ (Order Management, Finance). Capture current-state process maps.</w:t>
            </w:r>
          </w:p>
        </w:tc>
        <w:tc>
          <w:tcPr>
            <w:tcW w:type="dxa" w:w="2522"/>
          </w:tcPr>
          <w:p>
            <w:pPr>
              <w:pStyle w:val="Compact"/>
              <w:jc w:val="left"/>
            </w:pPr>
            <w:r>
              <w:rPr>
                <w:bCs/>
                <w:b/>
                <w:sz w:val="22"/>
              </w:rPr>
              <w:t xml:space="preserve">[CM]</w:t>
            </w:r>
            <w:r>
              <w:rPr>
                <w:sz w:val="22"/>
              </w:rPr>
              <w:t xml:space="preserve"> </w:t>
            </w:r>
            <w:r>
              <w:rPr>
                <w:sz w:val="22"/>
              </w:rPr>
              <w:t xml:space="preserve">Observe the Casablanca workshop; begin logging workaround findings neutrally, not yet as resistance entries.</w:t>
            </w:r>
          </w:p>
        </w:tc>
        <w:tc>
          <w:tcPr>
            <w:tcW w:type="dxa" w:w="3258"/>
          </w:tcPr>
          <w:p>
            <w:pPr>
              <w:pStyle w:val="Compact"/>
              <w:jc w:val="left"/>
            </w:pPr>
            <w:r>
              <w:rPr>
                <w:sz w:val="22"/>
              </w:rPr>
              <w:t xml:space="preserve">No journi entry yet — workshop output captured on paper/whiteboard first, transcribed in Week 4.</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3</w:t>
            </w:r>
          </w:p>
        </w:tc>
        <w:tc>
          <w:tcPr>
            <w:tcW w:type="dxa" w:w="2522"/>
          </w:tcPr>
          <w:p>
            <w:pPr>
              <w:pStyle w:val="Compact"/>
              <w:jc w:val="left"/>
            </w:pPr>
            <w:r>
              <w:rPr>
                <w:bCs/>
                <w:b/>
                <w:sz w:val="22"/>
              </w:rPr>
              <w:t xml:space="preserve">[PM]</w:t>
            </w:r>
            <w:r>
              <w:rPr>
                <w:sz w:val="22"/>
              </w:rPr>
              <w:t xml:space="preserve"> </w:t>
            </w:r>
            <w:r>
              <w:rPr>
                <w:sz w:val="22"/>
              </w:rPr>
              <w:t xml:space="preserve">Facilitate Discovery Workshop 2 — Kenitra Plant (Inventory, Plant Operations).</w:t>
            </w:r>
          </w:p>
        </w:tc>
        <w:tc>
          <w:tcPr>
            <w:tcW w:type="dxa" w:w="2522"/>
          </w:tcPr>
          <w:p>
            <w:pPr>
              <w:pStyle w:val="Compact"/>
              <w:jc w:val="left"/>
            </w:pPr>
            <w:r>
              <w:rPr>
                <w:bCs/>
                <w:b/>
                <w:sz w:val="22"/>
              </w:rPr>
              <w:t xml:space="preserve">[CM]</w:t>
            </w:r>
            <w:r>
              <w:rPr>
                <w:sz w:val="22"/>
              </w:rPr>
              <w:t xml:space="preserve"> </w:t>
            </w:r>
            <w:r>
              <w:rPr>
                <w:sz w:val="22"/>
              </w:rPr>
              <w:t xml:space="preserve">Continue the workaround inventory; note early signs of attachment to the current manual process among Kenitra plant-floor staff.</w:t>
            </w:r>
          </w:p>
        </w:tc>
        <w:tc>
          <w:tcPr>
            <w:tcW w:type="dxa" w:w="3258"/>
          </w:tcPr>
          <w:p>
            <w:pPr>
              <w:pStyle w:val="Compact"/>
              <w:jc w:val="left"/>
            </w:pPr>
            <w:r>
              <w:rPr>
                <w:sz w:val="22"/>
              </w:rPr>
              <w:t xml:space="preserve">No journi entry yet.</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4</w:t>
            </w:r>
          </w:p>
        </w:tc>
        <w:tc>
          <w:tcPr>
            <w:tcW w:type="dxa" w:w="2522"/>
          </w:tcPr>
          <w:p>
            <w:pPr>
              <w:pStyle w:val="Compact"/>
              <w:jc w:val="left"/>
            </w:pPr>
            <w:r>
              <w:rPr>
                <w:bCs/>
                <w:b/>
                <w:sz w:val="22"/>
              </w:rPr>
              <w:t xml:space="preserve">[PM]</w:t>
            </w:r>
            <w:r>
              <w:rPr>
                <w:sz w:val="22"/>
              </w:rPr>
              <w:t xml:space="preserve"> </w:t>
            </w:r>
            <w:r>
              <w:rPr>
                <w:sz w:val="22"/>
              </w:rPr>
              <w:t xml:space="preserve">Facilitate Discovery Workshop 3 — Settat Plant (Inventory, Plant Operations). Discovery workshops complete across all three sites.</w:t>
            </w:r>
          </w:p>
        </w:tc>
        <w:tc>
          <w:tcPr>
            <w:tcW w:type="dxa" w:w="2522"/>
          </w:tcPr>
          <w:p>
            <w:pPr>
              <w:pStyle w:val="Compact"/>
              <w:jc w:val="left"/>
            </w:pPr>
            <w:r>
              <w:rPr>
                <w:bCs/>
                <w:b/>
                <w:sz w:val="22"/>
              </w:rPr>
              <w:t xml:space="preserve">[CM]</w:t>
            </w:r>
            <w:r>
              <w:rPr>
                <w:sz w:val="22"/>
              </w:rPr>
              <w:t xml:space="preserve"> </w:t>
            </w:r>
            <w:r>
              <w:rPr>
                <w:sz w:val="22"/>
              </w:rPr>
              <w:t xml:space="preserve">Compile the full workaround inventory (Task 1, Step 2) — type in each finding as a short, neutral description, for example:</w:t>
            </w:r>
            <w:r>
              <w:rPr>
                <w:sz w:val="22"/>
              </w:rPr>
              <w:t xml:space="preserve"> </w:t>
            </w:r>
            <w:r>
              <w:rPr>
                <w:sz w:val="22"/>
              </w:rPr>
              <w:t xml:space="preserve">“</w:t>
            </w:r>
            <w:r>
              <w:rPr>
                <w:sz w:val="22"/>
              </w:rPr>
              <w:t xml:space="preserve">Casablanca Finance re-keys invoice data manually into a shadow spreadsheet because the legacy system’s export format doesn’t match the bank reconciliation tool</w:t>
            </w:r>
            <w:r>
              <w:rPr>
                <w:sz w:val="22"/>
              </w:rPr>
              <w:t xml:space="preserve">”</w:t>
            </w:r>
            <w:r>
              <w:rPr>
                <w:sz w:val="22"/>
              </w:rPr>
              <w:t xml:space="preserve">;</w:t>
            </w:r>
            <w:r>
              <w:rPr>
                <w:sz w:val="22"/>
              </w:rPr>
              <w:t xml:space="preserve"> </w:t>
            </w:r>
            <w:r>
              <w:rPr>
                <w:sz w:val="22"/>
              </w:rPr>
              <w:t xml:space="preserve">“</w:t>
            </w:r>
            <w:r>
              <w:rPr>
                <w:sz w:val="22"/>
              </w:rPr>
              <w:t xml:space="preserve">Kenitra Plant Operations tracks partial shipments on a whiteboard because the legacy inventory module can’t split a purchase order</w:t>
            </w:r>
            <w:r>
              <w:rPr>
                <w:sz w:val="22"/>
              </w:rPr>
              <w:t xml:space="preserve">”</w:t>
            </w:r>
            <w:r>
              <w:rPr>
                <w:sz w:val="22"/>
              </w:rPr>
              <w:t xml:space="preserve">;</w:t>
            </w:r>
            <w:r>
              <w:rPr>
                <w:sz w:val="22"/>
              </w:rPr>
              <w:t xml:space="preserve"> </w:t>
            </w:r>
            <w:r>
              <w:rPr>
                <w:sz w:val="22"/>
              </w:rPr>
              <w:t xml:space="preserve">“</w:t>
            </w:r>
            <w:r>
              <w:rPr>
                <w:sz w:val="22"/>
              </w:rPr>
              <w:t xml:space="preserve">Settat Plant Operations emails a paper packing slip photo to Casablanca Finance because the two legacy systems don’t share a stock-movement record.</w:t>
            </w:r>
            <w:r>
              <w:rPr>
                <w:sz w:val="22"/>
              </w:rPr>
              <w:t xml:space="preserve">”</w:t>
            </w:r>
          </w:p>
        </w:tc>
        <w:tc>
          <w:tcPr>
            <w:tcW w:type="dxa" w:w="3258"/>
          </w:tcPr>
          <w:p>
            <w:pPr>
              <w:pStyle w:val="Compact"/>
              <w:jc w:val="left"/>
            </w:pPr>
            <w:r>
              <w:rPr>
                <w:sz w:val="22"/>
              </w:rPr>
              <w:t xml:space="preserve">No journi entry yet — findings staged for the business case in Week 5.</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5</w:t>
            </w:r>
          </w:p>
        </w:tc>
        <w:tc>
          <w:tcPr>
            <w:tcW w:type="dxa" w:w="2522"/>
          </w:tcPr>
          <w:p>
            <w:pPr>
              <w:pStyle w:val="Compact"/>
              <w:jc w:val="left"/>
            </w:pPr>
            <w:r>
              <w:rPr>
                <w:bCs/>
                <w:b/>
                <w:sz w:val="22"/>
              </w:rPr>
              <w:t xml:space="preserve">[PM]</w:t>
            </w:r>
            <w:r>
              <w:rPr>
                <w:sz w:val="22"/>
              </w:rPr>
              <w:t xml:space="preserve"> </w:t>
            </w:r>
            <w:r>
              <w:rPr>
                <w:sz w:val="22"/>
              </w:rPr>
              <w:t xml:space="preserve">Pull a month of reconciliation time logs from each site’s finance/operations team (Task 2, Step 1) — type in, per site: Casablanca 62 hours/month; Kenitra 21 hours/month; Settat 19 hours/month, all tied to the three workarounds logged in Week 4.</w:t>
            </w:r>
          </w:p>
        </w:tc>
        <w:tc>
          <w:tcPr>
            <w:tcW w:type="dxa" w:w="2522"/>
          </w:tcPr>
          <w:p>
            <w:pPr>
              <w:pStyle w:val="Compact"/>
              <w:jc w:val="left"/>
            </w:pPr>
            <w:r>
              <w:rPr>
                <w:bCs/>
                <w:b/>
                <w:sz w:val="22"/>
              </w:rPr>
              <w:t xml:space="preserve">[CM]</w:t>
            </w:r>
            <w:r>
              <w:rPr>
                <w:sz w:val="22"/>
              </w:rPr>
              <w:t xml:space="preserve"> </w:t>
            </w:r>
            <w:r>
              <w:rPr>
                <w:sz w:val="22"/>
              </w:rPr>
              <w:t xml:space="preserve">Review the time-log figures against the workaround inventory to confirm each hour figure traces to a specific, named workaround, not a general estimate.</w:t>
            </w:r>
          </w:p>
        </w:tc>
        <w:tc>
          <w:tcPr>
            <w:tcW w:type="dxa" w:w="3258"/>
          </w:tcPr>
          <w:p>
            <w:pPr>
              <w:pStyle w:val="Compact"/>
              <w:jc w:val="left"/>
            </w:pPr>
            <w:r>
              <w:rPr>
                <w:sz w:val="22"/>
              </w:rPr>
              <w:t xml:space="preserve">No direct journi entry — feeds the Main Project business case record (M1 (Hierarchy)) in Week 6.</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6</w:t>
            </w:r>
          </w:p>
        </w:tc>
        <w:tc>
          <w:tcPr>
            <w:tcW w:type="dxa" w:w="2522"/>
          </w:tcPr>
          <w:p>
            <w:pPr>
              <w:pStyle w:val="Compact"/>
              <w:jc w:val="left"/>
            </w:pPr>
            <w:r>
              <w:rPr>
                <w:bCs/>
                <w:b/>
                <w:sz w:val="22"/>
              </w:rPr>
              <w:t xml:space="preserve">[PM]</w:t>
            </w:r>
            <w:r>
              <w:rPr>
                <w:sz w:val="22"/>
              </w:rPr>
              <w:t xml:space="preserve"> </w:t>
            </w:r>
            <w:r>
              <w:rPr>
                <w:sz w:val="22"/>
              </w:rPr>
              <w:t xml:space="preserve">Compute the fully-loaded cost (Task 2, Step 2) — type in:</w:t>
            </w:r>
            <w:r>
              <w:rPr>
                <w:sz w:val="22"/>
              </w:rPr>
              <w:t xml:space="preserve"> </w:t>
            </w:r>
            <w:r>
              <w:rPr>
                <w:sz w:val="22"/>
              </w:rPr>
              <w:t xml:space="preserve">“</w:t>
            </w:r>
            <w:r>
              <w:rPr>
                <w:sz w:val="22"/>
              </w:rPr>
              <w:t xml:space="preserve">102 reconciliation-hours/month across 3 sites at a blended fully-loaded rate of MAD 180/hour = approximately MAD 18,360/month, MAD 220,000/year, attributable to 3 named legacy-system workarounds.</w:t>
            </w:r>
            <w:r>
              <w:rPr>
                <w:sz w:val="22"/>
              </w:rPr>
              <w:t xml:space="preserve">”</w:t>
            </w:r>
            <w:r>
              <w:rPr>
                <w:sz w:val="22"/>
              </w:rPr>
              <w:t xml:space="preserve"> </w:t>
            </w:r>
            <w:r>
              <w:rPr>
                <w:sz w:val="22"/>
              </w:rPr>
              <w:t xml:space="preserve">Attach to the Main Project business case on M1 (Hierarchy).</w:t>
            </w:r>
          </w:p>
        </w:tc>
        <w:tc>
          <w:tcPr>
            <w:tcW w:type="dxa" w:w="2522"/>
          </w:tcPr>
          <w:p>
            <w:pPr>
              <w:pStyle w:val="Compact"/>
              <w:jc w:val="left"/>
            </w:pPr>
            <w:r>
              <w:rPr>
                <w:bCs/>
                <w:b/>
                <w:sz w:val="22"/>
              </w:rPr>
              <w:t xml:space="preserve">[CM]</w:t>
            </w:r>
            <w:r>
              <w:rPr>
                <w:sz w:val="22"/>
              </w:rPr>
              <w:t xml:space="preserve"> </w:t>
            </w:r>
            <w:r>
              <w:rPr>
                <w:sz w:val="22"/>
              </w:rPr>
              <w:t xml:space="preserve">Begin Task 3 (Stakeholder Map): open M4 (Stakeholder Mapping) and start entering cohorts.</w:t>
            </w:r>
          </w:p>
        </w:tc>
        <w:tc>
          <w:tcPr>
            <w:tcW w:type="dxa" w:w="3258"/>
          </w:tcPr>
          <w:p>
            <w:pPr>
              <w:pStyle w:val="Compact"/>
              <w:jc w:val="left"/>
            </w:pPr>
            <w:r>
              <w:rPr>
                <w:sz w:val="22"/>
              </w:rPr>
              <w:t xml:space="preserve">M4 (Stakeholder Mapping) — type in these cohort entries:</w:t>
            </w:r>
            <w:r>
              <w:rPr>
                <w:sz w:val="22"/>
              </w:rPr>
              <w:t xml:space="preserve"> </w:t>
            </w:r>
            <w:r>
              <w:rPr>
                <w:sz w:val="22"/>
              </w:rPr>
              <w:t xml:space="preserve">“</w:t>
            </w:r>
            <w:r>
              <w:rPr>
                <w:sz w:val="22"/>
              </w:rPr>
              <w:t xml:space="preserve">Casablanca Finance — Order-to-Cash &amp; Reconciliation</w:t>
            </w:r>
            <w:r>
              <w:rPr>
                <w:sz w:val="22"/>
              </w:rPr>
              <w:t xml:space="preserve">”</w:t>
            </w:r>
            <w:r>
              <w:rPr>
                <w:sz w:val="22"/>
              </w:rPr>
              <w:t xml:space="preserve"> </w:t>
            </w:r>
            <w:r>
              <w:rPr>
                <w:sz w:val="22"/>
              </w:rPr>
              <w:t xml:space="preserve">(dimension: Process, severity: High);</w:t>
            </w:r>
            <w:r>
              <w:rPr>
                <w:sz w:val="22"/>
              </w:rPr>
              <w:t xml:space="preserve"> </w:t>
            </w:r>
            <w:r>
              <w:rPr>
                <w:sz w:val="22"/>
              </w:rPr>
              <w:t xml:space="preserve">“</w:t>
            </w:r>
            <w:r>
              <w:rPr>
                <w:sz w:val="22"/>
              </w:rPr>
              <w:t xml:space="preserve">Kenitra Plant Operations — Inventory &amp; Shipping</w:t>
            </w:r>
            <w:r>
              <w:rPr>
                <w:sz w:val="22"/>
              </w:rPr>
              <w:t xml:space="preserve">”</w:t>
            </w:r>
            <w:r>
              <w:rPr>
                <w:sz w:val="22"/>
              </w:rPr>
              <w:t xml:space="preserve"> </w:t>
            </w:r>
            <w:r>
              <w:rPr>
                <w:sz w:val="22"/>
              </w:rPr>
              <w:t xml:space="preserve">(dimension: Process, severity: Medium);</w:t>
            </w:r>
            <w:r>
              <w:rPr>
                <w:sz w:val="22"/>
              </w:rPr>
              <w:t xml:space="preserve"> </w:t>
            </w:r>
            <w:r>
              <w:rPr>
                <w:sz w:val="22"/>
              </w:rPr>
              <w:t xml:space="preserve">“</w:t>
            </w:r>
            <w:r>
              <w:rPr>
                <w:sz w:val="22"/>
              </w:rPr>
              <w:t xml:space="preserve">Settat Plant Operations — Inventory &amp; Shipping</w:t>
            </w:r>
            <w:r>
              <w:rPr>
                <w:sz w:val="22"/>
              </w:rPr>
              <w:t xml:space="preserve">”</w:t>
            </w:r>
            <w:r>
              <w:rPr>
                <w:sz w:val="22"/>
              </w:rPr>
              <w:t xml:space="preserve"> </w:t>
            </w:r>
            <w:r>
              <w:rPr>
                <w:sz w:val="22"/>
              </w:rPr>
              <w:t xml:space="preserve">(dimension: Process, severity: Medium);</w:t>
            </w:r>
            <w:r>
              <w:rPr>
                <w:sz w:val="22"/>
              </w:rPr>
              <w:t xml:space="preserve"> </w:t>
            </w:r>
            <w:r>
              <w:rPr>
                <w:sz w:val="22"/>
              </w:rPr>
              <w:t xml:space="preserve">“</w:t>
            </w:r>
            <w:r>
              <w:rPr>
                <w:sz w:val="22"/>
              </w:rPr>
              <w:t xml:space="preserve">Casablanca HQ — Executive &amp; Finance Leadership</w:t>
            </w:r>
            <w:r>
              <w:rPr>
                <w:sz w:val="22"/>
              </w:rPr>
              <w:t xml:space="preserve">”</w:t>
            </w:r>
            <w:r>
              <w:rPr>
                <w:sz w:val="22"/>
              </w:rPr>
              <w:t xml:space="preserve"> </w:t>
            </w:r>
            <w:r>
              <w:rPr>
                <w:sz w:val="22"/>
              </w:rPr>
              <w:t xml:space="preserve">(dimension: Governance, severity: Medium).</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7</w:t>
            </w:r>
          </w:p>
        </w:tc>
        <w:tc>
          <w:tcPr>
            <w:tcW w:type="dxa" w:w="2522"/>
          </w:tcPr>
          <w:p>
            <w:pPr>
              <w:pStyle w:val="Compact"/>
              <w:jc w:val="left"/>
            </w:pPr>
            <w:r>
              <w:rPr>
                <w:bCs/>
                <w:b/>
                <w:sz w:val="22"/>
              </w:rPr>
              <w:t xml:space="preserve">[PM]</w:t>
            </w:r>
            <w:r>
              <w:rPr>
                <w:sz w:val="22"/>
              </w:rPr>
              <w:t xml:space="preserve"> </w:t>
            </w:r>
            <w:r>
              <w:rPr>
                <w:sz w:val="22"/>
              </w:rPr>
              <w:t xml:space="preserve">Review the draft business case and Stakeholder Map with the Steering Committee ahead of the Phase 1 gate.</w:t>
            </w:r>
          </w:p>
        </w:tc>
        <w:tc>
          <w:tcPr>
            <w:tcW w:type="dxa" w:w="2522"/>
          </w:tcPr>
          <w:p>
            <w:pPr>
              <w:pStyle w:val="Compact"/>
              <w:jc w:val="left"/>
            </w:pPr>
            <w:r>
              <w:rPr>
                <w:bCs/>
                <w:b/>
                <w:sz w:val="22"/>
              </w:rPr>
              <w:t xml:space="preserve">[CM]</w:t>
            </w:r>
            <w:r>
              <w:rPr>
                <w:sz w:val="22"/>
              </w:rPr>
              <w:t xml:space="preserve"> </w:t>
            </w:r>
            <w:r>
              <w:rPr>
                <w:sz w:val="22"/>
              </w:rPr>
              <w:t xml:space="preserve">Flag Casablanca Finance and both plants as high-impact (Task 3, Step 2) — confirm the severity ratings entered in Week 6 against Steering Committee feedback; save the finalized Stakeholder Map.</w:t>
            </w:r>
          </w:p>
        </w:tc>
        <w:tc>
          <w:tcPr>
            <w:tcW w:type="dxa" w:w="3258"/>
          </w:tcPr>
          <w:p>
            <w:pPr>
              <w:pStyle w:val="Compact"/>
              <w:jc w:val="left"/>
            </w:pPr>
            <w:r>
              <w:rPr>
                <w:sz w:val="22"/>
              </w:rPr>
              <w:t xml:space="preserve">M4 (Stakeholder Mapping) — update Casablanca Finance’s severity rating from High to Critical after Steering Committee review confirms it carries the deepest workaround exposure.</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8</w:t>
            </w:r>
          </w:p>
        </w:tc>
        <w:tc>
          <w:tcPr>
            <w:tcW w:type="dxa" w:w="2522"/>
          </w:tcPr>
          <w:p>
            <w:pPr>
              <w:pStyle w:val="Compact"/>
              <w:jc w:val="left"/>
            </w:pPr>
            <w:r>
              <w:rPr>
                <w:bCs/>
                <w:b/>
                <w:sz w:val="22"/>
              </w:rPr>
              <w:t xml:space="preserve">[PM]</w:t>
            </w:r>
            <w:r>
              <w:rPr>
                <w:sz w:val="22"/>
              </w:rPr>
              <w:t xml:space="preserve"> </w:t>
            </w:r>
            <w:r>
              <w:rPr>
                <w:sz w:val="22"/>
              </w:rPr>
              <w:t xml:space="preserve">Confirm the Phase 1 gate: business case and Stakeholder Map both signed off.</w:t>
            </w:r>
          </w:p>
        </w:tc>
        <w:tc>
          <w:tcPr>
            <w:tcW w:type="dxa" w:w="2522"/>
          </w:tcPr>
          <w:p>
            <w:pPr>
              <w:pStyle w:val="Compact"/>
              <w:jc w:val="left"/>
            </w:pPr>
            <w:r>
              <w:rPr>
                <w:bCs/>
                <w:b/>
                <w:sz w:val="22"/>
              </w:rPr>
              <w:t xml:space="preserve">[CM]</w:t>
            </w:r>
            <w:r>
              <w:rPr>
                <w:sz w:val="22"/>
              </w:rPr>
              <w:t xml:space="preserve"> </w:t>
            </w:r>
            <w:r>
              <w:rPr>
                <w:sz w:val="22"/>
              </w:rPr>
              <w:t xml:space="preserve">Set Lewin = Unfreeze on M3 (Initiative Registry) with a written justification (Task 4, Step 2) — type in:</w:t>
            </w:r>
            <w:r>
              <w:rPr>
                <w:sz w:val="22"/>
              </w:rPr>
              <w:t xml:space="preserve"> </w:t>
            </w:r>
            <w:r>
              <w:rPr>
                <w:sz w:val="22"/>
              </w:rPr>
              <w:t xml:space="preserve">“</w:t>
            </w:r>
            <w:r>
              <w:rPr>
                <w:sz w:val="22"/>
              </w:rPr>
              <w:t xml:space="preserve">Setting Unfreeze. Three discovery workshops complete across all sites; workaround inventory and cost quantification (approximately MAD 220,000/year) confirm the business case; Stakeholder Map complete with Casablanca Finance flagged Critical. Evidence reviewed with Steering Committee 08 [date]; no dissent recorded.</w:t>
            </w:r>
            <w:r>
              <w:rPr>
                <w:sz w:val="22"/>
              </w:rPr>
              <w:t xml:space="preserve">”</w:t>
            </w:r>
          </w:p>
        </w:tc>
        <w:tc>
          <w:tcPr>
            <w:tcW w:type="dxa" w:w="3258"/>
          </w:tcPr>
          <w:p>
            <w:pPr>
              <w:pStyle w:val="Compact"/>
              <w:jc w:val="left"/>
            </w:pPr>
            <w:r>
              <w:rPr>
                <w:sz w:val="22"/>
              </w:rPr>
              <w:t xml:space="preserve">M3 (Initiative Registry) — Lewin phase field set to Unfreeze, justification note as above.</w:t>
            </w:r>
          </w:p>
        </w:tc>
        <w:tc>
          <w:tcPr>
            <w:tcW w:type="dxa" w:w="1261"/>
          </w:tcPr>
          <w:p>
            <w:pPr>
              <w:pStyle w:val="Compact"/>
              <w:jc w:val="left"/>
            </w:pPr>
            <w:r>
              <w:rPr>
                <w:sz w:val="22"/>
              </w:rPr>
              <w:t xml:space="preserve">—</w:t>
            </w:r>
          </w:p>
        </w:tc>
      </w:tr>
    </w:tbl>
    <w:p>
      <w:pPr>
        <w:pStyle w:val="BodyText"/>
      </w:pPr>
      <w:r>
        <w:rPr>
          <w:bCs/>
          <w:b/>
          <w:sz w:val="25"/>
        </w:rPr>
        <w:t xml:space="preserve">Phase gate (M17 (WBS &amp; Gantt)):</w:t>
      </w:r>
      <w:r>
        <w:rPr>
          <w:sz w:val="25"/>
        </w:rPr>
        <w:t xml:space="preserve"> </w:t>
      </w:r>
      <w:r>
        <w:rPr>
          <w:sz w:val="25"/>
        </w:rPr>
        <w:t xml:space="preserve">Discovery closes with a clean Go once the Stakeholder Map, business case, and Lewin baseline are all in place — the state Part 1’s setup checklist ends at.</w:t>
      </w:r>
    </w:p>
    <w:p>
      <w:pPr>
        <w:pStyle w:val="BodyText"/>
      </w:pPr>
      <w:r>
        <w:rPr>
          <w:bCs/>
          <w:b/>
          <w:sz w:val="25"/>
        </w:rPr>
        <w:t xml:space="preserve">SIPOC.</w:t>
      </w:r>
      <w:r>
        <w:rPr>
          <w:sz w:val="25"/>
        </w:rPr>
        <w:t xml:space="preserve"> </w:t>
      </w:r>
      <w:r>
        <w:rPr>
          <w:sz w:val="25"/>
        </w:rPr>
        <w:t xml:space="preserve">Suppliers: Executive Sponsor (CFO); Functional Process Owners at each site; enterprise IT strategy. · Inputs: Strategic mandate and budget approval; current-state process notes; org chart per site. · Process: this phase’s four Tasks in sequence · Outputs: Approved business case; Stakeholder Map; baseline Lewin reading (Unfreeze). · Customers: Steering Committee; Program Manager; Change Manager.</w:t>
      </w:r>
    </w:p>
    <w:p>
      <w:pPr>
        <w:pStyle w:val="BodyText"/>
      </w:pPr>
      <w:r>
        <w:rPr>
          <w:bCs/>
          <w:b/>
          <w:sz w:val="25"/>
        </w:rPr>
        <w:t xml:space="preserve">RACSI for this phase.</w:t>
      </w:r>
      <w:r>
        <w:rPr>
          <w:sz w:val="25"/>
        </w:rPr>
        <w:t xml:space="preserve"> </w:t>
      </w:r>
      <w:r>
        <w:rPr>
          <w:sz w:val="25"/>
        </w:rPr>
        <w:t xml:space="preserve">R = PM, FPO · A = ES · C = CM, ITL · S = SUP · I = EU</w:t>
      </w:r>
    </w:p>
    <w:p>
      <w:pPr>
        <w:pStyle w:val="BodyText"/>
      </w:pPr>
    </w:p>
    <w:bookmarkEnd w:id="37"/>
    <w:bookmarkStart w:id="38" w:name="phase-2-design-w614"/>
    <w:p>
      <w:pPr>
        <w:pStyle w:val="Heading4"/>
      </w:pPr>
      <w:r>
        <w:rPr>
          <w:b/>
          <w:color w:val="5A8F89"/>
          <w:sz w:val="26"/>
        </w:rPr>
        <w:t xml:space="preserve">Phase 2 — Design (W6–14)</w:t>
      </w:r>
    </w:p>
    <w:p>
      <w:pPr>
        <w:pStyle w:val="FirstParagraph"/>
      </w:pPr>
      <w:r>
        <w:rPr>
          <w:bCs/>
          <w:b/>
          <w:sz w:val="25"/>
        </w:rPr>
        <w:t xml:space="preserve">Framework readings at close:</w:t>
      </w:r>
      <w:r>
        <w:rPr>
          <w:sz w:val="25"/>
        </w:rPr>
        <w:t xml:space="preserve"> </w:t>
      </w:r>
      <w:r>
        <w:rPr>
          <w:sz w:val="25"/>
        </w:rPr>
        <w:t xml:space="preserve">Lewin Unfreeze · ADKAR focus Awareness → Desire · Bridges Ending · Kübler-Ross Denial → Resistance/Anger.</w:t>
      </w:r>
    </w:p>
    <w:p>
      <w:pPr>
        <w:pStyle w:val="BodyText"/>
      </w:pPr>
      <w:r>
        <w:rPr>
          <w:sz w:val="25"/>
        </w:rPr>
        <w:t xml:space="preserve">Design overlaps Discovery’s tail: design principles get drafted and translated into explicit future-state process maps — the direct counterpart to Discovery’s current-state process maps (Phase 1, Week 2) — while the last discovery findings are still landing. The table below breaks the phase into its PM and CM tracks week by week.</w:t>
      </w:r>
    </w:p>
    <w:tbl>
      <w:tblPr>
        <w:tblStyle w:val="Table"/>
        <w:tblW w:type="pct" w:w="5000"/>
        <w:jc w:val="center"/>
        <w:tblLayout w:type="fixed"/>
        <w:tblLook w:firstRow="1" w:lastRow="0" w:firstColumn="0" w:lastColumn="0" w:noHBand="0" w:noVBand="0" w:val="0020"/>
      </w:tblPr>
      <w:tblGrid>
        <w:gridCol w:w="600760"/>
        <w:gridCol w:w="1602028"/>
        <w:gridCol w:w="1602028"/>
        <w:gridCol w:w="2069287"/>
        <w:gridCol w:w="801014"/>
      </w:tblGrid>
      <w:tr>
        <w:trPr>
          <w:tblHeader w:val="true"/>
        </w:trPr>
        <w:tc>
          <w:tcPr>
            <w:tcW w:type="dxa" w:w="946"/>
            <w:shd w:val="clear" w:fill="1F4B45"/>
          </w:tcPr>
          <w:p>
            <w:pPr>
              <w:pStyle w:val="Compact"/>
              <w:jc w:val="left"/>
            </w:pPr>
            <w:r>
              <w:rPr>
                <w:b/>
                <w:color w:val="FFFFFF"/>
                <w:sz w:val="22"/>
              </w:rPr>
              <w:t xml:space="preserve">Week</w:t>
            </w:r>
          </w:p>
        </w:tc>
        <w:tc>
          <w:tcPr>
            <w:tcW w:type="dxa" w:w="2522"/>
            <w:shd w:val="clear" w:fill="1F4B45"/>
          </w:tcPr>
          <w:p>
            <w:pPr>
              <w:pStyle w:val="Compact"/>
              <w:jc w:val="left"/>
            </w:pPr>
            <w:r>
              <w:rPr>
                <w:b/>
                <w:color w:val="FFFFFF"/>
                <w:sz w:val="22"/>
              </w:rPr>
              <w:t xml:space="preserve">Project Manager (PM) Track</w:t>
            </w:r>
          </w:p>
        </w:tc>
        <w:tc>
          <w:tcPr>
            <w:tcW w:type="dxa" w:w="2522"/>
            <w:shd w:val="clear" w:fill="1F4B45"/>
          </w:tcPr>
          <w:p>
            <w:pPr>
              <w:pStyle w:val="Compact"/>
              <w:jc w:val="left"/>
            </w:pPr>
            <w:r>
              <w:rPr>
                <w:b/>
                <w:color w:val="FFFFFF"/>
                <w:sz w:val="22"/>
              </w:rPr>
              <w:t xml:space="preserve">Change Manager (CM) Track</w:t>
            </w:r>
          </w:p>
        </w:tc>
        <w:tc>
          <w:tcPr>
            <w:tcW w:type="dxa" w:w="3258"/>
            <w:shd w:val="clear" w:fill="1F4B45"/>
          </w:tcPr>
          <w:p>
            <w:pPr>
              <w:pStyle w:val="Compact"/>
              <w:jc w:val="left"/>
            </w:pPr>
            <w:r>
              <w:rPr>
                <w:b/>
                <w:color w:val="FFFFFF"/>
                <w:sz w:val="22"/>
              </w:rPr>
              <w:t xml:space="preserve">journi Entry — What to Type In</w:t>
            </w:r>
          </w:p>
        </w:tc>
        <w:tc>
          <w:tcPr>
            <w:tcW w:type="dxa" w:w="1261"/>
            <w:shd w:val="clear" w:fill="1F4B45"/>
          </w:tcPr>
          <w:p>
            <w:pPr>
              <w:pStyle w:val="Compact"/>
              <w:jc w:val="left"/>
            </w:pPr>
            <w:r>
              <w:rPr>
                <w:b/>
                <w:color w:val="FFFFFF"/>
                <w:sz w:val="22"/>
              </w:rPr>
              <w:t xml:space="preserve">Exception</w:t>
            </w:r>
          </w:p>
        </w:tc>
      </w:tr>
      <w:tr>
        <w:tc>
          <w:tcPr>
            <w:tcW w:type="dxa" w:w="946"/>
          </w:tcPr>
          <w:p>
            <w:pPr>
              <w:pStyle w:val="Compact"/>
              <w:jc w:val="left"/>
            </w:pPr>
            <w:r>
              <w:rPr>
                <w:bCs/>
                <w:b/>
                <w:sz w:val="22"/>
              </w:rPr>
              <w:t xml:space="preserve">Week 6</w:t>
            </w:r>
          </w:p>
        </w:tc>
        <w:tc>
          <w:tcPr>
            <w:tcW w:type="dxa" w:w="2522"/>
          </w:tcPr>
          <w:p>
            <w:pPr>
              <w:pStyle w:val="Compact"/>
              <w:jc w:val="left"/>
            </w:pPr>
            <w:r>
              <w:rPr>
                <w:bCs/>
                <w:b/>
                <w:sz w:val="22"/>
              </w:rPr>
              <w:t xml:space="preserve">[PM]</w:t>
            </w:r>
            <w:r>
              <w:rPr>
                <w:sz w:val="22"/>
              </w:rPr>
              <w:t xml:space="preserve"> </w:t>
            </w:r>
            <w:r>
              <w:rPr>
                <w:sz w:val="22"/>
              </w:rPr>
              <w:t xml:space="preserve">Facilitate the design-principles workshop with the ITL function and Functional Process Owners — draft 5–8 non-negotiable constraints (Task 1, Step 1).</w:t>
            </w:r>
          </w:p>
        </w:tc>
        <w:tc>
          <w:tcPr>
            <w:tcW w:type="dxa" w:w="2522"/>
          </w:tcPr>
          <w:p>
            <w:pPr>
              <w:pStyle w:val="Compact"/>
              <w:jc w:val="left"/>
            </w:pPr>
            <w:r>
              <w:rPr>
                <w:bCs/>
                <w:b/>
                <w:sz w:val="22"/>
              </w:rPr>
              <w:t xml:space="preserve">[CM]</w:t>
            </w:r>
            <w:r>
              <w:rPr>
                <w:sz w:val="22"/>
              </w:rPr>
              <w:t xml:space="preserve"> </w:t>
            </w:r>
            <w:r>
              <w:rPr>
                <w:sz w:val="22"/>
              </w:rPr>
              <w:t xml:space="preserve">Attend the design-principles workshop as a Change Management voice; flag any principle likely to conflict with an already-logged workaround from Phase 1.</w:t>
            </w:r>
          </w:p>
        </w:tc>
        <w:tc>
          <w:tcPr>
            <w:tcW w:type="dxa" w:w="3258"/>
          </w:tcPr>
          <w:p>
            <w:pPr>
              <w:pStyle w:val="Compact"/>
              <w:jc w:val="left"/>
            </w:pPr>
            <w:r>
              <w:rPr>
                <w:sz w:val="22"/>
              </w:rPr>
              <w:t xml:space="preserve">No journi entry yet — design principles are drafted outside journi and referenced by name in later M17 (WBS &amp; Gantt) task notes.</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7</w:t>
            </w:r>
          </w:p>
        </w:tc>
        <w:tc>
          <w:tcPr>
            <w:tcW w:type="dxa" w:w="2522"/>
          </w:tcPr>
          <w:p>
            <w:pPr>
              <w:pStyle w:val="Compact"/>
              <w:jc w:val="left"/>
            </w:pPr>
            <w:r>
              <w:rPr>
                <w:bCs/>
                <w:b/>
                <w:sz w:val="22"/>
              </w:rPr>
              <w:t xml:space="preserve">[PM]</w:t>
            </w:r>
            <w:r>
              <w:rPr>
                <w:sz w:val="22"/>
              </w:rPr>
              <w:t xml:space="preserve"> </w:t>
            </w:r>
            <w:r>
              <w:rPr>
                <w:sz w:val="22"/>
              </w:rPr>
              <w:t xml:space="preserve">Consolidate the design principles into a single written list, then translate them into explicit future-state process maps for Order Management, Inventory, and Finance, each map annotated against the specific principle it satisfies (Task 1, Step 2) — type in, for example:</w:t>
            </w:r>
            <w:r>
              <w:rPr>
                <w:sz w:val="22"/>
              </w:rPr>
              <w:t xml:space="preserve"> </w:t>
            </w:r>
            <w:r>
              <w:rPr>
                <w:sz w:val="22"/>
              </w:rPr>
              <w:t xml:space="preserve">“</w:t>
            </w:r>
            <w:r>
              <w:rPr>
                <w:sz w:val="22"/>
              </w:rPr>
              <w:t xml:space="preserve">Principle 1: No duplicate approvals across sites</w:t>
            </w:r>
            <w:r>
              <w:rPr>
                <w:sz w:val="22"/>
              </w:rPr>
              <w:t xml:space="preserve">”</w:t>
            </w:r>
            <w:r>
              <w:rPr>
                <w:sz w:val="22"/>
              </w:rPr>
              <w:t xml:space="preserve">;</w:t>
            </w:r>
            <w:r>
              <w:rPr>
                <w:sz w:val="22"/>
              </w:rPr>
              <w:t xml:space="preserve"> </w:t>
            </w:r>
            <w:r>
              <w:rPr>
                <w:sz w:val="22"/>
              </w:rPr>
              <w:t xml:space="preserve">“</w:t>
            </w:r>
            <w:r>
              <w:rPr>
                <w:sz w:val="22"/>
              </w:rPr>
              <w:t xml:space="preserve">Principle 2: One stock-movement record shared by Inventory and Finance</w:t>
            </w:r>
            <w:r>
              <w:rPr>
                <w:sz w:val="22"/>
              </w:rPr>
              <w:t xml:space="preserve">”</w:t>
            </w:r>
            <w:r>
              <w:rPr>
                <w:sz w:val="22"/>
              </w:rPr>
              <w:t xml:space="preserve">;</w:t>
            </w:r>
            <w:r>
              <w:rPr>
                <w:sz w:val="22"/>
              </w:rPr>
              <w:t xml:space="preserve"> </w:t>
            </w:r>
            <w:r>
              <w:rPr>
                <w:sz w:val="22"/>
              </w:rPr>
              <w:t xml:space="preserve">“</w:t>
            </w:r>
            <w:r>
              <w:rPr>
                <w:sz w:val="22"/>
              </w:rPr>
              <w:t xml:space="preserve">Principle 3: Every exception path must be visible to a supervisor, not hidden in a workaround.</w:t>
            </w:r>
            <w:r>
              <w:rPr>
                <w:sz w:val="22"/>
              </w:rPr>
              <w:t xml:space="preserve">”</w:t>
            </w:r>
            <w:r>
              <w:rPr>
                <w:sz w:val="22"/>
              </w:rPr>
              <w:t xml:space="preserve"> </w:t>
            </w:r>
            <w:r>
              <w:rPr>
                <w:sz w:val="22"/>
              </w:rPr>
              <w:t xml:space="preserve">Future-state map note:</w:t>
            </w:r>
            <w:r>
              <w:rPr>
                <w:sz w:val="22"/>
              </w:rPr>
              <w:t xml:space="preserve"> </w:t>
            </w:r>
            <w:r>
              <w:rPr>
                <w:sz w:val="22"/>
              </w:rPr>
              <w:t xml:space="preserve">“</w:t>
            </w:r>
            <w:r>
              <w:rPr>
                <w:sz w:val="22"/>
              </w:rPr>
              <w:t xml:space="preserve">Order-to-Cash future-state map — one shared stock-movement record (Principle 2) replaces Casablanca Finance’s shadow spreadsheet and the Kenitra/Settat whiteboard and email-photo workarounds; every exception routes to a visible supervisor queue (Principle 3), not a side channel.</w:t>
            </w:r>
            <w:r>
              <w:rPr>
                <w:sz w:val="22"/>
              </w:rPr>
              <w:t xml:space="preserve">”</w:t>
            </w:r>
          </w:p>
        </w:tc>
        <w:tc>
          <w:tcPr>
            <w:tcW w:type="dxa" w:w="2522"/>
          </w:tcPr>
          <w:p>
            <w:pPr>
              <w:pStyle w:val="Compact"/>
              <w:jc w:val="left"/>
            </w:pPr>
            <w:r>
              <w:rPr>
                <w:bCs/>
                <w:b/>
                <w:sz w:val="22"/>
              </w:rPr>
              <w:t xml:space="preserve">[CM]</w:t>
            </w:r>
            <w:r>
              <w:rPr>
                <w:sz w:val="22"/>
              </w:rPr>
              <w:t xml:space="preserve"> </w:t>
            </w:r>
            <w:r>
              <w:rPr>
                <w:sz w:val="22"/>
              </w:rPr>
              <w:t xml:space="preserve">Cross-check the consolidated principles and future-state process maps against Phase 1’s workaround inventory — confirm the Order-to-Cash map’s Principle 2 routing directly retires the Kenitra/Settat whiteboard and email-photo workarounds, item by item.</w:t>
            </w:r>
          </w:p>
        </w:tc>
        <w:tc>
          <w:tcPr>
            <w:tcW w:type="dxa" w:w="3258"/>
          </w:tcPr>
          <w:p>
            <w:pPr>
              <w:pStyle w:val="Compact"/>
              <w:jc w:val="left"/>
            </w:pPr>
            <w:r>
              <w:rPr>
                <w:sz w:val="22"/>
              </w:rPr>
              <w:t xml:space="preserve">M17 (WBS &amp; Gantt) — task</w:t>
            </w:r>
            <w:r>
              <w:rPr>
                <w:sz w:val="22"/>
              </w:rPr>
              <w:t xml:space="preserve"> </w:t>
            </w:r>
            <w:r>
              <w:rPr>
                <w:sz w:val="22"/>
              </w:rPr>
              <w:t xml:space="preserve">“</w:t>
            </w:r>
            <w:r>
              <w:rPr>
                <w:sz w:val="22"/>
              </w:rPr>
              <w:t xml:space="preserve">Future-State Process Mapping (Order Management, Inventory, Finance)</w:t>
            </w:r>
            <w:r>
              <w:rPr>
                <w:sz w:val="22"/>
              </w:rPr>
              <w:t xml:space="preserve">”</w:t>
            </w:r>
            <w:r>
              <w:rPr>
                <w:sz w:val="22"/>
              </w:rPr>
              <w:t xml:space="preserve"> </w:t>
            </w:r>
            <w:r>
              <w:rPr>
                <w:sz w:val="22"/>
              </w:rPr>
              <w:t xml:space="preserve">logged; artifact reference: three future-state process maps, each cross-referenced to the design principle(s) it implements and the specific Phase 1 workaround(s) it retires.</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8</w:t>
            </w:r>
          </w:p>
        </w:tc>
        <w:tc>
          <w:tcPr>
            <w:tcW w:type="dxa" w:w="2522"/>
          </w:tcPr>
          <w:p>
            <w:pPr>
              <w:pStyle w:val="Compact"/>
              <w:jc w:val="left"/>
            </w:pPr>
            <w:r>
              <w:rPr>
                <w:bCs/>
                <w:b/>
                <w:sz w:val="22"/>
              </w:rPr>
              <w:t xml:space="preserve">[PM]</w:t>
            </w:r>
            <w:r>
              <w:rPr>
                <w:sz w:val="22"/>
              </w:rPr>
              <w:t xml:space="preserve"> </w:t>
            </w:r>
            <w:r>
              <w:rPr>
                <w:sz w:val="22"/>
              </w:rPr>
              <w:t xml:space="preserve">Circulate the design principles and future-state process maps together for Steering Committee review (Task 1, Step 3); collect sign-off on both.</w:t>
            </w:r>
          </w:p>
        </w:tc>
        <w:tc>
          <w:tcPr>
            <w:tcW w:type="dxa" w:w="2522"/>
          </w:tcPr>
          <w:p>
            <w:pPr>
              <w:pStyle w:val="Compact"/>
              <w:jc w:val="left"/>
            </w:pPr>
            <w:r>
              <w:rPr>
                <w:bCs/>
                <w:b/>
                <w:sz w:val="22"/>
              </w:rPr>
              <w:t xml:space="preserve">[CM]</w:t>
            </w:r>
            <w:r>
              <w:rPr>
                <w:sz w:val="22"/>
              </w:rPr>
              <w:t xml:space="preserve"> </w:t>
            </w:r>
            <w:r>
              <w:rPr>
                <w:sz w:val="22"/>
              </w:rPr>
              <w:t xml:space="preserve">Prepare the Week 9 kickoff town hall script in parallel, so communications can launch the moment principles and maps are signed off.</w:t>
            </w:r>
          </w:p>
        </w:tc>
        <w:tc>
          <w:tcPr>
            <w:tcW w:type="dxa" w:w="3258"/>
          </w:tcPr>
          <w:p>
            <w:pPr>
              <w:pStyle w:val="Compact"/>
              <w:jc w:val="left"/>
            </w:pPr>
            <w:r>
              <w:rPr>
                <w:sz w:val="22"/>
              </w:rPr>
              <w:t xml:space="preserve">No journi entry yet — Steering Committee sign-off recorded outside journi, referenced in the Week 9 M8 (Communications) entry.</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9</w:t>
            </w:r>
          </w:p>
        </w:tc>
        <w:tc>
          <w:tcPr>
            <w:tcW w:type="dxa" w:w="2522"/>
          </w:tcPr>
          <w:p>
            <w:pPr>
              <w:pStyle w:val="Compact"/>
              <w:jc w:val="left"/>
            </w:pPr>
            <w:r>
              <w:rPr>
                <w:bCs/>
                <w:b/>
                <w:sz w:val="22"/>
              </w:rPr>
              <w:t xml:space="preserve">[PM]</w:t>
            </w:r>
            <w:r>
              <w:rPr>
                <w:sz w:val="22"/>
              </w:rPr>
              <w:t xml:space="preserve"> </w:t>
            </w:r>
            <w:r>
              <w:rPr>
                <w:sz w:val="22"/>
              </w:rPr>
              <w:t xml:space="preserve">Confirm design principles signed off; hand off to Build’s configuration sprint planning.</w:t>
            </w:r>
          </w:p>
        </w:tc>
        <w:tc>
          <w:tcPr>
            <w:tcW w:type="dxa" w:w="2522"/>
          </w:tcPr>
          <w:p>
            <w:pPr>
              <w:pStyle w:val="Compact"/>
              <w:jc w:val="left"/>
            </w:pPr>
            <w:r>
              <w:rPr>
                <w:bCs/>
                <w:b/>
                <w:sz w:val="22"/>
              </w:rPr>
              <w:t xml:space="preserve">[CM]</w:t>
            </w:r>
            <w:r>
              <w:rPr>
                <w:sz w:val="22"/>
              </w:rPr>
              <w:t xml:space="preserve"> </w:t>
            </w:r>
            <w:r>
              <w:rPr>
                <w:sz w:val="22"/>
              </w:rPr>
              <w:t xml:space="preserve">Deliver the kickoff town hall at all three sites (Task 2, Step 1) — log the entry on M8 (Communications).</w:t>
            </w:r>
          </w:p>
        </w:tc>
        <w:tc>
          <w:tcPr>
            <w:tcW w:type="dxa" w:w="3258"/>
          </w:tcPr>
          <w:p>
            <w:pPr>
              <w:pStyle w:val="Compact"/>
              <w:jc w:val="left"/>
            </w:pPr>
            <w:r>
              <w:rPr>
                <w:sz w:val="22"/>
              </w:rPr>
              <w:t xml:space="preserve">M8 (Communications) — type in: Message</w:t>
            </w:r>
            <w:r>
              <w:rPr>
                <w:sz w:val="22"/>
              </w:rPr>
              <w:t xml:space="preserve"> </w:t>
            </w:r>
            <w:r>
              <w:rPr>
                <w:sz w:val="22"/>
              </w:rPr>
              <w:t xml:space="preserve">“</w:t>
            </w:r>
            <w:r>
              <w:rPr>
                <w:sz w:val="22"/>
              </w:rPr>
              <w:t xml:space="preserve">Why we’re changing: three disconnected systems cost Bouregreg Group approximately MAD 220,000/year in manual work. What’s changing: one unified platform, live in 34 weeks. What we need from you: attend your site’s training when scheduled.</w:t>
            </w:r>
            <w:r>
              <w:rPr>
                <w:sz w:val="22"/>
              </w:rPr>
              <w:t xml:space="preserve">”</w:t>
            </w:r>
            <w:r>
              <w:rPr>
                <w:sz w:val="22"/>
              </w:rPr>
              <w:t xml:space="preserve"> </w:t>
            </w:r>
            <w:r>
              <w:rPr>
                <w:sz w:val="22"/>
              </w:rPr>
              <w:t xml:space="preserve">· Audience: All 3,400 staff · Channel: In-person town hall + email follow-up · Timing: Week 9, one session per site · Status: Sent.</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10</w:t>
            </w:r>
          </w:p>
        </w:tc>
        <w:tc>
          <w:tcPr>
            <w:tcW w:type="dxa" w:w="2522"/>
          </w:tcPr>
          <w:p>
            <w:pPr>
              <w:pStyle w:val="Compact"/>
              <w:jc w:val="left"/>
            </w:pPr>
            <w:r>
              <w:rPr>
                <w:bCs/>
                <w:b/>
                <w:sz w:val="22"/>
              </w:rPr>
              <w:t xml:space="preserve">[PM]</w:t>
            </w:r>
            <w:r>
              <w:rPr>
                <w:sz w:val="22"/>
              </w:rPr>
              <w:t xml:space="preserve"> </w:t>
            </w:r>
            <w:r>
              <w:rPr>
                <w:sz w:val="22"/>
              </w:rPr>
              <w:t xml:space="preserve">Monitor design-principle-related questions surfacing in the FAQ channel; route any scope question back to the Steering Committee.</w:t>
            </w:r>
          </w:p>
        </w:tc>
        <w:tc>
          <w:tcPr>
            <w:tcW w:type="dxa" w:w="2522"/>
          </w:tcPr>
          <w:p>
            <w:pPr>
              <w:pStyle w:val="Compact"/>
              <w:jc w:val="left"/>
            </w:pPr>
            <w:r>
              <w:rPr>
                <w:bCs/>
                <w:b/>
                <w:sz w:val="22"/>
              </w:rPr>
              <w:t xml:space="preserve">[CM]</w:t>
            </w:r>
            <w:r>
              <w:rPr>
                <w:sz w:val="22"/>
              </w:rPr>
              <w:t xml:space="preserve"> </w:t>
            </w:r>
            <w:r>
              <w:rPr>
                <w:sz w:val="22"/>
              </w:rPr>
              <w:t xml:space="preserve">Open and monitor the FAQ channel (Task 2, Step 2) — type in and answer, for example: Q:</w:t>
            </w:r>
            <w:r>
              <w:rPr>
                <w:sz w:val="22"/>
              </w:rPr>
              <w:t xml:space="preserve"> </w:t>
            </w:r>
            <w:r>
              <w:rPr>
                <w:sz w:val="22"/>
              </w:rPr>
              <w:t xml:space="preserve">“</w:t>
            </w:r>
            <w:r>
              <w:rPr>
                <w:sz w:val="22"/>
              </w:rPr>
              <w:t xml:space="preserve">Will Kenitra lose headcount?</w:t>
            </w:r>
            <w:r>
              <w:rPr>
                <w:sz w:val="22"/>
              </w:rPr>
              <w:t xml:space="preserve">”</w:t>
            </w:r>
            <w:r>
              <w:rPr>
                <w:sz w:val="22"/>
              </w:rPr>
              <w:t xml:space="preserve"> </w:t>
            </w:r>
            <w:r>
              <w:rPr>
                <w:sz w:val="22"/>
              </w:rPr>
              <w:t xml:space="preserve">A:</w:t>
            </w:r>
            <w:r>
              <w:rPr>
                <w:sz w:val="22"/>
              </w:rPr>
              <w:t xml:space="preserve"> </w:t>
            </w:r>
            <w:r>
              <w:rPr>
                <w:sz w:val="22"/>
              </w:rPr>
              <w:t xml:space="preserve">“</w:t>
            </w:r>
            <w:r>
              <w:rPr>
                <w:sz w:val="22"/>
              </w:rPr>
              <w:t xml:space="preserve">No headcount reductions are planned for this program.</w:t>
            </w:r>
            <w:r>
              <w:rPr>
                <w:sz w:val="22"/>
              </w:rPr>
              <w:t xml:space="preserve">”</w:t>
            </w:r>
            <w:r>
              <w:rPr>
                <w:sz w:val="22"/>
              </w:rPr>
              <w:t xml:space="preserve"> </w:t>
            </w:r>
            <w:r>
              <w:rPr>
                <w:sz w:val="22"/>
              </w:rPr>
              <w:t xml:space="preserve">Q:</w:t>
            </w:r>
            <w:r>
              <w:rPr>
                <w:sz w:val="22"/>
              </w:rPr>
              <w:t xml:space="preserve"> </w:t>
            </w:r>
            <w:r>
              <w:rPr>
                <w:sz w:val="22"/>
              </w:rPr>
              <w:t xml:space="preserve">“</w:t>
            </w:r>
            <w:r>
              <w:rPr>
                <w:sz w:val="22"/>
              </w:rPr>
              <w:t xml:space="preserve">What happens to my login on the old system?</w:t>
            </w:r>
            <w:r>
              <w:rPr>
                <w:sz w:val="22"/>
              </w:rPr>
              <w:t xml:space="preserve">”</w:t>
            </w:r>
            <w:r>
              <w:rPr>
                <w:sz w:val="22"/>
              </w:rPr>
              <w:t xml:space="preserve"> </w:t>
            </w:r>
            <w:r>
              <w:rPr>
                <w:sz w:val="22"/>
              </w:rPr>
              <w:t xml:space="preserve">A:</w:t>
            </w:r>
            <w:r>
              <w:rPr>
                <w:sz w:val="22"/>
              </w:rPr>
              <w:t xml:space="preserve"> </w:t>
            </w:r>
            <w:r>
              <w:rPr>
                <w:sz w:val="22"/>
              </w:rPr>
              <w:t xml:space="preserve">“</w:t>
            </w:r>
            <w:r>
              <w:rPr>
                <w:sz w:val="22"/>
              </w:rPr>
              <w:t xml:space="preserve">Legacy access is retired only after your site’s go-live and a two-week overlap period.</w:t>
            </w:r>
            <w:r>
              <w:rPr>
                <w:sz w:val="22"/>
              </w:rPr>
              <w:t xml:space="preserve">”</w:t>
            </w:r>
          </w:p>
        </w:tc>
        <w:tc>
          <w:tcPr>
            <w:tcW w:type="dxa" w:w="3258"/>
          </w:tcPr>
          <w:p>
            <w:pPr>
              <w:pStyle w:val="Compact"/>
              <w:jc w:val="left"/>
            </w:pPr>
            <w:r>
              <w:rPr>
                <w:sz w:val="22"/>
              </w:rPr>
              <w:t xml:space="preserve">M8 (Communications) — add a second entry: Message</w:t>
            </w:r>
            <w:r>
              <w:rPr>
                <w:sz w:val="22"/>
              </w:rPr>
              <w:t xml:space="preserve"> </w:t>
            </w:r>
            <w:r>
              <w:rPr>
                <w:sz w:val="22"/>
              </w:rPr>
              <w:t xml:space="preserve">“</w:t>
            </w:r>
            <w:r>
              <w:rPr>
                <w:sz w:val="22"/>
              </w:rPr>
              <w:t xml:space="preserve">FAQ digest — Week 10</w:t>
            </w:r>
            <w:r>
              <w:rPr>
                <w:sz w:val="22"/>
              </w:rPr>
              <w:t xml:space="preserve">”</w:t>
            </w:r>
            <w:r>
              <w:rPr>
                <w:sz w:val="22"/>
              </w:rPr>
              <w:t xml:space="preserve"> </w:t>
            </w:r>
            <w:r>
              <w:rPr>
                <w:sz w:val="22"/>
              </w:rPr>
              <w:t xml:space="preserve">· Audience: All 3,400 staff · Channel: Email + site noticeboards · Timing: Week 10 · Status: Sent.</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11</w:t>
            </w:r>
          </w:p>
        </w:tc>
        <w:tc>
          <w:tcPr>
            <w:tcW w:type="dxa" w:w="2522"/>
          </w:tcPr>
          <w:p>
            <w:pPr>
              <w:pStyle w:val="Compact"/>
              <w:jc w:val="left"/>
            </w:pPr>
            <w:r>
              <w:rPr>
                <w:bCs/>
                <w:b/>
                <w:sz w:val="22"/>
              </w:rPr>
              <w:t xml:space="preserve">[PM]</w:t>
            </w:r>
            <w:r>
              <w:rPr>
                <w:sz w:val="22"/>
              </w:rPr>
              <w:t xml:space="preserve"> </w:t>
            </w:r>
            <w:r>
              <w:rPr>
                <w:sz w:val="22"/>
              </w:rPr>
              <w:t xml:space="preserve">Begin early Build-phase configuration-environment setup in parallel, ahead of Phase 3’s formal start in Week 12.</w:t>
            </w:r>
          </w:p>
        </w:tc>
        <w:tc>
          <w:tcPr>
            <w:tcW w:type="dxa" w:w="2522"/>
          </w:tcPr>
          <w:p>
            <w:pPr>
              <w:pStyle w:val="Compact"/>
              <w:jc w:val="left"/>
            </w:pPr>
            <w:r>
              <w:rPr>
                <w:bCs/>
                <w:b/>
                <w:sz w:val="22"/>
              </w:rPr>
              <w:t xml:space="preserve">[CM]</w:t>
            </w:r>
            <w:r>
              <w:rPr>
                <w:sz w:val="22"/>
              </w:rPr>
              <w:t xml:space="preserve"> </w:t>
            </w:r>
            <w:r>
              <w:rPr>
                <w:sz w:val="22"/>
              </w:rPr>
              <w:t xml:space="preserve">Run the facilitated baseline Awareness pulse per cohort (Task 3, Step 1).</w:t>
            </w:r>
          </w:p>
        </w:tc>
        <w:tc>
          <w:tcPr>
            <w:tcW w:type="dxa" w:w="3258"/>
          </w:tcPr>
          <w:p>
            <w:pPr>
              <w:pStyle w:val="Compact"/>
              <w:jc w:val="left"/>
            </w:pPr>
            <w:r>
              <w:rPr>
                <w:sz w:val="22"/>
              </w:rPr>
              <w:t xml:space="preserve">M5 (ADKAR Engine) — type in Awareness scores: Casablanca Finance = 3 (</w:t>
            </w:r>
            <w:r>
              <w:rPr>
                <w:sz w:val="22"/>
              </w:rPr>
              <w:t xml:space="preserve">“</w:t>
            </w:r>
            <w:r>
              <w:rPr>
                <w:sz w:val="22"/>
              </w:rPr>
              <w:t xml:space="preserve">most staff attended the town hall and asked FAQ questions</w:t>
            </w:r>
            <w:r>
              <w:rPr>
                <w:sz w:val="22"/>
              </w:rPr>
              <w:t xml:space="preserve">”</w:t>
            </w:r>
            <w:r>
              <w:rPr>
                <w:sz w:val="22"/>
              </w:rPr>
              <w:t xml:space="preserve">); Kenitra Plant Operations = 2 (</w:t>
            </w:r>
            <w:r>
              <w:rPr>
                <w:sz w:val="22"/>
              </w:rPr>
              <w:t xml:space="preserve">“</w:t>
            </w:r>
            <w:r>
              <w:rPr>
                <w:sz w:val="22"/>
              </w:rPr>
              <w:t xml:space="preserve">about half the shift attended; night shift missed it</w:t>
            </w:r>
            <w:r>
              <w:rPr>
                <w:sz w:val="22"/>
              </w:rPr>
              <w:t xml:space="preserve">”</w:t>
            </w:r>
            <w:r>
              <w:rPr>
                <w:sz w:val="22"/>
              </w:rPr>
              <w:t xml:space="preserve">); Settat Plant Operations = 2 (</w:t>
            </w:r>
            <w:r>
              <w:rPr>
                <w:sz w:val="22"/>
              </w:rPr>
              <w:t xml:space="preserve">“</w:t>
            </w:r>
            <w:r>
              <w:rPr>
                <w:sz w:val="22"/>
              </w:rPr>
              <w:t xml:space="preserve">same night-shift gap as Kenitra</w:t>
            </w:r>
            <w:r>
              <w:rPr>
                <w:sz w:val="22"/>
              </w:rPr>
              <w:t xml:space="preserve">”</w:t>
            </w:r>
            <w:r>
              <w:rPr>
                <w:sz w:val="22"/>
              </w:rPr>
              <w:t xml:space="preserve">); Casablanca HQ Leadership = 4.</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12</w:t>
            </w:r>
          </w:p>
        </w:tc>
        <w:tc>
          <w:tcPr>
            <w:tcW w:type="dxa" w:w="2522"/>
          </w:tcPr>
          <w:p>
            <w:pPr>
              <w:pStyle w:val="Compact"/>
              <w:jc w:val="left"/>
            </w:pPr>
            <w:r>
              <w:rPr>
                <w:bCs/>
                <w:b/>
                <w:sz w:val="22"/>
              </w:rPr>
              <w:t xml:space="preserve">[PM]</w:t>
            </w:r>
            <w:r>
              <w:rPr>
                <w:sz w:val="22"/>
              </w:rPr>
              <w:t xml:space="preserve"> </w:t>
            </w:r>
            <w:r>
              <w:rPr>
                <w:sz w:val="22"/>
              </w:rPr>
              <w:t xml:space="preserve">Kick off Build’s configuration environment stand-up (Phase 3, Task 1) — see Phase 3 below.</w:t>
            </w:r>
          </w:p>
        </w:tc>
        <w:tc>
          <w:tcPr>
            <w:tcW w:type="dxa" w:w="2522"/>
          </w:tcPr>
          <w:p>
            <w:pPr>
              <w:pStyle w:val="Compact"/>
              <w:jc w:val="left"/>
            </w:pPr>
            <w:r>
              <w:rPr>
                <w:bCs/>
                <w:b/>
                <w:sz w:val="22"/>
              </w:rPr>
              <w:t xml:space="preserve">[CM]</w:t>
            </w:r>
            <w:r>
              <w:rPr>
                <w:sz w:val="22"/>
              </w:rPr>
              <w:t xml:space="preserve"> </w:t>
            </w:r>
            <w:r>
              <w:rPr>
                <w:sz w:val="22"/>
              </w:rPr>
              <w:t xml:space="preserve">Log barrier-reason notes for the two Awareness scores of 2 (Task 3, Step 2) — type in:</w:t>
            </w:r>
            <w:r>
              <w:rPr>
                <w:sz w:val="22"/>
              </w:rPr>
              <w:t xml:space="preserve"> </w:t>
            </w:r>
            <w:r>
              <w:rPr>
                <w:sz w:val="22"/>
              </w:rPr>
              <w:t xml:space="preserve">“</w:t>
            </w:r>
            <w:r>
              <w:rPr>
                <w:sz w:val="22"/>
              </w:rPr>
              <w:t xml:space="preserve">Kenitra Plant Operations, Awareness = 2. Barrier reason: night shift (approx. 40% of the plant-floor cohort) did not attend the Week 9 town hall or receive a make-up session. Auto-escalated.</w:t>
            </w:r>
            <w:r>
              <w:rPr>
                <w:sz w:val="22"/>
              </w:rPr>
              <w:t xml:space="preserve">”</w:t>
            </w:r>
            <w:r>
              <w:rPr>
                <w:sz w:val="22"/>
              </w:rPr>
              <w:t xml:space="preserve"> </w:t>
            </w:r>
            <w:r>
              <w:rPr>
                <w:sz w:val="22"/>
              </w:rPr>
              <w:t xml:space="preserve">Identical note logged for Settat Plant Operations.</w:t>
            </w:r>
          </w:p>
        </w:tc>
        <w:tc>
          <w:tcPr>
            <w:tcW w:type="dxa" w:w="3258"/>
          </w:tcPr>
          <w:p>
            <w:pPr>
              <w:pStyle w:val="Compact"/>
              <w:jc w:val="left"/>
            </w:pPr>
            <w:r>
              <w:rPr>
                <w:sz w:val="22"/>
              </w:rPr>
              <w:t xml:space="preserve">M5 (ADKAR Engine) — barrier-reason notes attached to the Week 11 entries; both auto-escalate per journi’s ≤2 rule.</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13</w:t>
            </w:r>
          </w:p>
        </w:tc>
        <w:tc>
          <w:tcPr>
            <w:tcW w:type="dxa" w:w="2522"/>
          </w:tcPr>
          <w:p>
            <w:pPr>
              <w:pStyle w:val="Compact"/>
              <w:jc w:val="left"/>
            </w:pPr>
            <w:r>
              <w:rPr>
                <w:bCs/>
                <w:b/>
                <w:sz w:val="22"/>
              </w:rPr>
              <w:t xml:space="preserve">[PM]</w:t>
            </w:r>
            <w:r>
              <w:rPr>
                <w:sz w:val="22"/>
              </w:rPr>
              <w:t xml:space="preserve"> </w:t>
            </w:r>
            <w:r>
              <w:rPr>
                <w:sz w:val="22"/>
              </w:rPr>
              <w:t xml:space="preserve">Continue Build configuration sprint 1 in parallel (see Phase 3, Week 13).</w:t>
            </w:r>
          </w:p>
        </w:tc>
        <w:tc>
          <w:tcPr>
            <w:tcW w:type="dxa" w:w="2522"/>
          </w:tcPr>
          <w:p>
            <w:pPr>
              <w:pStyle w:val="Compact"/>
              <w:jc w:val="left"/>
            </w:pPr>
            <w:r>
              <w:rPr>
                <w:bCs/>
                <w:b/>
                <w:sz w:val="22"/>
              </w:rPr>
              <w:t xml:space="preserve">[CM]</w:t>
            </w:r>
            <w:r>
              <w:rPr>
                <w:sz w:val="22"/>
              </w:rPr>
              <w:t xml:space="preserve"> </w:t>
            </w:r>
            <w:r>
              <w:rPr>
                <w:sz w:val="22"/>
              </w:rPr>
              <w:t xml:space="preserve">Identify candidate champions per site and function (Task 4, Step 1) — type in nominees: Casablanca Finance — Amal Ferhati (Senior Accountant); Kenitra Plant Operations — Yassine Bouhali (Shift Supervisor, night shift); Settat Plant Operations — Rania Idrissi (Inventory Lead).</w:t>
            </w:r>
          </w:p>
        </w:tc>
        <w:tc>
          <w:tcPr>
            <w:tcW w:type="dxa" w:w="3258"/>
          </w:tcPr>
          <w:p>
            <w:pPr>
              <w:pStyle w:val="Compact"/>
              <w:jc w:val="left"/>
            </w:pPr>
            <w:r>
              <w:rPr>
                <w:sz w:val="22"/>
              </w:rPr>
              <w:t xml:space="preserve">No journi entry yet — nominees confirmed with their managers before Week 14’s roster entry.</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14</w:t>
            </w:r>
          </w:p>
        </w:tc>
        <w:tc>
          <w:tcPr>
            <w:tcW w:type="dxa" w:w="2522"/>
          </w:tcPr>
          <w:p>
            <w:pPr>
              <w:pStyle w:val="Compact"/>
              <w:jc w:val="left"/>
            </w:pPr>
            <w:r>
              <w:rPr>
                <w:bCs/>
                <w:b/>
                <w:sz w:val="22"/>
              </w:rPr>
              <w:t xml:space="preserve">[PM]</w:t>
            </w:r>
            <w:r>
              <w:rPr>
                <w:sz w:val="22"/>
              </w:rPr>
              <w:t xml:space="preserve"> </w:t>
            </w:r>
            <w:r>
              <w:rPr>
                <w:sz w:val="22"/>
              </w:rPr>
              <w:t xml:space="preserve">Confirm the Phase 2 gate: design principles signed off, baseline Awareness pulse logged.</w:t>
            </w:r>
          </w:p>
        </w:tc>
        <w:tc>
          <w:tcPr>
            <w:tcW w:type="dxa" w:w="2522"/>
          </w:tcPr>
          <w:p>
            <w:pPr>
              <w:pStyle w:val="Compact"/>
              <w:jc w:val="left"/>
            </w:pPr>
            <w:r>
              <w:rPr>
                <w:bCs/>
                <w:b/>
                <w:sz w:val="22"/>
              </w:rPr>
              <w:t xml:space="preserve">[CM]</w:t>
            </w:r>
            <w:r>
              <w:rPr>
                <w:sz w:val="22"/>
              </w:rPr>
              <w:t xml:space="preserve"> </w:t>
            </w:r>
            <w:r>
              <w:rPr>
                <w:sz w:val="22"/>
              </w:rPr>
              <w:t xml:space="preserve">Log the champion roster against the Stakeholder Map (Task 4, Step 2).</w:t>
            </w:r>
          </w:p>
        </w:tc>
        <w:tc>
          <w:tcPr>
            <w:tcW w:type="dxa" w:w="3258"/>
          </w:tcPr>
          <w:p>
            <w:pPr>
              <w:pStyle w:val="Compact"/>
              <w:jc w:val="left"/>
            </w:pPr>
            <w:r>
              <w:rPr>
                <w:sz w:val="22"/>
              </w:rPr>
              <w:t xml:space="preserve">M4 (Stakeholder Mapping) — type in, against each cohort entry: Champion</w:t>
            </w:r>
            <w:r>
              <w:rPr>
                <w:sz w:val="22"/>
              </w:rPr>
              <w:t xml:space="preserve"> </w:t>
            </w:r>
            <w:r>
              <w:rPr>
                <w:sz w:val="22"/>
              </w:rPr>
              <w:t xml:space="preserve">“</w:t>
            </w:r>
            <w:r>
              <w:rPr>
                <w:sz w:val="22"/>
              </w:rPr>
              <w:t xml:space="preserve">Amal Ferhati</w:t>
            </w:r>
            <w:r>
              <w:rPr>
                <w:sz w:val="22"/>
              </w:rPr>
              <w:t xml:space="preserve">”</w:t>
            </w:r>
            <w:r>
              <w:rPr>
                <w:sz w:val="22"/>
              </w:rPr>
              <w:t xml:space="preserve"> </w:t>
            </w:r>
            <w:r>
              <w:rPr>
                <w:sz w:val="22"/>
              </w:rPr>
              <w:t xml:space="preserve">linked to</w:t>
            </w:r>
            <w:r>
              <w:rPr>
                <w:sz w:val="22"/>
              </w:rPr>
              <w:t xml:space="preserve"> </w:t>
            </w:r>
            <w:r>
              <w:rPr>
                <w:sz w:val="22"/>
              </w:rPr>
              <w:t xml:space="preserve">“</w:t>
            </w:r>
            <w:r>
              <w:rPr>
                <w:sz w:val="22"/>
              </w:rPr>
              <w:t xml:space="preserve">Casablanca Finance</w:t>
            </w:r>
            <w:r>
              <w:rPr>
                <w:sz w:val="22"/>
              </w:rPr>
              <w:t xml:space="preserve">”</w:t>
            </w:r>
            <w:r>
              <w:rPr>
                <w:sz w:val="22"/>
              </w:rPr>
              <w:t xml:space="preserve">; Champion</w:t>
            </w:r>
            <w:r>
              <w:rPr>
                <w:sz w:val="22"/>
              </w:rPr>
              <w:t xml:space="preserve"> </w:t>
            </w:r>
            <w:r>
              <w:rPr>
                <w:sz w:val="22"/>
              </w:rPr>
              <w:t xml:space="preserve">“</w:t>
            </w:r>
            <w:r>
              <w:rPr>
                <w:sz w:val="22"/>
              </w:rPr>
              <w:t xml:space="preserve">Yassine Bouhali</w:t>
            </w:r>
            <w:r>
              <w:rPr>
                <w:sz w:val="22"/>
              </w:rPr>
              <w:t xml:space="preserve">”</w:t>
            </w:r>
            <w:r>
              <w:rPr>
                <w:sz w:val="22"/>
              </w:rPr>
              <w:t xml:space="preserve"> </w:t>
            </w:r>
            <w:r>
              <w:rPr>
                <w:sz w:val="22"/>
              </w:rPr>
              <w:t xml:space="preserve">linked to</w:t>
            </w:r>
            <w:r>
              <w:rPr>
                <w:sz w:val="22"/>
              </w:rPr>
              <w:t xml:space="preserve"> </w:t>
            </w:r>
            <w:r>
              <w:rPr>
                <w:sz w:val="22"/>
              </w:rPr>
              <w:t xml:space="preserve">“</w:t>
            </w:r>
            <w:r>
              <w:rPr>
                <w:sz w:val="22"/>
              </w:rPr>
              <w:t xml:space="preserve">Kenitra Plant Operations</w:t>
            </w:r>
            <w:r>
              <w:rPr>
                <w:sz w:val="22"/>
              </w:rPr>
              <w:t xml:space="preserve">”</w:t>
            </w:r>
            <w:r>
              <w:rPr>
                <w:sz w:val="22"/>
              </w:rPr>
              <w:t xml:space="preserve"> </w:t>
            </w:r>
            <w:r>
              <w:rPr>
                <w:sz w:val="22"/>
              </w:rPr>
              <w:t xml:space="preserve">(noted: night-shift representative, addressing the Week 12 Awareness gap directly); Champion</w:t>
            </w:r>
            <w:r>
              <w:rPr>
                <w:sz w:val="22"/>
              </w:rPr>
              <w:t xml:space="preserve"> </w:t>
            </w:r>
            <w:r>
              <w:rPr>
                <w:sz w:val="22"/>
              </w:rPr>
              <w:t xml:space="preserve">“</w:t>
            </w:r>
            <w:r>
              <w:rPr>
                <w:sz w:val="22"/>
              </w:rPr>
              <w:t xml:space="preserve">Rania Idrissi</w:t>
            </w:r>
            <w:r>
              <w:rPr>
                <w:sz w:val="22"/>
              </w:rPr>
              <w:t xml:space="preserve">”</w:t>
            </w:r>
            <w:r>
              <w:rPr>
                <w:sz w:val="22"/>
              </w:rPr>
              <w:t xml:space="preserve"> </w:t>
            </w:r>
            <w:r>
              <w:rPr>
                <w:sz w:val="22"/>
              </w:rPr>
              <w:t xml:space="preserve">linked to</w:t>
            </w:r>
            <w:r>
              <w:rPr>
                <w:sz w:val="22"/>
              </w:rPr>
              <w:t xml:space="preserve"> </w:t>
            </w:r>
            <w:r>
              <w:rPr>
                <w:sz w:val="22"/>
              </w:rPr>
              <w:t xml:space="preserve">“</w:t>
            </w:r>
            <w:r>
              <w:rPr>
                <w:sz w:val="22"/>
              </w:rPr>
              <w:t xml:space="preserve">Settat Plant Operations</w:t>
            </w:r>
            <w:r>
              <w:rPr>
                <w:sz w:val="22"/>
              </w:rPr>
              <w:t xml:space="preserve">”</w:t>
            </w:r>
            <w:r>
              <w:rPr>
                <w:sz w:val="22"/>
              </w:rPr>
              <w:t xml:space="preserve">.</w:t>
            </w:r>
          </w:p>
        </w:tc>
        <w:tc>
          <w:tcPr>
            <w:tcW w:type="dxa" w:w="1261"/>
          </w:tcPr>
          <w:p>
            <w:pPr>
              <w:pStyle w:val="Compact"/>
              <w:jc w:val="left"/>
            </w:pPr>
            <w:r>
              <w:rPr>
                <w:sz w:val="22"/>
              </w:rPr>
              <w:t xml:space="preserve">—</w:t>
            </w:r>
          </w:p>
        </w:tc>
      </w:tr>
    </w:tbl>
    <w:p>
      <w:pPr>
        <w:pStyle w:val="BodyText"/>
      </w:pPr>
      <w:r>
        <w:rPr>
          <w:bCs/>
          <w:b/>
          <w:sz w:val="25"/>
        </w:rPr>
        <w:t xml:space="preserve">Phase gate:</w:t>
      </w:r>
      <w:r>
        <w:rPr>
          <w:sz w:val="25"/>
        </w:rPr>
        <w:t xml:space="preserve"> </w:t>
      </w:r>
      <w:r>
        <w:rPr>
          <w:sz w:val="25"/>
        </w:rPr>
        <w:t xml:space="preserve">Design closes once the design principles and future-state process maps are both signed off by the Steering Committee and the baseline Awareness pulse is logged — this is also the point where, if the program were instead running as the Order-to-Cash Process Redesign of Part 4, the first Resistance-to-Commitment (E2E-03 (Resistance-to-Commitment)) signals would already be visible in Casablanca finance.</w:t>
      </w:r>
    </w:p>
    <w:p>
      <w:pPr>
        <w:pStyle w:val="BodyText"/>
      </w:pPr>
      <w:r>
        <w:rPr>
          <w:bCs/>
          <w:b/>
          <w:sz w:val="25"/>
        </w:rPr>
        <w:t xml:space="preserve">SIPOC.</w:t>
      </w:r>
      <w:r>
        <w:rPr>
          <w:sz w:val="25"/>
        </w:rPr>
        <w:t xml:space="preserve"> </w:t>
      </w:r>
      <w:r>
        <w:rPr>
          <w:sz w:val="25"/>
        </w:rPr>
        <w:t xml:space="preserve">Suppliers: Functional Process Owners; ITL; the champion network’s first recruits. · Inputs: Discovery findings; current-state process maps; design-principle drafts; first town-hall feedback. · Process: this phase’s four Tasks in sequence · Outputs: Signed-off design principles and future-state process maps; first champion roster; baseline Awareness scores. · Customers: Program Manager; Change Manager; Steering Committee.</w:t>
      </w:r>
    </w:p>
    <w:p>
      <w:pPr>
        <w:pStyle w:val="BodyText"/>
      </w:pPr>
      <w:r>
        <w:rPr>
          <w:bCs/>
          <w:b/>
          <w:sz w:val="25"/>
        </w:rPr>
        <w:t xml:space="preserve">RACSI for this phase.</w:t>
      </w:r>
      <w:r>
        <w:rPr>
          <w:sz w:val="25"/>
        </w:rPr>
        <w:t xml:space="preserve"> </w:t>
      </w:r>
      <w:r>
        <w:rPr>
          <w:sz w:val="25"/>
        </w:rPr>
        <w:t xml:space="preserve">R = CM, FPO · A = ES · C = PM, ITL · S = SUP · I = EU</w:t>
      </w:r>
    </w:p>
    <w:p>
      <w:pPr>
        <w:pStyle w:val="BodyText"/>
      </w:pPr>
    </w:p>
    <w:bookmarkEnd w:id="38"/>
    <w:bookmarkStart w:id="39" w:name="phase-3-build-w1230"/>
    <w:p>
      <w:pPr>
        <w:pStyle w:val="Heading4"/>
      </w:pPr>
      <w:r>
        <w:rPr>
          <w:b/>
          <w:color w:val="5A8F89"/>
          <w:sz w:val="26"/>
        </w:rPr>
        <w:t xml:space="preserve">Phase 3 — Build (W12–30)</w:t>
      </w:r>
    </w:p>
    <w:p>
      <w:pPr>
        <w:pStyle w:val="FirstParagraph"/>
      </w:pPr>
      <w:r>
        <w:rPr>
          <w:bCs/>
          <w:b/>
          <w:sz w:val="25"/>
        </w:rPr>
        <w:t xml:space="preserve">Framework readings at close:</w:t>
      </w:r>
      <w:r>
        <w:rPr>
          <w:sz w:val="25"/>
        </w:rPr>
        <w:t xml:space="preserve"> </w:t>
      </w:r>
      <w:r>
        <w:rPr>
          <w:sz w:val="25"/>
        </w:rPr>
        <w:t xml:space="preserve">Lewin Unfreeze → Change · ADKAR focus Desire · Bridges Ending → Neutral Zone · Kübler-Ross Resistance/Anger.</w:t>
      </w:r>
    </w:p>
    <w:p>
      <w:pPr>
        <w:pStyle w:val="BodyText"/>
      </w:pPr>
      <w:r>
        <w:rPr>
          <w:sz w:val="25"/>
        </w:rPr>
        <w:t xml:space="preserve">Build is the longest phase and the one where the Lewin call actually moves — not because 18 weeks have passed, but because the evidence supports it by the phase’s end. This is also where Exception E1 (Desire Stall at Settat) plays out in full, integrated into the week-by-week table below rather than treated as a separate track.</w:t>
      </w:r>
    </w:p>
    <w:tbl>
      <w:tblPr>
        <w:tblStyle w:val="Table"/>
        <w:tblW w:type="pct" w:w="5000"/>
        <w:jc w:val="center"/>
        <w:tblLayout w:type="fixed"/>
        <w:tblLook w:firstRow="1" w:lastRow="0" w:firstColumn="0" w:lastColumn="0" w:noHBand="0" w:noVBand="0" w:val="0020"/>
      </w:tblPr>
      <w:tblGrid>
        <w:gridCol w:w="600760"/>
        <w:gridCol w:w="1602028"/>
        <w:gridCol w:w="1602028"/>
        <w:gridCol w:w="2069287"/>
        <w:gridCol w:w="801014"/>
      </w:tblGrid>
      <w:tr>
        <w:trPr>
          <w:tblHeader w:val="true"/>
        </w:trPr>
        <w:tc>
          <w:tcPr>
            <w:tcW w:type="dxa" w:w="946"/>
            <w:shd w:val="clear" w:fill="1F4B45"/>
          </w:tcPr>
          <w:p>
            <w:pPr>
              <w:pStyle w:val="Compact"/>
              <w:jc w:val="left"/>
            </w:pPr>
            <w:r>
              <w:rPr>
                <w:b/>
                <w:color w:val="FFFFFF"/>
                <w:sz w:val="22"/>
              </w:rPr>
              <w:t xml:space="preserve">Week</w:t>
            </w:r>
          </w:p>
        </w:tc>
        <w:tc>
          <w:tcPr>
            <w:tcW w:type="dxa" w:w="2522"/>
            <w:shd w:val="clear" w:fill="1F4B45"/>
          </w:tcPr>
          <w:p>
            <w:pPr>
              <w:pStyle w:val="Compact"/>
              <w:jc w:val="left"/>
            </w:pPr>
            <w:r>
              <w:rPr>
                <w:b/>
                <w:color w:val="FFFFFF"/>
                <w:sz w:val="22"/>
              </w:rPr>
              <w:t xml:space="preserve">Project Manager (PM) Track</w:t>
            </w:r>
          </w:p>
        </w:tc>
        <w:tc>
          <w:tcPr>
            <w:tcW w:type="dxa" w:w="2522"/>
            <w:shd w:val="clear" w:fill="1F4B45"/>
          </w:tcPr>
          <w:p>
            <w:pPr>
              <w:pStyle w:val="Compact"/>
              <w:jc w:val="left"/>
            </w:pPr>
            <w:r>
              <w:rPr>
                <w:b/>
                <w:color w:val="FFFFFF"/>
                <w:sz w:val="22"/>
              </w:rPr>
              <w:t xml:space="preserve">Change Manager (CM) Track</w:t>
            </w:r>
          </w:p>
        </w:tc>
        <w:tc>
          <w:tcPr>
            <w:tcW w:type="dxa" w:w="3258"/>
            <w:shd w:val="clear" w:fill="1F4B45"/>
          </w:tcPr>
          <w:p>
            <w:pPr>
              <w:pStyle w:val="Compact"/>
              <w:jc w:val="left"/>
            </w:pPr>
            <w:r>
              <w:rPr>
                <w:b/>
                <w:color w:val="FFFFFF"/>
                <w:sz w:val="22"/>
              </w:rPr>
              <w:t xml:space="preserve">journi Entry — What to Type In</w:t>
            </w:r>
          </w:p>
        </w:tc>
        <w:tc>
          <w:tcPr>
            <w:tcW w:type="dxa" w:w="1261"/>
            <w:shd w:val="clear" w:fill="1F4B45"/>
          </w:tcPr>
          <w:p>
            <w:pPr>
              <w:pStyle w:val="Compact"/>
              <w:jc w:val="left"/>
            </w:pPr>
            <w:r>
              <w:rPr>
                <w:b/>
                <w:color w:val="FFFFFF"/>
                <w:sz w:val="22"/>
              </w:rPr>
              <w:t xml:space="preserve">Exception</w:t>
            </w:r>
          </w:p>
        </w:tc>
      </w:tr>
      <w:tr>
        <w:tc>
          <w:tcPr>
            <w:tcW w:type="dxa" w:w="946"/>
          </w:tcPr>
          <w:p>
            <w:pPr>
              <w:pStyle w:val="Compact"/>
              <w:jc w:val="left"/>
            </w:pPr>
            <w:r>
              <w:rPr>
                <w:bCs/>
                <w:b/>
                <w:sz w:val="22"/>
              </w:rPr>
              <w:t xml:space="preserve">Week 12</w:t>
            </w:r>
          </w:p>
        </w:tc>
        <w:tc>
          <w:tcPr>
            <w:tcW w:type="dxa" w:w="2522"/>
          </w:tcPr>
          <w:p>
            <w:pPr>
              <w:pStyle w:val="Compact"/>
              <w:jc w:val="left"/>
            </w:pPr>
            <w:r>
              <w:rPr>
                <w:bCs/>
                <w:b/>
                <w:sz w:val="22"/>
              </w:rPr>
              <w:t xml:space="preserve">[PM]</w:t>
            </w:r>
            <w:r>
              <w:rPr>
                <w:sz w:val="22"/>
              </w:rPr>
              <w:t xml:space="preserve"> </w:t>
            </w:r>
            <w:r>
              <w:rPr>
                <w:sz w:val="22"/>
              </w:rPr>
              <w:t xml:space="preserve">Stand up the configuration environment; begin configuration sprint 1 against the signed-off design principles (Task 1, Step 1).</w:t>
            </w:r>
          </w:p>
        </w:tc>
        <w:tc>
          <w:tcPr>
            <w:tcW w:type="dxa" w:w="2522"/>
          </w:tcPr>
          <w:p>
            <w:pPr>
              <w:pStyle w:val="Compact"/>
              <w:jc w:val="left"/>
            </w:pPr>
            <w:r>
              <w:rPr>
                <w:bCs/>
                <w:b/>
                <w:sz w:val="22"/>
              </w:rPr>
              <w:t xml:space="preserve">[CM]</w:t>
            </w:r>
            <w:r>
              <w:rPr>
                <w:sz w:val="22"/>
              </w:rPr>
              <w:t xml:space="preserve"> </w:t>
            </w:r>
            <w:r>
              <w:rPr>
                <w:sz w:val="22"/>
              </w:rPr>
              <w:t xml:space="preserve">Monitor the last FAQ-channel questions from Design; hand off the champion nominee list to Build’s briefing plan.</w:t>
            </w:r>
          </w:p>
        </w:tc>
        <w:tc>
          <w:tcPr>
            <w:tcW w:type="dxa" w:w="3258"/>
          </w:tcPr>
          <w:p>
            <w:pPr>
              <w:pStyle w:val="Compact"/>
              <w:jc w:val="left"/>
            </w:pPr>
            <w:r>
              <w:rPr>
                <w:sz w:val="22"/>
              </w:rPr>
              <w:t xml:space="preserve">No direct journi entry — configuration sprint decisions are tracked on M17 (WBS &amp; Gantt) task records, not a Change Management module.</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13</w:t>
            </w:r>
          </w:p>
        </w:tc>
        <w:tc>
          <w:tcPr>
            <w:tcW w:type="dxa" w:w="2522"/>
          </w:tcPr>
          <w:p>
            <w:pPr>
              <w:pStyle w:val="Compact"/>
              <w:jc w:val="left"/>
            </w:pPr>
            <w:r>
              <w:rPr>
                <w:bCs/>
                <w:b/>
                <w:sz w:val="22"/>
              </w:rPr>
              <w:t xml:space="preserve">[PM]</w:t>
            </w:r>
            <w:r>
              <w:rPr>
                <w:sz w:val="22"/>
              </w:rPr>
              <w:t xml:space="preserve"> </w:t>
            </w:r>
            <w:r>
              <w:rPr>
                <w:sz w:val="22"/>
              </w:rPr>
              <w:t xml:space="preserve">Configuration sprint 1 continues — Order Management module against Principle 2 (one shared stock-movement record).</w:t>
            </w:r>
          </w:p>
        </w:tc>
        <w:tc>
          <w:tcPr>
            <w:tcW w:type="dxa" w:w="2522"/>
          </w:tcPr>
          <w:p>
            <w:pPr>
              <w:pStyle w:val="Compact"/>
              <w:jc w:val="left"/>
            </w:pPr>
            <w:r>
              <w:rPr>
                <w:bCs/>
                <w:b/>
                <w:sz w:val="22"/>
              </w:rPr>
              <w:t xml:space="preserve">[CM]</w:t>
            </w:r>
            <w:r>
              <w:rPr>
                <w:sz w:val="22"/>
              </w:rPr>
              <w:t xml:space="preserve"> </w:t>
            </w:r>
            <w:r>
              <w:rPr>
                <w:sz w:val="22"/>
              </w:rPr>
              <w:t xml:space="preserve">Prepare the champion briefing agenda for Week 16.</w:t>
            </w:r>
          </w:p>
        </w:tc>
        <w:tc>
          <w:tcPr>
            <w:tcW w:type="dxa" w:w="3258"/>
          </w:tcPr>
          <w:p>
            <w:pPr>
              <w:pStyle w:val="Compact"/>
              <w:jc w:val="left"/>
            </w:pPr>
            <w:r>
              <w:rPr>
                <w:sz w:val="22"/>
              </w:rPr>
              <w:t xml:space="preserve">No journi entry yet.</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14</w:t>
            </w:r>
          </w:p>
        </w:tc>
        <w:tc>
          <w:tcPr>
            <w:tcW w:type="dxa" w:w="2522"/>
          </w:tcPr>
          <w:p>
            <w:pPr>
              <w:pStyle w:val="Compact"/>
              <w:jc w:val="left"/>
            </w:pPr>
            <w:r>
              <w:rPr>
                <w:bCs/>
                <w:b/>
                <w:sz w:val="22"/>
              </w:rPr>
              <w:t xml:space="preserve">[PM]</w:t>
            </w:r>
            <w:r>
              <w:rPr>
                <w:sz w:val="22"/>
              </w:rPr>
              <w:t xml:space="preserve"> </w:t>
            </w:r>
            <w:r>
              <w:rPr>
                <w:sz w:val="22"/>
              </w:rPr>
              <w:t xml:space="preserve">Configuration sprint 1 closes; log each sprint decision against its justifying design principle (Task 1, Step 2) — type in, for example:</w:t>
            </w:r>
            <w:r>
              <w:rPr>
                <w:sz w:val="22"/>
              </w:rPr>
              <w:t xml:space="preserve"> </w:t>
            </w:r>
            <w:r>
              <w:rPr>
                <w:sz w:val="22"/>
              </w:rPr>
              <w:t xml:space="preserve">“</w:t>
            </w:r>
            <w:r>
              <w:rPr>
                <w:sz w:val="22"/>
              </w:rPr>
              <w:t xml:space="preserve">Decision: single stock-movement table shared by Inventory and Finance modules. Justifying principle: Principle 2.</w:t>
            </w:r>
            <w:r>
              <w:rPr>
                <w:sz w:val="22"/>
              </w:rPr>
              <w:t xml:space="preserve">”</w:t>
            </w:r>
          </w:p>
        </w:tc>
        <w:tc>
          <w:tcPr>
            <w:tcW w:type="dxa" w:w="2522"/>
          </w:tcPr>
          <w:p>
            <w:pPr>
              <w:pStyle w:val="Compact"/>
              <w:jc w:val="left"/>
            </w:pPr>
            <w:r>
              <w:rPr>
                <w:bCs/>
                <w:b/>
                <w:sz w:val="22"/>
              </w:rPr>
              <w:t xml:space="preserve">[CM]</w:t>
            </w:r>
            <w:r>
              <w:rPr>
                <w:sz w:val="22"/>
              </w:rPr>
              <w:t xml:space="preserve"> </w:t>
            </w:r>
            <w:r>
              <w:rPr>
                <w:sz w:val="22"/>
              </w:rPr>
              <w:t xml:space="preserve">Confirm champion roster availability for the Week 16 briefing (overlaps Design’s Phase 2 gate).</w:t>
            </w:r>
          </w:p>
        </w:tc>
        <w:tc>
          <w:tcPr>
            <w:tcW w:type="dxa" w:w="3258"/>
          </w:tcPr>
          <w:p>
            <w:pPr>
              <w:pStyle w:val="Compact"/>
              <w:jc w:val="left"/>
            </w:pPr>
            <w:r>
              <w:rPr>
                <w:sz w:val="22"/>
              </w:rPr>
              <w:t xml:space="preserve">M17 (WBS &amp; Gantt) — task</w:t>
            </w:r>
            <w:r>
              <w:rPr>
                <w:sz w:val="22"/>
              </w:rPr>
              <w:t xml:space="preserve"> </w:t>
            </w:r>
            <w:r>
              <w:rPr>
                <w:sz w:val="22"/>
              </w:rPr>
              <w:t xml:space="preserve">“</w:t>
            </w:r>
            <w:r>
              <w:rPr>
                <w:sz w:val="22"/>
              </w:rPr>
              <w:t xml:space="preserve">Configuration Sprint 1</w:t>
            </w:r>
            <w:r>
              <w:rPr>
                <w:sz w:val="22"/>
              </w:rPr>
              <w:t xml:space="preserve">”</w:t>
            </w:r>
            <w:r>
              <w:rPr>
                <w:sz w:val="22"/>
              </w:rPr>
              <w:t xml:space="preserve"> </w:t>
            </w:r>
            <w:r>
              <w:rPr>
                <w:sz w:val="22"/>
              </w:rPr>
              <w:t xml:space="preserve">marked complete, actual end date logged against its baseline.</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15</w:t>
            </w:r>
          </w:p>
        </w:tc>
        <w:tc>
          <w:tcPr>
            <w:tcW w:type="dxa" w:w="2522"/>
          </w:tcPr>
          <w:p>
            <w:pPr>
              <w:pStyle w:val="Compact"/>
              <w:jc w:val="left"/>
            </w:pPr>
            <w:r>
              <w:rPr>
                <w:bCs/>
                <w:b/>
                <w:sz w:val="22"/>
              </w:rPr>
              <w:t xml:space="preserve">[PM]</w:t>
            </w:r>
            <w:r>
              <w:rPr>
                <w:sz w:val="22"/>
              </w:rPr>
              <w:t xml:space="preserve"> </w:t>
            </w:r>
            <w:r>
              <w:rPr>
                <w:sz w:val="22"/>
              </w:rPr>
              <w:t xml:space="preserve">Configuration sprint 2 begins — Inventory module against Principle 2 and Principle 3 (visible exception paths).</w:t>
            </w:r>
          </w:p>
        </w:tc>
        <w:tc>
          <w:tcPr>
            <w:tcW w:type="dxa" w:w="2522"/>
          </w:tcPr>
          <w:p>
            <w:pPr>
              <w:pStyle w:val="Compact"/>
              <w:jc w:val="left"/>
            </w:pPr>
            <w:r>
              <w:rPr>
                <w:bCs/>
                <w:b/>
                <w:sz w:val="22"/>
              </w:rPr>
              <w:t xml:space="preserve">[CM]</w:t>
            </w:r>
            <w:r>
              <w:rPr>
                <w:sz w:val="22"/>
              </w:rPr>
              <w:t xml:space="preserve"> </w:t>
            </w:r>
            <w:r>
              <w:rPr>
                <w:sz w:val="22"/>
              </w:rPr>
              <w:t xml:space="preserve">No new activity this week — holding for the Week 16 champion briefing.</w:t>
            </w:r>
          </w:p>
        </w:tc>
        <w:tc>
          <w:tcPr>
            <w:tcW w:type="dxa" w:w="3258"/>
          </w:tcPr>
          <w:p>
            <w:pPr>
              <w:pStyle w:val="Compact"/>
              <w:jc w:val="left"/>
            </w:pPr>
            <w:r>
              <w:rPr>
                <w:sz w:val="22"/>
              </w:rPr>
              <w:t xml:space="preserve">No journi entry yet.</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16</w:t>
            </w:r>
          </w:p>
        </w:tc>
        <w:tc>
          <w:tcPr>
            <w:tcW w:type="dxa" w:w="2522"/>
          </w:tcPr>
          <w:p>
            <w:pPr>
              <w:pStyle w:val="Compact"/>
              <w:jc w:val="left"/>
            </w:pPr>
            <w:r>
              <w:rPr>
                <w:bCs/>
                <w:b/>
                <w:sz w:val="22"/>
              </w:rPr>
              <w:t xml:space="preserve">[PM]</w:t>
            </w:r>
            <w:r>
              <w:rPr>
                <w:sz w:val="22"/>
              </w:rPr>
              <w:t xml:space="preserve"> </w:t>
            </w:r>
            <w:r>
              <w:rPr>
                <w:sz w:val="22"/>
              </w:rPr>
              <w:t xml:space="preserve">Configuration sprint 2 continues in parallel with the champion briefing below.</w:t>
            </w:r>
          </w:p>
        </w:tc>
        <w:tc>
          <w:tcPr>
            <w:tcW w:type="dxa" w:w="2522"/>
          </w:tcPr>
          <w:p>
            <w:pPr>
              <w:pStyle w:val="Compact"/>
              <w:jc w:val="left"/>
            </w:pPr>
            <w:r>
              <w:rPr>
                <w:bCs/>
                <w:b/>
                <w:sz w:val="22"/>
              </w:rPr>
              <w:t xml:space="preserve">[CM]</w:t>
            </w:r>
            <w:r>
              <w:rPr>
                <w:sz w:val="22"/>
              </w:rPr>
              <w:t xml:space="preserve"> </w:t>
            </w:r>
            <w:r>
              <w:rPr>
                <w:sz w:val="22"/>
              </w:rPr>
              <w:t xml:space="preserve">Run the champion briefing session per site (Task 2, Step 1) — brief Amal Ferhati, Yassine Bouhali, and Rania Idrissi on what floor-level observation is worth logging, and how.</w:t>
            </w:r>
          </w:p>
        </w:tc>
        <w:tc>
          <w:tcPr>
            <w:tcW w:type="dxa" w:w="3258"/>
          </w:tcPr>
          <w:p>
            <w:pPr>
              <w:pStyle w:val="Compact"/>
              <w:jc w:val="left"/>
            </w:pPr>
            <w:r>
              <w:rPr>
                <w:sz w:val="22"/>
              </w:rPr>
              <w:t xml:space="preserve">No direct journi entry — the briefing itself is a facilitated session; its output (an observation-logging habit) shows up as future M4 (Stakeholder Mapping) and M10 (Resistance) entries once champions actually log something.</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17</w:t>
            </w:r>
          </w:p>
        </w:tc>
        <w:tc>
          <w:tcPr>
            <w:tcW w:type="dxa" w:w="2522"/>
          </w:tcPr>
          <w:p>
            <w:pPr>
              <w:pStyle w:val="Compact"/>
              <w:jc w:val="left"/>
            </w:pPr>
            <w:r>
              <w:rPr>
                <w:bCs/>
                <w:b/>
                <w:sz w:val="22"/>
              </w:rPr>
              <w:t xml:space="preserve">[PM]</w:t>
            </w:r>
            <w:r>
              <w:rPr>
                <w:sz w:val="22"/>
              </w:rPr>
              <w:t xml:space="preserve"> </w:t>
            </w:r>
            <w:r>
              <w:rPr>
                <w:sz w:val="22"/>
              </w:rPr>
              <w:t xml:space="preserve">Configuration sprint 2 closes.</w:t>
            </w:r>
          </w:p>
        </w:tc>
        <w:tc>
          <w:tcPr>
            <w:tcW w:type="dxa" w:w="2522"/>
          </w:tcPr>
          <w:p>
            <w:pPr>
              <w:pStyle w:val="Compact"/>
              <w:jc w:val="left"/>
            </w:pPr>
            <w:r>
              <w:rPr>
                <w:bCs/>
                <w:b/>
                <w:sz w:val="22"/>
              </w:rPr>
              <w:t xml:space="preserve">[CM]</w:t>
            </w:r>
            <w:r>
              <w:rPr>
                <w:sz w:val="22"/>
              </w:rPr>
              <w:t xml:space="preserve"> </w:t>
            </w:r>
            <w:r>
              <w:rPr>
                <w:sz w:val="22"/>
              </w:rPr>
              <w:t xml:space="preserve">Confirm each champion’s observation-logging path (Task 2, Step 2) — type in, against each champion’s Stakeholder Map entry:</w:t>
            </w:r>
            <w:r>
              <w:rPr>
                <w:sz w:val="22"/>
              </w:rPr>
              <w:t xml:space="preserve"> </w:t>
            </w:r>
            <w:r>
              <w:rPr>
                <w:sz w:val="22"/>
              </w:rPr>
              <w:t xml:space="preserve">“</w:t>
            </w:r>
            <w:r>
              <w:rPr>
                <w:sz w:val="22"/>
              </w:rPr>
              <w:t xml:space="preserve">Logging path confirmed: floor observation → champion → M4 (Stakeholder Mapping) note → escalated to M10 (Resistance) if it becomes a pattern.</w:t>
            </w:r>
            <w:r>
              <w:rPr>
                <w:sz w:val="22"/>
              </w:rPr>
              <w:t xml:space="preserve">”</w:t>
            </w:r>
          </w:p>
        </w:tc>
        <w:tc>
          <w:tcPr>
            <w:tcW w:type="dxa" w:w="3258"/>
          </w:tcPr>
          <w:p>
            <w:pPr>
              <w:pStyle w:val="Compact"/>
              <w:jc w:val="left"/>
            </w:pPr>
            <w:r>
              <w:rPr>
                <w:sz w:val="22"/>
              </w:rPr>
              <w:t xml:space="preserve">M4 (Stakeholder Mapping) — add a note field to each of the three champion entries confirming the logging path above.</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18</w:t>
            </w:r>
          </w:p>
        </w:tc>
        <w:tc>
          <w:tcPr>
            <w:tcW w:type="dxa" w:w="2522"/>
          </w:tcPr>
          <w:p>
            <w:pPr>
              <w:pStyle w:val="Compact"/>
              <w:jc w:val="left"/>
            </w:pPr>
            <w:r>
              <w:rPr>
                <w:bCs/>
                <w:b/>
                <w:sz w:val="22"/>
              </w:rPr>
              <w:t xml:space="preserve">[PM]</w:t>
            </w:r>
            <w:r>
              <w:rPr>
                <w:sz w:val="22"/>
              </w:rPr>
              <w:t xml:space="preserve"> </w:t>
            </w:r>
            <w:r>
              <w:rPr>
                <w:sz w:val="22"/>
              </w:rPr>
              <w:t xml:space="preserve">Configuration sprint 3 begins — Finance module reconciliation logic.</w:t>
            </w:r>
          </w:p>
        </w:tc>
        <w:tc>
          <w:tcPr>
            <w:tcW w:type="dxa" w:w="2522"/>
          </w:tcPr>
          <w:p>
            <w:pPr>
              <w:pStyle w:val="Compact"/>
              <w:jc w:val="left"/>
            </w:pPr>
            <w:r>
              <w:rPr>
                <w:bCs/>
                <w:b/>
                <w:sz w:val="22"/>
              </w:rPr>
              <w:t xml:space="preserve">[CM]</w:t>
            </w:r>
            <w:r>
              <w:rPr>
                <w:sz w:val="22"/>
              </w:rPr>
              <w:t xml:space="preserve"> </w:t>
            </w:r>
            <w:r>
              <w:rPr>
                <w:sz w:val="22"/>
              </w:rPr>
              <w:t xml:space="preserve">Re-score Desire per cohort (Task 3, Step 1) — type in: Casablanca Finance = 3; Kenitra Plant Operations = 3; Settat Plant Operations = 2 (auto-escalates).</w:t>
            </w:r>
          </w:p>
        </w:tc>
        <w:tc>
          <w:tcPr>
            <w:tcW w:type="dxa" w:w="3258"/>
          </w:tcPr>
          <w:p>
            <w:pPr>
              <w:pStyle w:val="Compact"/>
              <w:jc w:val="left"/>
            </w:pPr>
            <w:r>
              <w:rPr>
                <w:sz w:val="22"/>
              </w:rPr>
              <w:t xml:space="preserve">M5 (ADKAR Engine) — Desire scores as above. Settat’s score of 2 triggers a mandatory barrier-reason note next week.</w:t>
            </w:r>
          </w:p>
        </w:tc>
        <w:tc>
          <w:tcPr>
            <w:tcW w:type="dxa" w:w="1261"/>
          </w:tcPr>
          <w:p>
            <w:pPr>
              <w:pStyle w:val="Compact"/>
              <w:jc w:val="left"/>
            </w:pPr>
            <w:r>
              <w:rPr>
                <w:sz w:val="22"/>
              </w:rPr>
              <w:t xml:space="preserve">E1 (Desire Stall at Settat) — trigger week</w:t>
            </w:r>
          </w:p>
        </w:tc>
      </w:tr>
      <w:tr>
        <w:tc>
          <w:tcPr>
            <w:tcW w:type="dxa" w:w="946"/>
          </w:tcPr>
          <w:p>
            <w:pPr>
              <w:pStyle w:val="Compact"/>
              <w:jc w:val="left"/>
            </w:pPr>
            <w:r>
              <w:rPr>
                <w:bCs/>
                <w:b/>
                <w:sz w:val="22"/>
              </w:rPr>
              <w:t xml:space="preserve">Week 19</w:t>
            </w:r>
          </w:p>
        </w:tc>
        <w:tc>
          <w:tcPr>
            <w:tcW w:type="dxa" w:w="2522"/>
          </w:tcPr>
          <w:p>
            <w:pPr>
              <w:pStyle w:val="Compact"/>
              <w:jc w:val="left"/>
            </w:pPr>
            <w:r>
              <w:rPr>
                <w:bCs/>
                <w:b/>
                <w:sz w:val="22"/>
              </w:rPr>
              <w:t xml:space="preserve">[PM]</w:t>
            </w:r>
            <w:r>
              <w:rPr>
                <w:sz w:val="22"/>
              </w:rPr>
              <w:t xml:space="preserve"> </w:t>
            </w:r>
            <w:r>
              <w:rPr>
                <w:sz w:val="22"/>
              </w:rPr>
              <w:t xml:space="preserve">Configuration sprint 3 continues.</w:t>
            </w:r>
          </w:p>
        </w:tc>
        <w:tc>
          <w:tcPr>
            <w:tcW w:type="dxa" w:w="2522"/>
          </w:tcPr>
          <w:p>
            <w:pPr>
              <w:pStyle w:val="Compact"/>
              <w:jc w:val="left"/>
            </w:pPr>
            <w:r>
              <w:rPr>
                <w:bCs/>
                <w:b/>
                <w:sz w:val="22"/>
              </w:rPr>
              <w:t xml:space="preserve">[CM]</w:t>
            </w:r>
            <w:r>
              <w:rPr>
                <w:sz w:val="22"/>
              </w:rPr>
              <w:t xml:space="preserve"> </w:t>
            </w:r>
            <w:r>
              <w:rPr>
                <w:sz w:val="22"/>
              </w:rPr>
              <w:t xml:space="preserve">Log the mandatory barrier-reason note for Settat’s Desire = 2 (Task 3, Step 2) — type in:</w:t>
            </w:r>
            <w:r>
              <w:rPr>
                <w:sz w:val="22"/>
              </w:rPr>
              <w:t xml:space="preserve"> </w:t>
            </w:r>
            <w:r>
              <w:rPr>
                <w:sz w:val="22"/>
              </w:rPr>
              <w:t xml:space="preserve">“</w:t>
            </w:r>
            <w:r>
              <w:rPr>
                <w:sz w:val="22"/>
              </w:rPr>
              <w:t xml:space="preserve">Settat Plant Operations, Desire = 2. Barrier reason: low visibility into what the new inventory workflow will look like on Line 2 specifically; unresolved concern about post-go-live staffing levels. Auto-escalated.</w:t>
            </w:r>
            <w:r>
              <w:rPr>
                <w:sz w:val="22"/>
              </w:rPr>
              <w:t xml:space="preserve">”</w:t>
            </w:r>
            <w:r>
              <w:rPr>
                <w:sz w:val="22"/>
              </w:rPr>
              <w:t xml:space="preserve"> </w:t>
            </w:r>
            <w:r>
              <w:rPr>
                <w:sz w:val="22"/>
              </w:rPr>
              <w:t xml:space="preserve">Begin Exception E1 (Desire Stall at Settat)’s Recovery Task 1 (cluster barrier notes by root cause).</w:t>
            </w:r>
          </w:p>
        </w:tc>
        <w:tc>
          <w:tcPr>
            <w:tcW w:type="dxa" w:w="3258"/>
          </w:tcPr>
          <w:p>
            <w:pPr>
              <w:pStyle w:val="Compact"/>
              <w:jc w:val="left"/>
            </w:pPr>
            <w:r>
              <w:rPr>
                <w:sz w:val="22"/>
              </w:rPr>
              <w:t xml:space="preserve">M5 (ADKAR Engine) — barrier-reason note attached to the Week 18 Settat entry; auto-escalation flag set.</w:t>
            </w:r>
          </w:p>
        </w:tc>
        <w:tc>
          <w:tcPr>
            <w:tcW w:type="dxa" w:w="1261"/>
          </w:tcPr>
          <w:p>
            <w:pPr>
              <w:pStyle w:val="Compact"/>
              <w:jc w:val="left"/>
            </w:pPr>
            <w:r>
              <w:rPr>
                <w:sz w:val="22"/>
              </w:rPr>
              <w:t xml:space="preserve">E1 (Desire Stall at Settat) — Recovery Task 1</w:t>
            </w:r>
          </w:p>
        </w:tc>
      </w:tr>
      <w:tr>
        <w:tc>
          <w:tcPr>
            <w:tcW w:type="dxa" w:w="946"/>
          </w:tcPr>
          <w:p>
            <w:pPr>
              <w:pStyle w:val="Compact"/>
              <w:jc w:val="left"/>
            </w:pPr>
            <w:r>
              <w:rPr>
                <w:bCs/>
                <w:b/>
                <w:sz w:val="22"/>
              </w:rPr>
              <w:t xml:space="preserve">Week 20</w:t>
            </w:r>
          </w:p>
        </w:tc>
        <w:tc>
          <w:tcPr>
            <w:tcW w:type="dxa" w:w="2522"/>
          </w:tcPr>
          <w:p>
            <w:pPr>
              <w:pStyle w:val="Compact"/>
              <w:jc w:val="left"/>
            </w:pPr>
            <w:r>
              <w:rPr>
                <w:bCs/>
                <w:b/>
                <w:sz w:val="22"/>
              </w:rPr>
              <w:t xml:space="preserve">[PM]</w:t>
            </w:r>
            <w:r>
              <w:rPr>
                <w:sz w:val="22"/>
              </w:rPr>
              <w:t xml:space="preserve"> </w:t>
            </w:r>
            <w:r>
              <w:rPr>
                <w:sz w:val="22"/>
              </w:rPr>
              <w:t xml:space="preserve">Configuration sprint 3 continues, unaffected by the Settat exception track.</w:t>
            </w:r>
          </w:p>
        </w:tc>
        <w:tc>
          <w:tcPr>
            <w:tcW w:type="dxa" w:w="2522"/>
          </w:tcPr>
          <w:p>
            <w:pPr>
              <w:pStyle w:val="Compact"/>
              <w:jc w:val="left"/>
            </w:pPr>
            <w:r>
              <w:rPr>
                <w:bCs/>
                <w:b/>
                <w:sz w:val="22"/>
              </w:rPr>
              <w:t xml:space="preserve">[CM]</w:t>
            </w:r>
            <w:r>
              <w:rPr>
                <w:sz w:val="22"/>
              </w:rPr>
              <w:t xml:space="preserve"> </w:t>
            </w:r>
            <w:r>
              <w:rPr>
                <w:sz w:val="22"/>
              </w:rPr>
              <w:t xml:space="preserve">Run E1’s Recovery Task 2 — targeted listening sessions with the Settat plant-floor cohort; confirm position security, not workflow visibility, is the primary driver. See Exception E1 (Section 1B.4) for the full session detail.</w:t>
            </w:r>
          </w:p>
        </w:tc>
        <w:tc>
          <w:tcPr>
            <w:tcW w:type="dxa" w:w="3258"/>
          </w:tcPr>
          <w:p>
            <w:pPr>
              <w:pStyle w:val="Compact"/>
              <w:jc w:val="left"/>
            </w:pPr>
            <w:r>
              <w:rPr>
                <w:sz w:val="22"/>
              </w:rPr>
              <w:t xml:space="preserve">No new journi entry this week — findings feed the Week 21 response design.</w:t>
            </w:r>
          </w:p>
        </w:tc>
        <w:tc>
          <w:tcPr>
            <w:tcW w:type="dxa" w:w="1261"/>
          </w:tcPr>
          <w:p>
            <w:pPr>
              <w:pStyle w:val="Compact"/>
              <w:jc w:val="left"/>
            </w:pPr>
            <w:r>
              <w:rPr>
                <w:sz w:val="22"/>
              </w:rPr>
              <w:t xml:space="preserve">E1 (Desire Stall at Settat) — Recovery Task 2</w:t>
            </w:r>
          </w:p>
        </w:tc>
      </w:tr>
      <w:tr>
        <w:tc>
          <w:tcPr>
            <w:tcW w:type="dxa" w:w="946"/>
          </w:tcPr>
          <w:p>
            <w:pPr>
              <w:pStyle w:val="Compact"/>
              <w:jc w:val="left"/>
            </w:pPr>
            <w:r>
              <w:rPr>
                <w:bCs/>
                <w:b/>
                <w:sz w:val="22"/>
              </w:rPr>
              <w:t xml:space="preserve">Week 21</w:t>
            </w:r>
          </w:p>
        </w:tc>
        <w:tc>
          <w:tcPr>
            <w:tcW w:type="dxa" w:w="2522"/>
          </w:tcPr>
          <w:p>
            <w:pPr>
              <w:pStyle w:val="Compact"/>
              <w:jc w:val="left"/>
            </w:pPr>
            <w:r>
              <w:rPr>
                <w:bCs/>
                <w:b/>
                <w:sz w:val="22"/>
              </w:rPr>
              <w:t xml:space="preserve">[PM]</w:t>
            </w:r>
            <w:r>
              <w:rPr>
                <w:sz w:val="22"/>
              </w:rPr>
              <w:t xml:space="preserve"> </w:t>
            </w:r>
            <w:r>
              <w:rPr>
                <w:sz w:val="22"/>
              </w:rPr>
              <w:t xml:space="preserve">Configuration sprint 3 closes.</w:t>
            </w:r>
          </w:p>
        </w:tc>
        <w:tc>
          <w:tcPr>
            <w:tcW w:type="dxa" w:w="2522"/>
          </w:tcPr>
          <w:p>
            <w:pPr>
              <w:pStyle w:val="Compact"/>
              <w:jc w:val="left"/>
            </w:pPr>
            <w:r>
              <w:rPr>
                <w:bCs/>
                <w:b/>
                <w:sz w:val="22"/>
              </w:rPr>
              <w:t xml:space="preserve">[CM]</w:t>
            </w:r>
            <w:r>
              <w:rPr>
                <w:sz w:val="22"/>
              </w:rPr>
              <w:t xml:space="preserve"> </w:t>
            </w:r>
            <w:r>
              <w:rPr>
                <w:sz w:val="22"/>
              </w:rPr>
              <w:t xml:space="preserve">Run E1’s Recovery Task 3 — design a specific, credible staffing commitment with the CFO.</w:t>
            </w:r>
          </w:p>
        </w:tc>
        <w:tc>
          <w:tcPr>
            <w:tcW w:type="dxa" w:w="3258"/>
          </w:tcPr>
          <w:p>
            <w:pPr>
              <w:pStyle w:val="Compact"/>
              <w:jc w:val="left"/>
            </w:pPr>
            <w:r>
              <w:rPr>
                <w:sz w:val="22"/>
              </w:rPr>
              <w:t xml:space="preserve">No new journi entry this week.</w:t>
            </w:r>
          </w:p>
        </w:tc>
        <w:tc>
          <w:tcPr>
            <w:tcW w:type="dxa" w:w="1261"/>
          </w:tcPr>
          <w:p>
            <w:pPr>
              <w:pStyle w:val="Compact"/>
              <w:jc w:val="left"/>
            </w:pPr>
            <w:r>
              <w:rPr>
                <w:sz w:val="22"/>
              </w:rPr>
              <w:t xml:space="preserve">E1 (Desire Stall at Settat) — Recovery Task 3</w:t>
            </w:r>
          </w:p>
        </w:tc>
      </w:tr>
      <w:tr>
        <w:tc>
          <w:tcPr>
            <w:tcW w:type="dxa" w:w="946"/>
          </w:tcPr>
          <w:p>
            <w:pPr>
              <w:pStyle w:val="Compact"/>
              <w:jc w:val="left"/>
            </w:pPr>
            <w:r>
              <w:rPr>
                <w:bCs/>
                <w:b/>
                <w:sz w:val="22"/>
              </w:rPr>
              <w:t xml:space="preserve">Week 22</w:t>
            </w:r>
          </w:p>
        </w:tc>
        <w:tc>
          <w:tcPr>
            <w:tcW w:type="dxa" w:w="2522"/>
          </w:tcPr>
          <w:p>
            <w:pPr>
              <w:pStyle w:val="Compact"/>
              <w:jc w:val="left"/>
            </w:pPr>
            <w:r>
              <w:rPr>
                <w:bCs/>
                <w:b/>
                <w:sz w:val="22"/>
              </w:rPr>
              <w:t xml:space="preserve">[PM]</w:t>
            </w:r>
            <w:r>
              <w:rPr>
                <w:sz w:val="22"/>
              </w:rPr>
              <w:t xml:space="preserve"> </w:t>
            </w:r>
            <w:r>
              <w:rPr>
                <w:sz w:val="22"/>
              </w:rPr>
              <w:t xml:space="preserve">Configuration sprint 4 begins — integration testing prep.</w:t>
            </w:r>
          </w:p>
        </w:tc>
        <w:tc>
          <w:tcPr>
            <w:tcW w:type="dxa" w:w="2522"/>
          </w:tcPr>
          <w:p>
            <w:pPr>
              <w:pStyle w:val="Compact"/>
              <w:jc w:val="left"/>
            </w:pPr>
            <w:r>
              <w:rPr>
                <w:bCs/>
                <w:b/>
                <w:sz w:val="22"/>
              </w:rPr>
              <w:t xml:space="preserve">[CM]</w:t>
            </w:r>
            <w:r>
              <w:rPr>
                <w:sz w:val="22"/>
              </w:rPr>
              <w:t xml:space="preserve"> </w:t>
            </w:r>
            <w:r>
              <w:rPr>
                <w:sz w:val="22"/>
              </w:rPr>
              <w:t xml:space="preserve">Run E1’s Recovery Task 4 — the CFO delivers the staffing commitment in person to the Settat cohort.</w:t>
            </w:r>
          </w:p>
        </w:tc>
        <w:tc>
          <w:tcPr>
            <w:tcW w:type="dxa" w:w="3258"/>
          </w:tcPr>
          <w:p>
            <w:pPr>
              <w:pStyle w:val="Compact"/>
              <w:jc w:val="left"/>
            </w:pPr>
            <w:r>
              <w:rPr>
                <w:sz w:val="22"/>
              </w:rPr>
              <w:t xml:space="preserve">No new journi entry this week — the CFO’s action is logged on M7 (Sponsor &amp; Coalition) as a sponsor action, cross-referenced from E1.</w:t>
            </w:r>
          </w:p>
        </w:tc>
        <w:tc>
          <w:tcPr>
            <w:tcW w:type="dxa" w:w="1261"/>
          </w:tcPr>
          <w:p>
            <w:pPr>
              <w:pStyle w:val="Compact"/>
              <w:jc w:val="left"/>
            </w:pPr>
            <w:r>
              <w:rPr>
                <w:sz w:val="22"/>
              </w:rPr>
              <w:t xml:space="preserve">E1 (Desire Stall at Settat) — Recovery Task 4</w:t>
            </w:r>
          </w:p>
        </w:tc>
      </w:tr>
      <w:tr>
        <w:tc>
          <w:tcPr>
            <w:tcW w:type="dxa" w:w="946"/>
          </w:tcPr>
          <w:p>
            <w:pPr>
              <w:pStyle w:val="Compact"/>
              <w:jc w:val="left"/>
            </w:pPr>
            <w:r>
              <w:rPr>
                <w:bCs/>
                <w:b/>
                <w:sz w:val="22"/>
              </w:rPr>
              <w:t xml:space="preserve">Week 23</w:t>
            </w:r>
          </w:p>
        </w:tc>
        <w:tc>
          <w:tcPr>
            <w:tcW w:type="dxa" w:w="2522"/>
          </w:tcPr>
          <w:p>
            <w:pPr>
              <w:pStyle w:val="Compact"/>
              <w:jc w:val="left"/>
            </w:pPr>
            <w:r>
              <w:rPr>
                <w:bCs/>
                <w:b/>
                <w:sz w:val="22"/>
              </w:rPr>
              <w:t xml:space="preserve">[PM]</w:t>
            </w:r>
            <w:r>
              <w:rPr>
                <w:sz w:val="22"/>
              </w:rPr>
              <w:t xml:space="preserve"> </w:t>
            </w:r>
            <w:r>
              <w:rPr>
                <w:sz w:val="22"/>
              </w:rPr>
              <w:t xml:space="preserve">Configuration sprint 4 continues.</w:t>
            </w:r>
          </w:p>
        </w:tc>
        <w:tc>
          <w:tcPr>
            <w:tcW w:type="dxa" w:w="2522"/>
          </w:tcPr>
          <w:p>
            <w:pPr>
              <w:pStyle w:val="Compact"/>
              <w:jc w:val="left"/>
            </w:pPr>
            <w:r>
              <w:rPr>
                <w:bCs/>
                <w:b/>
                <w:sz w:val="22"/>
              </w:rPr>
              <w:t xml:space="preserve">[CM]</w:t>
            </w:r>
            <w:r>
              <w:rPr>
                <w:sz w:val="22"/>
              </w:rPr>
              <w:t xml:space="preserve"> </w:t>
            </w:r>
            <w:r>
              <w:rPr>
                <w:sz w:val="22"/>
              </w:rPr>
              <w:t xml:space="preserve">Hold — allow one week for the CFO’s commitment to be felt on the floor before re-scoring.</w:t>
            </w:r>
          </w:p>
        </w:tc>
        <w:tc>
          <w:tcPr>
            <w:tcW w:type="dxa" w:w="3258"/>
          </w:tcPr>
          <w:p>
            <w:pPr>
              <w:pStyle w:val="Compact"/>
              <w:jc w:val="left"/>
            </w:pPr>
            <w:r>
              <w:rPr>
                <w:sz w:val="22"/>
              </w:rPr>
              <w:t xml:space="preserve">No journi entry this week.</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24</w:t>
            </w:r>
          </w:p>
        </w:tc>
        <w:tc>
          <w:tcPr>
            <w:tcW w:type="dxa" w:w="2522"/>
          </w:tcPr>
          <w:p>
            <w:pPr>
              <w:pStyle w:val="Compact"/>
              <w:jc w:val="left"/>
            </w:pPr>
            <w:r>
              <w:rPr>
                <w:bCs/>
                <w:b/>
                <w:sz w:val="22"/>
              </w:rPr>
              <w:t xml:space="preserve">[PM]</w:t>
            </w:r>
            <w:r>
              <w:rPr>
                <w:sz w:val="22"/>
              </w:rPr>
              <w:t xml:space="preserve"> </w:t>
            </w:r>
            <w:r>
              <w:rPr>
                <w:sz w:val="22"/>
              </w:rPr>
              <w:t xml:space="preserve">Configuration sprint 4 closes.</w:t>
            </w:r>
          </w:p>
        </w:tc>
        <w:tc>
          <w:tcPr>
            <w:tcW w:type="dxa" w:w="2522"/>
          </w:tcPr>
          <w:p>
            <w:pPr>
              <w:pStyle w:val="Compact"/>
              <w:jc w:val="left"/>
            </w:pPr>
            <w:r>
              <w:rPr>
                <w:bCs/>
                <w:b/>
                <w:sz w:val="22"/>
              </w:rPr>
              <w:t xml:space="preserve">[CM]</w:t>
            </w:r>
            <w:r>
              <w:rPr>
                <w:sz w:val="22"/>
              </w:rPr>
              <w:t xml:space="preserve"> </w:t>
            </w:r>
            <w:r>
              <w:rPr>
                <w:sz w:val="22"/>
              </w:rPr>
              <w:t xml:space="preserve">Run E1’s Recovery Task 5 — re-score Desire and Kübler-Ross sentiment for Settat.</w:t>
            </w:r>
          </w:p>
        </w:tc>
        <w:tc>
          <w:tcPr>
            <w:tcW w:type="dxa" w:w="3258"/>
          </w:tcPr>
          <w:p>
            <w:pPr>
              <w:pStyle w:val="Compact"/>
              <w:jc w:val="left"/>
            </w:pPr>
            <w:r>
              <w:rPr>
                <w:sz w:val="22"/>
              </w:rPr>
              <w:t xml:space="preserve">M5 (ADKAR Engine) — Settat Desire re-scored from 2 to 3, with justification:</w:t>
            </w:r>
            <w:r>
              <w:rPr>
                <w:sz w:val="22"/>
              </w:rPr>
              <w:t xml:space="preserve"> </w:t>
            </w:r>
            <w:r>
              <w:rPr>
                <w:sz w:val="22"/>
              </w:rPr>
              <w:t xml:space="preserve">“</w:t>
            </w:r>
            <w:r>
              <w:rPr>
                <w:sz w:val="22"/>
              </w:rPr>
              <w:t xml:space="preserve">Recovered following CFO staffing commitment (Week 22). Re-scored 2 weeks later per E1 protocol.</w:t>
            </w:r>
            <w:r>
              <w:rPr>
                <w:sz w:val="22"/>
              </w:rPr>
              <w:t xml:space="preserve">”</w:t>
            </w:r>
            <w:r>
              <w:rPr>
                <w:sz w:val="22"/>
              </w:rPr>
              <w:t xml:space="preserve"> </w:t>
            </w:r>
            <w:r>
              <w:rPr>
                <w:sz w:val="22"/>
              </w:rPr>
              <w:t xml:space="preserve">M6 (Emotional &amp; Transition Layer) — Settat Kübler-Ross re-scored from Denial to Resistance/Anger (moving, not yet Exploration).</w:t>
            </w:r>
          </w:p>
        </w:tc>
        <w:tc>
          <w:tcPr>
            <w:tcW w:type="dxa" w:w="1261"/>
          </w:tcPr>
          <w:p>
            <w:pPr>
              <w:pStyle w:val="Compact"/>
              <w:jc w:val="left"/>
            </w:pPr>
            <w:r>
              <w:rPr>
                <w:sz w:val="22"/>
              </w:rPr>
              <w:t xml:space="preserve">E1 (Desire Stall at Settat) — closes</w:t>
            </w:r>
          </w:p>
        </w:tc>
      </w:tr>
      <w:tr>
        <w:tc>
          <w:tcPr>
            <w:tcW w:type="dxa" w:w="946"/>
          </w:tcPr>
          <w:p>
            <w:pPr>
              <w:pStyle w:val="Compact"/>
              <w:jc w:val="left"/>
            </w:pPr>
            <w:r>
              <w:rPr>
                <w:bCs/>
                <w:b/>
                <w:sz w:val="22"/>
              </w:rPr>
              <w:t xml:space="preserve">Week 25</w:t>
            </w:r>
          </w:p>
        </w:tc>
        <w:tc>
          <w:tcPr>
            <w:tcW w:type="dxa" w:w="2522"/>
          </w:tcPr>
          <w:p>
            <w:pPr>
              <w:pStyle w:val="Compact"/>
              <w:jc w:val="left"/>
            </w:pPr>
            <w:r>
              <w:rPr>
                <w:bCs/>
                <w:b/>
                <w:sz w:val="22"/>
              </w:rPr>
              <w:t xml:space="preserve">[PM]</w:t>
            </w:r>
            <w:r>
              <w:rPr>
                <w:sz w:val="22"/>
              </w:rPr>
              <w:t xml:space="preserve"> </w:t>
            </w:r>
            <w:r>
              <w:rPr>
                <w:sz w:val="22"/>
              </w:rPr>
              <w:t xml:space="preserve">Configuration sprint 5 begins — final module: reporting and dashboards.</w:t>
            </w:r>
          </w:p>
        </w:tc>
        <w:tc>
          <w:tcPr>
            <w:tcW w:type="dxa" w:w="2522"/>
          </w:tcPr>
          <w:p>
            <w:pPr>
              <w:pStyle w:val="Compact"/>
              <w:jc w:val="left"/>
            </w:pPr>
            <w:r>
              <w:rPr>
                <w:bCs/>
                <w:b/>
                <w:sz w:val="22"/>
              </w:rPr>
              <w:t xml:space="preserve">[CM]</w:t>
            </w:r>
            <w:r>
              <w:rPr>
                <w:sz w:val="22"/>
              </w:rPr>
              <w:t xml:space="preserve"> </w:t>
            </w:r>
            <w:r>
              <w:rPr>
                <w:sz w:val="22"/>
              </w:rPr>
              <w:t xml:space="preserve">Confirm Settat’s recovery is holding; no further E1 action needed.</w:t>
            </w:r>
          </w:p>
        </w:tc>
        <w:tc>
          <w:tcPr>
            <w:tcW w:type="dxa" w:w="3258"/>
          </w:tcPr>
          <w:p>
            <w:pPr>
              <w:pStyle w:val="Compact"/>
              <w:jc w:val="left"/>
            </w:pPr>
            <w:r>
              <w:rPr>
                <w:sz w:val="22"/>
              </w:rPr>
              <w:t xml:space="preserve">No journi entry this week.</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26</w:t>
            </w:r>
          </w:p>
        </w:tc>
        <w:tc>
          <w:tcPr>
            <w:tcW w:type="dxa" w:w="2522"/>
          </w:tcPr>
          <w:p>
            <w:pPr>
              <w:pStyle w:val="Compact"/>
              <w:jc w:val="left"/>
            </w:pPr>
            <w:r>
              <w:rPr>
                <w:bCs/>
                <w:b/>
                <w:sz w:val="22"/>
              </w:rPr>
              <w:t xml:space="preserve">[PM]</w:t>
            </w:r>
            <w:r>
              <w:rPr>
                <w:sz w:val="22"/>
              </w:rPr>
              <w:t xml:space="preserve"> </w:t>
            </w:r>
            <w:r>
              <w:rPr>
                <w:sz w:val="22"/>
              </w:rPr>
              <w:t xml:space="preserve">Configuration sprint 5 closes; internal configuration testing begins ahead of formal SIT in Phase 4.</w:t>
            </w:r>
          </w:p>
        </w:tc>
        <w:tc>
          <w:tcPr>
            <w:tcW w:type="dxa" w:w="2522"/>
          </w:tcPr>
          <w:p>
            <w:pPr>
              <w:pStyle w:val="Compact"/>
              <w:jc w:val="left"/>
            </w:pPr>
            <w:r>
              <w:rPr>
                <w:bCs/>
                <w:b/>
                <w:sz w:val="22"/>
              </w:rPr>
              <w:t xml:space="preserve">[CM]</w:t>
            </w:r>
            <w:r>
              <w:rPr>
                <w:sz w:val="22"/>
              </w:rPr>
              <w:t xml:space="preserve"> </w:t>
            </w:r>
            <w:r>
              <w:rPr>
                <w:sz w:val="22"/>
              </w:rPr>
              <w:t xml:space="preserve">Review the full-phase ADKAR picture across all three sites ahead of the Lewin call.</w:t>
            </w:r>
          </w:p>
        </w:tc>
        <w:tc>
          <w:tcPr>
            <w:tcW w:type="dxa" w:w="3258"/>
          </w:tcPr>
          <w:p>
            <w:pPr>
              <w:pStyle w:val="Compact"/>
              <w:jc w:val="left"/>
            </w:pPr>
            <w:r>
              <w:rPr>
                <w:sz w:val="22"/>
              </w:rPr>
              <w:t xml:space="preserve">No journi entry this week.</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27</w:t>
            </w:r>
          </w:p>
        </w:tc>
        <w:tc>
          <w:tcPr>
            <w:tcW w:type="dxa" w:w="2522"/>
          </w:tcPr>
          <w:p>
            <w:pPr>
              <w:pStyle w:val="Compact"/>
              <w:jc w:val="left"/>
            </w:pPr>
            <w:r>
              <w:rPr>
                <w:bCs/>
                <w:b/>
                <w:sz w:val="22"/>
              </w:rPr>
              <w:t xml:space="preserve">[PM]</w:t>
            </w:r>
            <w:r>
              <w:rPr>
                <w:sz w:val="22"/>
              </w:rPr>
              <w:t xml:space="preserve"> </w:t>
            </w:r>
            <w:r>
              <w:rPr>
                <w:sz w:val="22"/>
              </w:rPr>
              <w:t xml:space="preserve">Internal configuration testing continues; defect list compiled for Phase 4’s Task 1.</w:t>
            </w:r>
          </w:p>
        </w:tc>
        <w:tc>
          <w:tcPr>
            <w:tcW w:type="dxa" w:w="2522"/>
          </w:tcPr>
          <w:p>
            <w:pPr>
              <w:pStyle w:val="Compact"/>
              <w:jc w:val="left"/>
            </w:pPr>
            <w:r>
              <w:rPr>
                <w:bCs/>
                <w:b/>
                <w:sz w:val="22"/>
              </w:rPr>
              <w:t xml:space="preserve">[CM]</w:t>
            </w:r>
            <w:r>
              <w:rPr>
                <w:sz w:val="22"/>
              </w:rPr>
              <w:t xml:space="preserve"> </w:t>
            </w:r>
            <w:r>
              <w:rPr>
                <w:sz w:val="22"/>
              </w:rPr>
              <w:t xml:space="preserve">Draft the Lewin phase-call justification for Steering Committee pre-review.</w:t>
            </w:r>
          </w:p>
        </w:tc>
        <w:tc>
          <w:tcPr>
            <w:tcW w:type="dxa" w:w="3258"/>
          </w:tcPr>
          <w:p>
            <w:pPr>
              <w:pStyle w:val="Compact"/>
              <w:jc w:val="left"/>
            </w:pPr>
            <w:r>
              <w:rPr>
                <w:sz w:val="22"/>
              </w:rPr>
              <w:t xml:space="preserve">No journi entry this week.</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28</w:t>
            </w:r>
          </w:p>
        </w:tc>
        <w:tc>
          <w:tcPr>
            <w:tcW w:type="dxa" w:w="2522"/>
          </w:tcPr>
          <w:p>
            <w:pPr>
              <w:pStyle w:val="Compact"/>
              <w:jc w:val="left"/>
            </w:pPr>
            <w:r>
              <w:rPr>
                <w:bCs/>
                <w:b/>
                <w:sz w:val="22"/>
              </w:rPr>
              <w:t xml:space="preserve">[PM]</w:t>
            </w:r>
            <w:r>
              <w:rPr>
                <w:sz w:val="22"/>
              </w:rPr>
              <w:t xml:space="preserve"> </w:t>
            </w:r>
            <w:r>
              <w:rPr>
                <w:sz w:val="22"/>
              </w:rPr>
              <w:t xml:space="preserve">Configuration functionally complete; hand off to Phase 4’s formal SIT (see Phase 4, Week 28).</w:t>
            </w:r>
          </w:p>
        </w:tc>
        <w:tc>
          <w:tcPr>
            <w:tcW w:type="dxa" w:w="2522"/>
          </w:tcPr>
          <w:p>
            <w:pPr>
              <w:pStyle w:val="Compact"/>
              <w:jc w:val="left"/>
            </w:pPr>
            <w:r>
              <w:rPr>
                <w:bCs/>
                <w:b/>
                <w:sz w:val="22"/>
              </w:rPr>
              <w:t xml:space="preserve">[CM]</w:t>
            </w:r>
            <w:r>
              <w:rPr>
                <w:sz w:val="22"/>
              </w:rPr>
              <w:t xml:space="preserve"> </w:t>
            </w:r>
            <w:r>
              <w:rPr>
                <w:sz w:val="22"/>
              </w:rPr>
              <w:t xml:space="preserve">Review the evidence against Section 1B.1’s signal catalogue (Task 4, Step 1) — confirm configuration sprints landed, Desire trended upward (including Settat’s recovery), and no cohort remains below a Desire of 3.</w:t>
            </w:r>
          </w:p>
        </w:tc>
        <w:tc>
          <w:tcPr>
            <w:tcW w:type="dxa" w:w="3258"/>
          </w:tcPr>
          <w:p>
            <w:pPr>
              <w:pStyle w:val="Compact"/>
              <w:jc w:val="left"/>
            </w:pPr>
            <w:r>
              <w:rPr>
                <w:sz w:val="22"/>
              </w:rPr>
              <w:t xml:space="preserve">No journi entry this week — evidence review is a facilitated session ahead of the Week 29 phase-call entry.</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29</w:t>
            </w:r>
          </w:p>
        </w:tc>
        <w:tc>
          <w:tcPr>
            <w:tcW w:type="dxa" w:w="2522"/>
          </w:tcPr>
          <w:p>
            <w:pPr>
              <w:pStyle w:val="Compact"/>
              <w:jc w:val="left"/>
            </w:pPr>
            <w:r>
              <w:rPr>
                <w:bCs/>
                <w:b/>
                <w:sz w:val="22"/>
              </w:rPr>
              <w:t xml:space="preserve">[PM]</w:t>
            </w:r>
            <w:r>
              <w:rPr>
                <w:sz w:val="22"/>
              </w:rPr>
              <w:t xml:space="preserve"> </w:t>
            </w:r>
            <w:r>
              <w:rPr>
                <w:sz w:val="22"/>
              </w:rPr>
              <w:t xml:space="preserve">Confirm with the Steering Committee that Build’s technical scope is complete.</w:t>
            </w:r>
          </w:p>
        </w:tc>
        <w:tc>
          <w:tcPr>
            <w:tcW w:type="dxa" w:w="2522"/>
          </w:tcPr>
          <w:p>
            <w:pPr>
              <w:pStyle w:val="Compact"/>
              <w:jc w:val="left"/>
            </w:pPr>
            <w:r>
              <w:rPr>
                <w:bCs/>
                <w:b/>
                <w:sz w:val="22"/>
              </w:rPr>
              <w:t xml:space="preserve">[CM]</w:t>
            </w:r>
            <w:r>
              <w:rPr>
                <w:sz w:val="22"/>
              </w:rPr>
              <w:t xml:space="preserve"> </w:t>
            </w:r>
            <w:r>
              <w:rPr>
                <w:sz w:val="22"/>
              </w:rPr>
              <w:t xml:space="preserve">Set Lewin = Change on M3 (Initiative Registry) with a written justification (Task 4, Step 2).</w:t>
            </w:r>
          </w:p>
        </w:tc>
        <w:tc>
          <w:tcPr>
            <w:tcW w:type="dxa" w:w="3258"/>
          </w:tcPr>
          <w:p>
            <w:pPr>
              <w:pStyle w:val="Compact"/>
              <w:jc w:val="left"/>
            </w:pPr>
            <w:r>
              <w:rPr>
                <w:sz w:val="22"/>
              </w:rPr>
              <w:t xml:space="preserve">M3 (Initiative Registry) — type in:</w:t>
            </w:r>
            <w:r>
              <w:rPr>
                <w:sz w:val="22"/>
              </w:rPr>
              <w:t xml:space="preserve"> </w:t>
            </w:r>
            <w:r>
              <w:rPr>
                <w:sz w:val="22"/>
              </w:rPr>
              <w:t xml:space="preserve">“</w:t>
            </w:r>
            <w:r>
              <w:rPr>
                <w:sz w:val="22"/>
              </w:rPr>
              <w:t xml:space="preserve">Moving Unfreeze → Change. Configuration sprints 1–5 complete against approved design principles; Desire trending upward across all three sites, including Settat’s recovery from the Week 18–24 stall (see E1 log). Evidence reviewed with Steering Committee 29 [date]; no dissent recorded.</w:t>
            </w:r>
            <w:r>
              <w:rPr>
                <w:sz w:val="22"/>
              </w:rPr>
              <w:t xml:space="preserve">”</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30</w:t>
            </w:r>
          </w:p>
        </w:tc>
        <w:tc>
          <w:tcPr>
            <w:tcW w:type="dxa" w:w="2522"/>
          </w:tcPr>
          <w:p>
            <w:pPr>
              <w:pStyle w:val="Compact"/>
              <w:jc w:val="left"/>
            </w:pPr>
            <w:r>
              <w:rPr>
                <w:bCs/>
                <w:b/>
                <w:sz w:val="22"/>
              </w:rPr>
              <w:t xml:space="preserve">[PM]</w:t>
            </w:r>
            <w:r>
              <w:rPr>
                <w:sz w:val="22"/>
              </w:rPr>
              <w:t xml:space="preserve"> </w:t>
            </w:r>
            <w:r>
              <w:rPr>
                <w:sz w:val="22"/>
              </w:rPr>
              <w:t xml:space="preserve">Confirm the Phase 3 gate: configuration complete, Lewin = Change on real evidence.</w:t>
            </w:r>
          </w:p>
        </w:tc>
        <w:tc>
          <w:tcPr>
            <w:tcW w:type="dxa" w:w="2522"/>
          </w:tcPr>
          <w:p>
            <w:pPr>
              <w:pStyle w:val="Compact"/>
              <w:jc w:val="left"/>
            </w:pPr>
            <w:r>
              <w:rPr>
                <w:bCs/>
                <w:b/>
                <w:sz w:val="22"/>
              </w:rPr>
              <w:t xml:space="preserve">[CM]</w:t>
            </w:r>
            <w:r>
              <w:rPr>
                <w:sz w:val="22"/>
              </w:rPr>
              <w:t xml:space="preserve"> </w:t>
            </w:r>
            <w:r>
              <w:rPr>
                <w:sz w:val="22"/>
              </w:rPr>
              <w:t xml:space="preserve">Hand off to Phase 5’s Train track, which begins this same week (see Phase 5, Week 30).</w:t>
            </w:r>
          </w:p>
        </w:tc>
        <w:tc>
          <w:tcPr>
            <w:tcW w:type="dxa" w:w="3258"/>
          </w:tcPr>
          <w:p>
            <w:pPr>
              <w:pStyle w:val="Compact"/>
              <w:jc w:val="left"/>
            </w:pPr>
            <w:r>
              <w:rPr>
                <w:sz w:val="22"/>
              </w:rPr>
              <w:t xml:space="preserve">M17 (WBS &amp; Gantt) — Build phase marked complete; Phase Gate recorded as Go.</w:t>
            </w:r>
          </w:p>
        </w:tc>
        <w:tc>
          <w:tcPr>
            <w:tcW w:type="dxa" w:w="1261"/>
          </w:tcPr>
          <w:p>
            <w:pPr>
              <w:pStyle w:val="Compact"/>
              <w:jc w:val="left"/>
            </w:pPr>
            <w:r>
              <w:rPr>
                <w:sz w:val="22"/>
              </w:rPr>
              <w:t xml:space="preserve">—</w:t>
            </w:r>
          </w:p>
        </w:tc>
      </w:tr>
    </w:tbl>
    <w:p>
      <w:pPr>
        <w:pStyle w:val="BodyText"/>
      </w:pPr>
      <w:r>
        <w:rPr>
          <w:bCs/>
          <w:b/>
          <w:sz w:val="25"/>
        </w:rPr>
        <w:t xml:space="preserve">Phase gate:</w:t>
      </w:r>
      <w:r>
        <w:rPr>
          <w:sz w:val="25"/>
        </w:rPr>
        <w:t xml:space="preserve"> </w:t>
      </w:r>
      <w:r>
        <w:rPr>
          <w:sz w:val="25"/>
        </w:rPr>
        <w:t xml:space="preserve">Build closes once the platform configuration is functionally complete and Lewin has moved to Change on real evidence — a No-Go or Conditional call here (ALT-009 (Phase Gate No-Go / Conditional), Part 5) means configuration is not ready for Test, and the phase does not advance on schedule alone.</w:t>
      </w:r>
    </w:p>
    <w:p>
      <w:pPr>
        <w:pStyle w:val="BodyText"/>
      </w:pPr>
      <w:r>
        <w:rPr>
          <w:bCs/>
          <w:b/>
          <w:sz w:val="25"/>
        </w:rPr>
        <w:t xml:space="preserve">SIPOC.</w:t>
      </w:r>
      <w:r>
        <w:rPr>
          <w:sz w:val="25"/>
        </w:rPr>
        <w:t xml:space="preserve"> </w:t>
      </w:r>
      <w:r>
        <w:rPr>
          <w:sz w:val="25"/>
        </w:rPr>
        <w:t xml:space="preserve">Suppliers: ITL; configuration sprint teams; the champion network. · Inputs: Signed-off future-state process maps; design principles; Awareness-stage ADKAR data. · Process: this phase’s four Tasks in sequence · Outputs: Functionally complete configured build; briefed champion network; Lewin = Change. · Customers: Program Manager; Change Manager; Test-phase team.</w:t>
      </w:r>
    </w:p>
    <w:p>
      <w:pPr>
        <w:pStyle w:val="BodyText"/>
      </w:pPr>
      <w:r>
        <w:rPr>
          <w:bCs/>
          <w:b/>
          <w:sz w:val="25"/>
        </w:rPr>
        <w:t xml:space="preserve">RACSI for this phase.</w:t>
      </w:r>
      <w:r>
        <w:rPr>
          <w:sz w:val="25"/>
        </w:rPr>
        <w:t xml:space="preserve"> </w:t>
      </w:r>
      <w:r>
        <w:rPr>
          <w:sz w:val="25"/>
        </w:rPr>
        <w:t xml:space="preserve">R = ITL, CM · A = PM · C = FPO, ES · S = SUP · I = EU</w:t>
      </w:r>
    </w:p>
    <w:p>
      <w:pPr>
        <w:pStyle w:val="BodyText"/>
      </w:pPr>
    </w:p>
    <w:bookmarkEnd w:id="39"/>
    <w:bookmarkStart w:id="40" w:name="phase-4-test-w2838"/>
    <w:p>
      <w:pPr>
        <w:pStyle w:val="Heading4"/>
      </w:pPr>
      <w:r>
        <w:rPr>
          <w:b/>
          <w:color w:val="5A8F89"/>
          <w:sz w:val="26"/>
        </w:rPr>
        <w:t xml:space="preserve">Phase 4 — Test (W28–38)</w:t>
      </w:r>
    </w:p>
    <w:p>
      <w:pPr>
        <w:pStyle w:val="FirstParagraph"/>
      </w:pPr>
      <w:r>
        <w:rPr>
          <w:bCs/>
          <w:b/>
          <w:sz w:val="25"/>
        </w:rPr>
        <w:t xml:space="preserve">Framework readings at close:</w:t>
      </w:r>
      <w:r>
        <w:rPr>
          <w:sz w:val="25"/>
        </w:rPr>
        <w:t xml:space="preserve"> </w:t>
      </w:r>
      <w:r>
        <w:rPr>
          <w:sz w:val="25"/>
        </w:rPr>
        <w:t xml:space="preserve">Lewin Change · ADKAR focus Knowledge · Bridges Neutral Zone · Kübler-Ross Resistance/Anger → Exploration.</w:t>
      </w:r>
    </w:p>
    <w:p>
      <w:pPr>
        <w:pStyle w:val="BodyText"/>
      </w:pPr>
      <w:r>
        <w:rPr>
          <w:sz w:val="25"/>
        </w:rPr>
        <w:t xml:space="preserve">Test is the first point a representative slice of end users gets real hands-on exposure — and the first honest opportunity to run the Divergence Pattern check. Exception E2 (Divergence Pattern at UAT) plays out inside the week-by-week table below.</w:t>
      </w:r>
    </w:p>
    <w:tbl>
      <w:tblPr>
        <w:tblStyle w:val="Table"/>
        <w:tblW w:type="pct" w:w="5000"/>
        <w:jc w:val="center"/>
        <w:tblLayout w:type="fixed"/>
        <w:tblLook w:firstRow="1" w:lastRow="0" w:firstColumn="0" w:lastColumn="0" w:noHBand="0" w:noVBand="0" w:val="0020"/>
      </w:tblPr>
      <w:tblGrid>
        <w:gridCol w:w="600760"/>
        <w:gridCol w:w="1602028"/>
        <w:gridCol w:w="1602028"/>
        <w:gridCol w:w="2069287"/>
        <w:gridCol w:w="801014"/>
      </w:tblGrid>
      <w:tr>
        <w:trPr>
          <w:tblHeader w:val="true"/>
        </w:trPr>
        <w:tc>
          <w:tcPr>
            <w:tcW w:type="dxa" w:w="946"/>
            <w:shd w:val="clear" w:fill="1F4B45"/>
          </w:tcPr>
          <w:p>
            <w:pPr>
              <w:pStyle w:val="Compact"/>
              <w:jc w:val="left"/>
            </w:pPr>
            <w:r>
              <w:rPr>
                <w:b/>
                <w:color w:val="FFFFFF"/>
                <w:sz w:val="22"/>
              </w:rPr>
              <w:t xml:space="preserve">Week</w:t>
            </w:r>
          </w:p>
        </w:tc>
        <w:tc>
          <w:tcPr>
            <w:tcW w:type="dxa" w:w="2522"/>
            <w:shd w:val="clear" w:fill="1F4B45"/>
          </w:tcPr>
          <w:p>
            <w:pPr>
              <w:pStyle w:val="Compact"/>
              <w:jc w:val="left"/>
            </w:pPr>
            <w:r>
              <w:rPr>
                <w:b/>
                <w:color w:val="FFFFFF"/>
                <w:sz w:val="22"/>
              </w:rPr>
              <w:t xml:space="preserve">Project Manager (PM) Track</w:t>
            </w:r>
          </w:p>
        </w:tc>
        <w:tc>
          <w:tcPr>
            <w:tcW w:type="dxa" w:w="2522"/>
            <w:shd w:val="clear" w:fill="1F4B45"/>
          </w:tcPr>
          <w:p>
            <w:pPr>
              <w:pStyle w:val="Compact"/>
              <w:jc w:val="left"/>
            </w:pPr>
            <w:r>
              <w:rPr>
                <w:b/>
                <w:color w:val="FFFFFF"/>
                <w:sz w:val="22"/>
              </w:rPr>
              <w:t xml:space="preserve">Change Manager (CM) Track</w:t>
            </w:r>
          </w:p>
        </w:tc>
        <w:tc>
          <w:tcPr>
            <w:tcW w:type="dxa" w:w="3258"/>
            <w:shd w:val="clear" w:fill="1F4B45"/>
          </w:tcPr>
          <w:p>
            <w:pPr>
              <w:pStyle w:val="Compact"/>
              <w:jc w:val="left"/>
            </w:pPr>
            <w:r>
              <w:rPr>
                <w:b/>
                <w:color w:val="FFFFFF"/>
                <w:sz w:val="22"/>
              </w:rPr>
              <w:t xml:space="preserve">journi Entry — What to Type In</w:t>
            </w:r>
          </w:p>
        </w:tc>
        <w:tc>
          <w:tcPr>
            <w:tcW w:type="dxa" w:w="1261"/>
            <w:shd w:val="clear" w:fill="1F4B45"/>
          </w:tcPr>
          <w:p>
            <w:pPr>
              <w:pStyle w:val="Compact"/>
              <w:jc w:val="left"/>
            </w:pPr>
            <w:r>
              <w:rPr>
                <w:b/>
                <w:color w:val="FFFFFF"/>
                <w:sz w:val="22"/>
              </w:rPr>
              <w:t xml:space="preserve">Exception</w:t>
            </w:r>
          </w:p>
        </w:tc>
      </w:tr>
      <w:tr>
        <w:tc>
          <w:tcPr>
            <w:tcW w:type="dxa" w:w="946"/>
          </w:tcPr>
          <w:p>
            <w:pPr>
              <w:pStyle w:val="Compact"/>
              <w:jc w:val="left"/>
            </w:pPr>
            <w:r>
              <w:rPr>
                <w:bCs/>
                <w:b/>
                <w:sz w:val="22"/>
              </w:rPr>
              <w:t xml:space="preserve">Week 28</w:t>
            </w:r>
          </w:p>
        </w:tc>
        <w:tc>
          <w:tcPr>
            <w:tcW w:type="dxa" w:w="2522"/>
          </w:tcPr>
          <w:p>
            <w:pPr>
              <w:pStyle w:val="Compact"/>
              <w:jc w:val="left"/>
            </w:pPr>
            <w:r>
              <w:rPr>
                <w:bCs/>
                <w:b/>
                <w:sz w:val="22"/>
              </w:rPr>
              <w:t xml:space="preserve">[PM]</w:t>
            </w:r>
            <w:r>
              <w:rPr>
                <w:sz w:val="22"/>
              </w:rPr>
              <w:t xml:space="preserve"> </w:t>
            </w:r>
            <w:r>
              <w:rPr>
                <w:sz w:val="22"/>
              </w:rPr>
              <w:t xml:space="preserve">Run the SIT test script against the configured build (Task 1, Step 1) — ITL executes 40 scripted scenarios across Order Management, Inventory, and Finance.</w:t>
            </w:r>
          </w:p>
        </w:tc>
        <w:tc>
          <w:tcPr>
            <w:tcW w:type="dxa" w:w="2522"/>
          </w:tcPr>
          <w:p>
            <w:pPr>
              <w:pStyle w:val="Compact"/>
              <w:jc w:val="left"/>
            </w:pPr>
            <w:r>
              <w:rPr>
                <w:bCs/>
                <w:b/>
                <w:sz w:val="22"/>
              </w:rPr>
              <w:t xml:space="preserve">[CM]</w:t>
            </w:r>
            <w:r>
              <w:rPr>
                <w:sz w:val="22"/>
              </w:rPr>
              <w:t xml:space="preserve"> </w:t>
            </w:r>
            <w:r>
              <w:rPr>
                <w:sz w:val="22"/>
              </w:rPr>
              <w:t xml:space="preserve">Observe SIT results for any defect likely to affect a cohort already flagged sensitive (Settat, per Exception E1 (Desire Stall at Settat)’s recovery).</w:t>
            </w:r>
          </w:p>
        </w:tc>
        <w:tc>
          <w:tcPr>
            <w:tcW w:type="dxa" w:w="3258"/>
          </w:tcPr>
          <w:p>
            <w:pPr>
              <w:pStyle w:val="Compact"/>
              <w:jc w:val="left"/>
            </w:pPr>
            <w:r>
              <w:rPr>
                <w:sz w:val="22"/>
              </w:rPr>
              <w:t xml:space="preserve">M17 (WBS &amp; Gantt) — task</w:t>
            </w:r>
            <w:r>
              <w:rPr>
                <w:sz w:val="22"/>
              </w:rPr>
              <w:t xml:space="preserve"> </w:t>
            </w:r>
            <w:r>
              <w:rPr>
                <w:sz w:val="22"/>
              </w:rPr>
              <w:t xml:space="preserve">“</w:t>
            </w:r>
            <w:r>
              <w:rPr>
                <w:sz w:val="22"/>
              </w:rPr>
              <w:t xml:space="preserve">System Integration Testing</w:t>
            </w:r>
            <w:r>
              <w:rPr>
                <w:sz w:val="22"/>
              </w:rPr>
              <w:t xml:space="preserve">”</w:t>
            </w:r>
            <w:r>
              <w:rPr>
                <w:sz w:val="22"/>
              </w:rPr>
              <w:t xml:space="preserve"> </w:t>
            </w:r>
            <w:r>
              <w:rPr>
                <w:sz w:val="22"/>
              </w:rPr>
              <w:t xml:space="preserve">logged, actual start date recorded.</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29</w:t>
            </w:r>
          </w:p>
        </w:tc>
        <w:tc>
          <w:tcPr>
            <w:tcW w:type="dxa" w:w="2522"/>
          </w:tcPr>
          <w:p>
            <w:pPr>
              <w:pStyle w:val="Compact"/>
              <w:jc w:val="left"/>
            </w:pPr>
            <w:r>
              <w:rPr>
                <w:bCs/>
                <w:b/>
                <w:sz w:val="22"/>
              </w:rPr>
              <w:t xml:space="preserve">[PM]</w:t>
            </w:r>
            <w:r>
              <w:rPr>
                <w:sz w:val="22"/>
              </w:rPr>
              <w:t xml:space="preserve"> </w:t>
            </w:r>
            <w:r>
              <w:rPr>
                <w:sz w:val="22"/>
              </w:rPr>
              <w:t xml:space="preserve">Triage and close SIT defects by severity (Task 1, Step 2) — type in, for example:</w:t>
            </w:r>
            <w:r>
              <w:rPr>
                <w:sz w:val="22"/>
              </w:rPr>
              <w:t xml:space="preserve"> </w:t>
            </w:r>
            <w:r>
              <w:rPr>
                <w:sz w:val="22"/>
              </w:rPr>
              <w:t xml:space="preserve">“</w:t>
            </w:r>
            <w:r>
              <w:rPr>
                <w:sz w:val="22"/>
              </w:rPr>
              <w:t xml:space="preserve">Defect #14, Critical: stock-movement record duplicates on split shipment. Closed 29 [date].</w:t>
            </w:r>
            <w:r>
              <w:rPr>
                <w:sz w:val="22"/>
              </w:rPr>
              <w:t xml:space="preserve">”</w:t>
            </w:r>
            <w:r>
              <w:rPr>
                <w:sz w:val="22"/>
              </w:rPr>
              <w:t xml:space="preserve"> </w:t>
            </w:r>
            <w:r>
              <w:rPr>
                <w:sz w:val="22"/>
              </w:rPr>
              <w:t xml:space="preserve">“</w:t>
            </w:r>
            <w:r>
              <w:rPr>
                <w:sz w:val="22"/>
              </w:rPr>
              <w:t xml:space="preserve">Defect #22, Low: report label mismatch. Deferred, not UAT-blocking.</w:t>
            </w:r>
            <w:r>
              <w:rPr>
                <w:sz w:val="22"/>
              </w:rPr>
              <w:t xml:space="preserve">”</w:t>
            </w:r>
          </w:p>
        </w:tc>
        <w:tc>
          <w:tcPr>
            <w:tcW w:type="dxa" w:w="2522"/>
          </w:tcPr>
          <w:p>
            <w:pPr>
              <w:pStyle w:val="Compact"/>
              <w:jc w:val="left"/>
            </w:pPr>
            <w:r>
              <w:rPr>
                <w:bCs/>
                <w:b/>
                <w:sz w:val="22"/>
              </w:rPr>
              <w:t xml:space="preserve">[CM]</w:t>
            </w:r>
            <w:r>
              <w:rPr>
                <w:sz w:val="22"/>
              </w:rPr>
              <w:t xml:space="preserve"> </w:t>
            </w:r>
            <w:r>
              <w:rPr>
                <w:sz w:val="22"/>
              </w:rPr>
              <w:t xml:space="preserve">Confirm no open Critical or High defect touches a Settat or Kenitra process step, ahead of UAT recruitment.</w:t>
            </w:r>
          </w:p>
        </w:tc>
        <w:tc>
          <w:tcPr>
            <w:tcW w:type="dxa" w:w="3258"/>
          </w:tcPr>
          <w:p>
            <w:pPr>
              <w:pStyle w:val="Compact"/>
              <w:jc w:val="left"/>
            </w:pPr>
            <w:r>
              <w:rPr>
                <w:sz w:val="22"/>
              </w:rPr>
              <w:t xml:space="preserve">M13 (Risk Register) — log any deferred defect with residual risk (for example, Defect #22) as a low-severity, open Risk Register entry.</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30</w:t>
            </w:r>
          </w:p>
        </w:tc>
        <w:tc>
          <w:tcPr>
            <w:tcW w:type="dxa" w:w="2522"/>
          </w:tcPr>
          <w:p>
            <w:pPr>
              <w:pStyle w:val="Compact"/>
              <w:jc w:val="left"/>
            </w:pPr>
            <w:r>
              <w:rPr>
                <w:bCs/>
                <w:b/>
                <w:sz w:val="22"/>
              </w:rPr>
              <w:t xml:space="preserve">[PM]</w:t>
            </w:r>
            <w:r>
              <w:rPr>
                <w:sz w:val="22"/>
              </w:rPr>
              <w:t xml:space="preserve"> </w:t>
            </w:r>
            <w:r>
              <w:rPr>
                <w:sz w:val="22"/>
              </w:rPr>
              <w:t xml:space="preserve">Confirm SIT sign-off; hand configured build to UAT.</w:t>
            </w:r>
          </w:p>
        </w:tc>
        <w:tc>
          <w:tcPr>
            <w:tcW w:type="dxa" w:w="2522"/>
          </w:tcPr>
          <w:p>
            <w:pPr>
              <w:pStyle w:val="Compact"/>
              <w:jc w:val="left"/>
            </w:pPr>
            <w:r>
              <w:rPr>
                <w:bCs/>
                <w:b/>
                <w:sz w:val="22"/>
              </w:rPr>
              <w:t xml:space="preserve">[CM]</w:t>
            </w:r>
            <w:r>
              <w:rPr>
                <w:sz w:val="22"/>
              </w:rPr>
              <w:t xml:space="preserve"> </w:t>
            </w:r>
            <w:r>
              <w:rPr>
                <w:sz w:val="22"/>
              </w:rPr>
              <w:t xml:space="preserve">Select UAT participants proportionate to each site’s population (Task 2, Step 1) — type in: Casablanca Finance — 5 participants (out of 140 staff); Kenitra Plant Operations — 3 participants; Settat Plant Operations — 3 participants.</w:t>
            </w:r>
          </w:p>
        </w:tc>
        <w:tc>
          <w:tcPr>
            <w:tcW w:type="dxa" w:w="3258"/>
          </w:tcPr>
          <w:p>
            <w:pPr>
              <w:pStyle w:val="Compact"/>
              <w:jc w:val="left"/>
            </w:pPr>
            <w:r>
              <w:rPr>
                <w:sz w:val="22"/>
              </w:rPr>
              <w:t xml:space="preserve">No journi entry yet — names confirmed with site managers before the Week 31 roster entry.</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31</w:t>
            </w:r>
          </w:p>
        </w:tc>
        <w:tc>
          <w:tcPr>
            <w:tcW w:type="dxa" w:w="2522"/>
          </w:tcPr>
          <w:p>
            <w:pPr>
              <w:pStyle w:val="Compact"/>
              <w:jc w:val="left"/>
            </w:pPr>
            <w:r>
              <w:rPr>
                <w:bCs/>
                <w:b/>
                <w:sz w:val="22"/>
              </w:rPr>
              <w:t xml:space="preserve">[PM]</w:t>
            </w:r>
            <w:r>
              <w:rPr>
                <w:sz w:val="22"/>
              </w:rPr>
              <w:t xml:space="preserve"> </w:t>
            </w:r>
            <w:r>
              <w:rPr>
                <w:sz w:val="22"/>
              </w:rPr>
              <w:t xml:space="preserve">Finalize UAT scripts and acceptance criteria with the recruited cohort’s managers.</w:t>
            </w:r>
          </w:p>
        </w:tc>
        <w:tc>
          <w:tcPr>
            <w:tcW w:type="dxa" w:w="2522"/>
          </w:tcPr>
          <w:p>
            <w:pPr>
              <w:pStyle w:val="Compact"/>
              <w:jc w:val="left"/>
            </w:pPr>
            <w:r>
              <w:rPr>
                <w:bCs/>
                <w:b/>
                <w:sz w:val="22"/>
              </w:rPr>
              <w:t xml:space="preserve">[CM]</w:t>
            </w:r>
            <w:r>
              <w:rPr>
                <w:sz w:val="22"/>
              </w:rPr>
              <w:t xml:space="preserve"> </w:t>
            </w:r>
            <w:r>
              <w:rPr>
                <w:sz w:val="22"/>
              </w:rPr>
              <w:t xml:space="preserve">Log the UAT roster and acceptance criteria (Task 2, Step 2).</w:t>
            </w:r>
          </w:p>
        </w:tc>
        <w:tc>
          <w:tcPr>
            <w:tcW w:type="dxa" w:w="3258"/>
          </w:tcPr>
          <w:p>
            <w:pPr>
              <w:pStyle w:val="Compact"/>
              <w:jc w:val="left"/>
            </w:pPr>
            <w:r>
              <w:rPr>
                <w:sz w:val="22"/>
              </w:rPr>
              <w:t xml:space="preserve">M4 (Stakeholder Mapping) — type in the 11 named UAT participants against their existing cohort entries, tagged</w:t>
            </w:r>
            <w:r>
              <w:rPr>
                <w:sz w:val="22"/>
              </w:rPr>
              <w:t xml:space="preserve"> </w:t>
            </w:r>
            <w:r>
              <w:rPr>
                <w:sz w:val="22"/>
              </w:rPr>
              <w:t xml:space="preserve">“</w:t>
            </w:r>
            <w:r>
              <w:rPr>
                <w:sz w:val="22"/>
              </w:rPr>
              <w:t xml:space="preserve">UAT Cohort — Wave 1</w:t>
            </w:r>
            <w:r>
              <w:rPr>
                <w:sz w:val="22"/>
              </w:rPr>
              <w:t xml:space="preserve">”</w:t>
            </w:r>
            <w:r>
              <w:rPr>
                <w:sz w:val="22"/>
              </w:rPr>
              <w:t xml:space="preserve">; acceptance criteria noted:</w:t>
            </w:r>
            <w:r>
              <w:rPr>
                <w:sz w:val="22"/>
              </w:rPr>
              <w:t xml:space="preserve"> </w:t>
            </w:r>
            <w:r>
              <w:rPr>
                <w:sz w:val="22"/>
              </w:rPr>
              <w:t xml:space="preserve">“</w:t>
            </w:r>
            <w:r>
              <w:rPr>
                <w:sz w:val="22"/>
              </w:rPr>
              <w:t xml:space="preserve">Pass = complete order-to-cash cycle end to end with no Critical defect and a self-reported confidence of 3 or higher.</w:t>
            </w:r>
            <w:r>
              <w:rPr>
                <w:sz w:val="22"/>
              </w:rPr>
              <w:t xml:space="preserve">”</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32</w:t>
            </w:r>
          </w:p>
        </w:tc>
        <w:tc>
          <w:tcPr>
            <w:tcW w:type="dxa" w:w="2522"/>
          </w:tcPr>
          <w:p>
            <w:pPr>
              <w:pStyle w:val="Compact"/>
              <w:jc w:val="left"/>
            </w:pPr>
            <w:r>
              <w:rPr>
                <w:bCs/>
                <w:b/>
                <w:sz w:val="22"/>
              </w:rPr>
              <w:t xml:space="preserve">[PM]</w:t>
            </w:r>
            <w:r>
              <w:rPr>
                <w:sz w:val="22"/>
              </w:rPr>
              <w:t xml:space="preserve"> </w:t>
            </w:r>
            <w:r>
              <w:rPr>
                <w:sz w:val="22"/>
              </w:rPr>
              <w:t xml:space="preserve">Support the UAT session technically — on-site ITL presence at Casablanca HQ for the first session.</w:t>
            </w:r>
          </w:p>
        </w:tc>
        <w:tc>
          <w:tcPr>
            <w:tcW w:type="dxa" w:w="2522"/>
          </w:tcPr>
          <w:p>
            <w:pPr>
              <w:pStyle w:val="Compact"/>
              <w:jc w:val="left"/>
            </w:pPr>
            <w:r>
              <w:rPr>
                <w:bCs/>
                <w:b/>
                <w:sz w:val="22"/>
              </w:rPr>
              <w:t xml:space="preserve">[CM]</w:t>
            </w:r>
            <w:r>
              <w:rPr>
                <w:sz w:val="22"/>
              </w:rPr>
              <w:t xml:space="preserve"> </w:t>
            </w:r>
            <w:r>
              <w:rPr>
                <w:sz w:val="22"/>
              </w:rPr>
              <w:t xml:space="preserve">Run scripted UAT scenarios with the Casablanca Finance cohort (Task 3, Step 1) — observe and coach in real time.</w:t>
            </w:r>
          </w:p>
        </w:tc>
        <w:tc>
          <w:tcPr>
            <w:tcW w:type="dxa" w:w="3258"/>
          </w:tcPr>
          <w:p>
            <w:pPr>
              <w:pStyle w:val="Compact"/>
              <w:jc w:val="left"/>
            </w:pPr>
            <w:r>
              <w:rPr>
                <w:sz w:val="22"/>
              </w:rPr>
              <w:t xml:space="preserve">M5 (ADKAR Engine) — type in real Knowledge scores from the session: Casablanca Finance UAT participants score Knowledge = 4 (average across the 5 participants).</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33</w:t>
            </w:r>
          </w:p>
        </w:tc>
        <w:tc>
          <w:tcPr>
            <w:tcW w:type="dxa" w:w="2522"/>
          </w:tcPr>
          <w:p>
            <w:pPr>
              <w:pStyle w:val="Compact"/>
              <w:jc w:val="left"/>
            </w:pPr>
            <w:r>
              <w:rPr>
                <w:bCs/>
                <w:b/>
                <w:sz w:val="22"/>
              </w:rPr>
              <w:t xml:space="preserve">[PM]</w:t>
            </w:r>
            <w:r>
              <w:rPr>
                <w:sz w:val="22"/>
              </w:rPr>
              <w:t xml:space="preserve"> </w:t>
            </w:r>
            <w:r>
              <w:rPr>
                <w:sz w:val="22"/>
              </w:rPr>
              <w:t xml:space="preserve">Support the Kenitra and Settat UAT sessions technically.</w:t>
            </w:r>
          </w:p>
        </w:tc>
        <w:tc>
          <w:tcPr>
            <w:tcW w:type="dxa" w:w="2522"/>
          </w:tcPr>
          <w:p>
            <w:pPr>
              <w:pStyle w:val="Compact"/>
              <w:jc w:val="left"/>
            </w:pPr>
            <w:r>
              <w:rPr>
                <w:bCs/>
                <w:b/>
                <w:sz w:val="22"/>
              </w:rPr>
              <w:t xml:space="preserve">[CM]</w:t>
            </w:r>
            <w:r>
              <w:rPr>
                <w:sz w:val="22"/>
              </w:rPr>
              <w:t xml:space="preserve"> </w:t>
            </w:r>
            <w:r>
              <w:rPr>
                <w:sz w:val="22"/>
              </w:rPr>
              <w:t xml:space="preserve">Run scripted UAT scenarios with the Kenitra and Settat cohorts; log defects and usability friction as distinct categories (Task 3, Step 2) — type in:</w:t>
            </w:r>
            <w:r>
              <w:rPr>
                <w:sz w:val="22"/>
              </w:rPr>
              <w:t xml:space="preserve"> </w:t>
            </w:r>
            <w:r>
              <w:rPr>
                <w:sz w:val="22"/>
              </w:rPr>
              <w:t xml:space="preserve">“</w:t>
            </w:r>
            <w:r>
              <w:rPr>
                <w:sz w:val="22"/>
              </w:rPr>
              <w:t xml:space="preserve">Friction — not a defect: Settat participants find the new stock-count screen’s confirm button placement unintuitive; workaround exists (double-click), no data-integrity issue.</w:t>
            </w:r>
            <w:r>
              <w:rPr>
                <w:sz w:val="22"/>
              </w:rPr>
              <w:t xml:space="preserve">”</w:t>
            </w:r>
          </w:p>
        </w:tc>
        <w:tc>
          <w:tcPr>
            <w:tcW w:type="dxa" w:w="3258"/>
          </w:tcPr>
          <w:p>
            <w:pPr>
              <w:pStyle w:val="Compact"/>
              <w:jc w:val="left"/>
            </w:pPr>
            <w:r>
              <w:rPr>
                <w:sz w:val="22"/>
              </w:rPr>
              <w:t xml:space="preserve">M5 (ADKAR Engine) — Kenitra Knowledge = 4; Settat Knowledge = 3 (still building). No new M10 (Resistance) entry — friction logged separately per the Step 2 technique, not escalated as resistance.</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34</w:t>
            </w:r>
          </w:p>
        </w:tc>
        <w:tc>
          <w:tcPr>
            <w:tcW w:type="dxa" w:w="2522"/>
          </w:tcPr>
          <w:p>
            <w:pPr>
              <w:pStyle w:val="Compact"/>
              <w:jc w:val="left"/>
            </w:pPr>
            <w:r>
              <w:rPr>
                <w:bCs/>
                <w:b/>
                <w:sz w:val="22"/>
              </w:rPr>
              <w:t xml:space="preserve">[PM]</w:t>
            </w:r>
            <w:r>
              <w:rPr>
                <w:sz w:val="22"/>
              </w:rPr>
              <w:t xml:space="preserve"> </w:t>
            </w:r>
            <w:r>
              <w:rPr>
                <w:sz w:val="22"/>
              </w:rPr>
              <w:t xml:space="preserve">Compile the UAT defect and friction log for the Steering Committee.</w:t>
            </w:r>
          </w:p>
        </w:tc>
        <w:tc>
          <w:tcPr>
            <w:tcW w:type="dxa" w:w="2522"/>
          </w:tcPr>
          <w:p>
            <w:pPr>
              <w:pStyle w:val="Compact"/>
              <w:jc w:val="left"/>
            </w:pPr>
            <w:r>
              <w:rPr>
                <w:bCs/>
                <w:b/>
                <w:sz w:val="22"/>
              </w:rPr>
              <w:t xml:space="preserve">[CM]</w:t>
            </w:r>
            <w:r>
              <w:rPr>
                <w:sz w:val="22"/>
              </w:rPr>
              <w:t xml:space="preserve"> </w:t>
            </w:r>
            <w:r>
              <w:rPr>
                <w:sz w:val="22"/>
              </w:rPr>
              <w:t xml:space="preserve">Run the Divergence Pattern review against UAT participants’ latest scores (Task 4, Step 1) — cross-check Knowledge/Ability against each participant’s Bridges reading.</w:t>
            </w:r>
          </w:p>
        </w:tc>
        <w:tc>
          <w:tcPr>
            <w:tcW w:type="dxa" w:w="3258"/>
          </w:tcPr>
          <w:p>
            <w:pPr>
              <w:pStyle w:val="Compact"/>
              <w:jc w:val="left"/>
            </w:pPr>
            <w:r>
              <w:rPr>
                <w:sz w:val="22"/>
              </w:rPr>
              <w:t xml:space="preserve">M6 (Emotional &amp; Transition Layer) — one Casablanca Finance participant reads Knowledge = 4, Ability = 4, but Bridges = Ending. ALT-001 (Divergence Pattern Detected) fires for this individual.</w:t>
            </w:r>
          </w:p>
        </w:tc>
        <w:tc>
          <w:tcPr>
            <w:tcW w:type="dxa" w:w="1261"/>
          </w:tcPr>
          <w:p>
            <w:pPr>
              <w:pStyle w:val="Compact"/>
              <w:jc w:val="left"/>
            </w:pPr>
            <w:r>
              <w:rPr>
                <w:sz w:val="22"/>
              </w:rPr>
              <w:t xml:space="preserve">E2 (Divergence Pattern at UAT) — trigger week</w:t>
            </w:r>
          </w:p>
        </w:tc>
      </w:tr>
      <w:tr>
        <w:tc>
          <w:tcPr>
            <w:tcW w:type="dxa" w:w="946"/>
          </w:tcPr>
          <w:p>
            <w:pPr>
              <w:pStyle w:val="Compact"/>
              <w:jc w:val="left"/>
            </w:pPr>
            <w:r>
              <w:rPr>
                <w:bCs/>
                <w:b/>
                <w:sz w:val="22"/>
              </w:rPr>
              <w:t xml:space="preserve">Week 35</w:t>
            </w:r>
          </w:p>
        </w:tc>
        <w:tc>
          <w:tcPr>
            <w:tcW w:type="dxa" w:w="2522"/>
          </w:tcPr>
          <w:p>
            <w:pPr>
              <w:pStyle w:val="Compact"/>
              <w:jc w:val="left"/>
            </w:pPr>
            <w:r>
              <w:rPr>
                <w:bCs/>
                <w:b/>
                <w:sz w:val="22"/>
              </w:rPr>
              <w:t xml:space="preserve">[PM]</w:t>
            </w:r>
            <w:r>
              <w:rPr>
                <w:sz w:val="22"/>
              </w:rPr>
              <w:t xml:space="preserve"> </w:t>
            </w:r>
            <w:r>
              <w:rPr>
                <w:sz w:val="22"/>
              </w:rPr>
              <w:t xml:space="preserve">Continue defect remediation from Week 29’s deferred items, unaffected by the E2 track.</w:t>
            </w:r>
          </w:p>
        </w:tc>
        <w:tc>
          <w:tcPr>
            <w:tcW w:type="dxa" w:w="2522"/>
          </w:tcPr>
          <w:p>
            <w:pPr>
              <w:pStyle w:val="Compact"/>
              <w:jc w:val="left"/>
            </w:pPr>
            <w:r>
              <w:rPr>
                <w:bCs/>
                <w:b/>
                <w:sz w:val="22"/>
              </w:rPr>
              <w:t xml:space="preserve">[CM]</w:t>
            </w:r>
            <w:r>
              <w:rPr>
                <w:sz w:val="22"/>
              </w:rPr>
              <w:t xml:space="preserve"> </w:t>
            </w:r>
            <w:r>
              <w:rPr>
                <w:sz w:val="22"/>
              </w:rPr>
              <w:t xml:space="preserve">Route the flagged case into Exception E2 (Divergence Pattern at UAT)’s Recovery Task 1 and 2 (Task 4, Step 2) — confirm the alert against supervisor observation; hold a loss-focused 1:1. See Exception E2 (Section 1B.4) for the full conversation detail.</w:t>
            </w:r>
          </w:p>
        </w:tc>
        <w:tc>
          <w:tcPr>
            <w:tcW w:type="dxa" w:w="3258"/>
          </w:tcPr>
          <w:p>
            <w:pPr>
              <w:pStyle w:val="Compact"/>
              <w:jc w:val="left"/>
            </w:pPr>
            <w:r>
              <w:rPr>
                <w:sz w:val="22"/>
              </w:rPr>
              <w:t xml:space="preserve">No new journi entry this week — the 1:1 itself is not logged; its outcome is.</w:t>
            </w:r>
          </w:p>
        </w:tc>
        <w:tc>
          <w:tcPr>
            <w:tcW w:type="dxa" w:w="1261"/>
          </w:tcPr>
          <w:p>
            <w:pPr>
              <w:pStyle w:val="Compact"/>
              <w:jc w:val="left"/>
            </w:pPr>
            <w:r>
              <w:rPr>
                <w:sz w:val="22"/>
              </w:rPr>
              <w:t xml:space="preserve">E2 (Divergence Pattern at UAT) — Recovery Tasks 1–3</w:t>
            </w:r>
          </w:p>
        </w:tc>
      </w:tr>
      <w:tr>
        <w:tc>
          <w:tcPr>
            <w:tcW w:type="dxa" w:w="946"/>
          </w:tcPr>
          <w:p>
            <w:pPr>
              <w:pStyle w:val="Compact"/>
              <w:jc w:val="left"/>
            </w:pPr>
            <w:r>
              <w:rPr>
                <w:bCs/>
                <w:b/>
                <w:sz w:val="22"/>
              </w:rPr>
              <w:t xml:space="preserve">Week 36</w:t>
            </w:r>
          </w:p>
        </w:tc>
        <w:tc>
          <w:tcPr>
            <w:tcW w:type="dxa" w:w="2522"/>
          </w:tcPr>
          <w:p>
            <w:pPr>
              <w:pStyle w:val="Compact"/>
              <w:jc w:val="left"/>
            </w:pPr>
            <w:r>
              <w:rPr>
                <w:bCs/>
                <w:b/>
                <w:sz w:val="22"/>
              </w:rPr>
              <w:t xml:space="preserve">[PM]</w:t>
            </w:r>
            <w:r>
              <w:rPr>
                <w:sz w:val="22"/>
              </w:rPr>
              <w:t xml:space="preserve"> </w:t>
            </w:r>
            <w:r>
              <w:rPr>
                <w:sz w:val="22"/>
              </w:rPr>
              <w:t xml:space="preserve">No E2-related activity — configuration and defect tracks proceed independently.</w:t>
            </w:r>
          </w:p>
        </w:tc>
        <w:tc>
          <w:tcPr>
            <w:tcW w:type="dxa" w:w="2522"/>
          </w:tcPr>
          <w:p>
            <w:pPr>
              <w:pStyle w:val="Compact"/>
              <w:jc w:val="left"/>
            </w:pPr>
            <w:r>
              <w:rPr>
                <w:bCs/>
                <w:b/>
                <w:sz w:val="22"/>
              </w:rPr>
              <w:t xml:space="preserve">[CM]</w:t>
            </w:r>
            <w:r>
              <w:rPr>
                <w:sz w:val="22"/>
              </w:rPr>
              <w:t xml:space="preserve"> </w:t>
            </w:r>
            <w:r>
              <w:rPr>
                <w:sz w:val="22"/>
              </w:rPr>
              <w:t xml:space="preserve">Provide the explicit closure moment if the 1:1 confirmed a genuine loss concern (Recovery Task 4); re-check the Bridges reading only (Recovery Task 5).</w:t>
            </w:r>
          </w:p>
        </w:tc>
        <w:tc>
          <w:tcPr>
            <w:tcW w:type="dxa" w:w="3258"/>
          </w:tcPr>
          <w:p>
            <w:pPr>
              <w:pStyle w:val="Compact"/>
              <w:jc w:val="left"/>
            </w:pPr>
            <w:r>
              <w:rPr>
                <w:sz w:val="22"/>
              </w:rPr>
              <w:t xml:space="preserve">M6 (Emotional &amp; Transition Layer) — the flagged participant’s Bridges reading re-scored from Ending to Neutral Zone, with justification:</w:t>
            </w:r>
            <w:r>
              <w:rPr>
                <w:sz w:val="22"/>
              </w:rPr>
              <w:t xml:space="preserve"> </w:t>
            </w:r>
            <w:r>
              <w:rPr>
                <w:sz w:val="22"/>
              </w:rPr>
              <w:t xml:space="preserve">“</w:t>
            </w:r>
            <w:r>
              <w:rPr>
                <w:sz w:val="22"/>
              </w:rPr>
              <w:t xml:space="preserve">Genuine loss concern (legacy role) acknowledged directly 35 [date]. Re-pulsed per E2 protocol.</w:t>
            </w:r>
            <w:r>
              <w:rPr>
                <w:sz w:val="22"/>
              </w:rPr>
              <w:t xml:space="preserve">”</w:t>
            </w:r>
          </w:p>
        </w:tc>
        <w:tc>
          <w:tcPr>
            <w:tcW w:type="dxa" w:w="1261"/>
          </w:tcPr>
          <w:p>
            <w:pPr>
              <w:pStyle w:val="Compact"/>
              <w:jc w:val="left"/>
            </w:pPr>
            <w:r>
              <w:rPr>
                <w:sz w:val="22"/>
              </w:rPr>
              <w:t xml:space="preserve">E2 (Divergence Pattern at UAT) — closes</w:t>
            </w:r>
          </w:p>
        </w:tc>
      </w:tr>
      <w:tr>
        <w:tc>
          <w:tcPr>
            <w:tcW w:type="dxa" w:w="946"/>
          </w:tcPr>
          <w:p>
            <w:pPr>
              <w:pStyle w:val="Compact"/>
              <w:jc w:val="left"/>
            </w:pPr>
            <w:r>
              <w:rPr>
                <w:bCs/>
                <w:b/>
                <w:sz w:val="22"/>
              </w:rPr>
              <w:t xml:space="preserve">Week 37</w:t>
            </w:r>
          </w:p>
        </w:tc>
        <w:tc>
          <w:tcPr>
            <w:tcW w:type="dxa" w:w="2522"/>
          </w:tcPr>
          <w:p>
            <w:pPr>
              <w:pStyle w:val="Compact"/>
              <w:jc w:val="left"/>
            </w:pPr>
            <w:r>
              <w:rPr>
                <w:bCs/>
                <w:b/>
                <w:sz w:val="22"/>
              </w:rPr>
              <w:t xml:space="preserve">[PM]</w:t>
            </w:r>
            <w:r>
              <w:rPr>
                <w:sz w:val="22"/>
              </w:rPr>
              <w:t xml:space="preserve"> </w:t>
            </w:r>
            <w:r>
              <w:rPr>
                <w:sz w:val="22"/>
              </w:rPr>
              <w:t xml:space="preserve">Final defect closure; confirm UAT sign-off criteria met for all three sites.</w:t>
            </w:r>
          </w:p>
        </w:tc>
        <w:tc>
          <w:tcPr>
            <w:tcW w:type="dxa" w:w="2522"/>
          </w:tcPr>
          <w:p>
            <w:pPr>
              <w:pStyle w:val="Compact"/>
              <w:jc w:val="left"/>
            </w:pPr>
            <w:r>
              <w:rPr>
                <w:bCs/>
                <w:b/>
                <w:sz w:val="22"/>
              </w:rPr>
              <w:t xml:space="preserve">[CM]</w:t>
            </w:r>
            <w:r>
              <w:rPr>
                <w:sz w:val="22"/>
              </w:rPr>
              <w:t xml:space="preserve"> </w:t>
            </w:r>
            <w:r>
              <w:rPr>
                <w:sz w:val="22"/>
              </w:rPr>
              <w:t xml:space="preserve">Confirm the E2 case is cleared to count toward cohort readiness; compile the Test-phase framework summary for the Phase 4 gate.</w:t>
            </w:r>
          </w:p>
        </w:tc>
        <w:tc>
          <w:tcPr>
            <w:tcW w:type="dxa" w:w="3258"/>
          </w:tcPr>
          <w:p>
            <w:pPr>
              <w:pStyle w:val="Compact"/>
              <w:jc w:val="left"/>
            </w:pPr>
            <w:r>
              <w:rPr>
                <w:sz w:val="22"/>
              </w:rPr>
              <w:t xml:space="preserve">M14 (Analytics) — Composite Readiness Index recalculated, now reflecting the resolved E2 case.</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38</w:t>
            </w:r>
          </w:p>
        </w:tc>
        <w:tc>
          <w:tcPr>
            <w:tcW w:type="dxa" w:w="2522"/>
          </w:tcPr>
          <w:p>
            <w:pPr>
              <w:pStyle w:val="Compact"/>
              <w:jc w:val="left"/>
            </w:pPr>
            <w:r>
              <w:rPr>
                <w:bCs/>
                <w:b/>
                <w:sz w:val="22"/>
              </w:rPr>
              <w:t xml:space="preserve">[PM]</w:t>
            </w:r>
            <w:r>
              <w:rPr>
                <w:sz w:val="22"/>
              </w:rPr>
              <w:t xml:space="preserve"> </w:t>
            </w:r>
            <w:r>
              <w:rPr>
                <w:sz w:val="22"/>
              </w:rPr>
              <w:t xml:space="preserve">Confirm the Phase 4 gate: SIT and UAT both signed off.</w:t>
            </w:r>
          </w:p>
        </w:tc>
        <w:tc>
          <w:tcPr>
            <w:tcW w:type="dxa" w:w="2522"/>
          </w:tcPr>
          <w:p>
            <w:pPr>
              <w:pStyle w:val="Compact"/>
              <w:jc w:val="left"/>
            </w:pPr>
            <w:r>
              <w:rPr>
                <w:bCs/>
                <w:b/>
                <w:sz w:val="22"/>
              </w:rPr>
              <w:t xml:space="preserve">[CM]</w:t>
            </w:r>
            <w:r>
              <w:rPr>
                <w:sz w:val="22"/>
              </w:rPr>
              <w:t xml:space="preserve"> </w:t>
            </w:r>
            <w:r>
              <w:rPr>
                <w:sz w:val="22"/>
              </w:rPr>
              <w:t xml:space="preserve">Confirm no Divergence Pattern flag remains open; hand off to Phase 5’s Train track, already underway since Week 30.</w:t>
            </w:r>
          </w:p>
        </w:tc>
        <w:tc>
          <w:tcPr>
            <w:tcW w:type="dxa" w:w="3258"/>
          </w:tcPr>
          <w:p>
            <w:pPr>
              <w:pStyle w:val="Compact"/>
              <w:jc w:val="left"/>
            </w:pPr>
            <w:r>
              <w:rPr>
                <w:sz w:val="22"/>
              </w:rPr>
              <w:t xml:space="preserve">M17 (WBS &amp; Gantt) — Test phase marked complete; Phase Gate recorded as Go.</w:t>
            </w:r>
          </w:p>
        </w:tc>
        <w:tc>
          <w:tcPr>
            <w:tcW w:type="dxa" w:w="1261"/>
          </w:tcPr>
          <w:p>
            <w:pPr>
              <w:pStyle w:val="Compact"/>
              <w:jc w:val="left"/>
            </w:pPr>
            <w:r>
              <w:rPr>
                <w:sz w:val="22"/>
              </w:rPr>
              <w:t xml:space="preserve">—</w:t>
            </w:r>
          </w:p>
        </w:tc>
      </w:tr>
    </w:tbl>
    <w:p>
      <w:pPr>
        <w:pStyle w:val="BodyText"/>
      </w:pPr>
      <w:r>
        <w:rPr>
          <w:bCs/>
          <w:b/>
          <w:sz w:val="25"/>
        </w:rPr>
        <w:t xml:space="preserve">Phase gate:</w:t>
      </w:r>
      <w:r>
        <w:rPr>
          <w:sz w:val="25"/>
        </w:rPr>
        <w:t xml:space="preserve"> </w:t>
      </w:r>
      <w:r>
        <w:rPr>
          <w:sz w:val="25"/>
        </w:rPr>
        <w:t xml:space="preserve">Test closes once SIT and UAT sign-off are both recorded and any Divergence Pattern flags from Task 4 are resolved or explicitly accepted, not silently ignored.</w:t>
      </w:r>
    </w:p>
    <w:p>
      <w:pPr>
        <w:pStyle w:val="BodyText"/>
      </w:pPr>
      <w:r>
        <w:rPr>
          <w:bCs/>
          <w:b/>
          <w:sz w:val="25"/>
        </w:rPr>
        <w:t xml:space="preserve">SIPOC.</w:t>
      </w:r>
      <w:r>
        <w:rPr>
          <w:sz w:val="25"/>
        </w:rPr>
        <w:t xml:space="preserve"> </w:t>
      </w:r>
      <w:r>
        <w:rPr>
          <w:sz w:val="25"/>
        </w:rPr>
        <w:t xml:space="preserve">Suppliers: ITL; the recruited UAT cohort across all three sites. · Inputs: Configured build; UAT participant roster; acceptance criteria. · Process: this phase’s four Tasks in sequence · Outputs: SIT/UAT sign-off; defect log; first real Knowledge/Ability scores; Divergence Pattern result. · Customers: Program Manager; Change Manager; Train-phase team.</w:t>
      </w:r>
    </w:p>
    <w:p>
      <w:pPr>
        <w:pStyle w:val="BodyText"/>
      </w:pPr>
      <w:r>
        <w:rPr>
          <w:bCs/>
          <w:b/>
          <w:sz w:val="25"/>
        </w:rPr>
        <w:t xml:space="preserve">RACSI for this phase.</w:t>
      </w:r>
      <w:r>
        <w:rPr>
          <w:sz w:val="25"/>
        </w:rPr>
        <w:t xml:space="preserve"> </w:t>
      </w:r>
      <w:r>
        <w:rPr>
          <w:sz w:val="25"/>
        </w:rPr>
        <w:t xml:space="preserve">R = ITL, FPO · A = PM · C = CM · S = SUP, EU · I = ES</w:t>
      </w:r>
    </w:p>
    <w:p>
      <w:pPr>
        <w:pStyle w:val="BodyText"/>
      </w:pPr>
    </w:p>
    <w:bookmarkEnd w:id="40"/>
    <w:bookmarkStart w:id="41" w:name="phase-5-train-w3042"/>
    <w:p>
      <w:pPr>
        <w:pStyle w:val="Heading4"/>
      </w:pPr>
      <w:r>
        <w:rPr>
          <w:b/>
          <w:color w:val="5A8F89"/>
          <w:sz w:val="26"/>
        </w:rPr>
        <w:t xml:space="preserve">Phase 5 — Train (W30–42)</w:t>
      </w:r>
    </w:p>
    <w:p>
      <w:pPr>
        <w:pStyle w:val="FirstParagraph"/>
      </w:pPr>
      <w:r>
        <w:rPr>
          <w:bCs/>
          <w:b/>
          <w:sz w:val="25"/>
        </w:rPr>
        <w:t xml:space="preserve">Framework readings at close:</w:t>
      </w:r>
      <w:r>
        <w:rPr>
          <w:sz w:val="25"/>
        </w:rPr>
        <w:t xml:space="preserve"> </w:t>
      </w:r>
      <w:r>
        <w:rPr>
          <w:sz w:val="25"/>
        </w:rPr>
        <w:t xml:space="preserve">Lewin Change · ADKAR focus Knowledge → Ability · Bridges Neutral Zone · Kübler-Ross Exploration.</w:t>
      </w:r>
    </w:p>
    <w:p>
      <w:pPr>
        <w:pStyle w:val="BodyText"/>
      </w:pPr>
      <w:r>
        <w:rPr>
          <w:sz w:val="25"/>
        </w:rPr>
        <w:t xml:space="preserve">Train runs alongside Test rather than strictly after it — Knowledge becomes Ability under increasingly realistic conditions while Bridges settles into the Neutral Zone. Exception E6 (Cohort Divergence Across Sites) opens partway through this phase and plays out inside the table below.</w:t>
      </w:r>
    </w:p>
    <w:tbl>
      <w:tblPr>
        <w:tblStyle w:val="Table"/>
        <w:tblW w:type="pct" w:w="5000"/>
        <w:jc w:val="center"/>
        <w:tblLayout w:type="fixed"/>
        <w:tblLook w:firstRow="1" w:lastRow="0" w:firstColumn="0" w:lastColumn="0" w:noHBand="0" w:noVBand="0" w:val="0020"/>
      </w:tblPr>
      <w:tblGrid>
        <w:gridCol w:w="600760"/>
        <w:gridCol w:w="1602028"/>
        <w:gridCol w:w="1602028"/>
        <w:gridCol w:w="2069287"/>
        <w:gridCol w:w="801014"/>
      </w:tblGrid>
      <w:tr>
        <w:trPr>
          <w:tblHeader w:val="true"/>
        </w:trPr>
        <w:tc>
          <w:tcPr>
            <w:tcW w:type="dxa" w:w="946"/>
            <w:shd w:val="clear" w:fill="1F4B45"/>
          </w:tcPr>
          <w:p>
            <w:pPr>
              <w:pStyle w:val="Compact"/>
              <w:jc w:val="left"/>
            </w:pPr>
            <w:r>
              <w:rPr>
                <w:b/>
                <w:color w:val="FFFFFF"/>
                <w:sz w:val="22"/>
              </w:rPr>
              <w:t xml:space="preserve">Week</w:t>
            </w:r>
          </w:p>
        </w:tc>
        <w:tc>
          <w:tcPr>
            <w:tcW w:type="dxa" w:w="2522"/>
            <w:shd w:val="clear" w:fill="1F4B45"/>
          </w:tcPr>
          <w:p>
            <w:pPr>
              <w:pStyle w:val="Compact"/>
              <w:jc w:val="left"/>
            </w:pPr>
            <w:r>
              <w:rPr>
                <w:b/>
                <w:color w:val="FFFFFF"/>
                <w:sz w:val="22"/>
              </w:rPr>
              <w:t xml:space="preserve">Project Manager (PM) Track</w:t>
            </w:r>
          </w:p>
        </w:tc>
        <w:tc>
          <w:tcPr>
            <w:tcW w:type="dxa" w:w="2522"/>
            <w:shd w:val="clear" w:fill="1F4B45"/>
          </w:tcPr>
          <w:p>
            <w:pPr>
              <w:pStyle w:val="Compact"/>
              <w:jc w:val="left"/>
            </w:pPr>
            <w:r>
              <w:rPr>
                <w:b/>
                <w:color w:val="FFFFFF"/>
                <w:sz w:val="22"/>
              </w:rPr>
              <w:t xml:space="preserve">Change Manager (CM) Track</w:t>
            </w:r>
          </w:p>
        </w:tc>
        <w:tc>
          <w:tcPr>
            <w:tcW w:type="dxa" w:w="3258"/>
            <w:shd w:val="clear" w:fill="1F4B45"/>
          </w:tcPr>
          <w:p>
            <w:pPr>
              <w:pStyle w:val="Compact"/>
              <w:jc w:val="left"/>
            </w:pPr>
            <w:r>
              <w:rPr>
                <w:b/>
                <w:color w:val="FFFFFF"/>
                <w:sz w:val="22"/>
              </w:rPr>
              <w:t xml:space="preserve">journi Entry — What to Type In</w:t>
            </w:r>
          </w:p>
        </w:tc>
        <w:tc>
          <w:tcPr>
            <w:tcW w:type="dxa" w:w="1261"/>
            <w:shd w:val="clear" w:fill="1F4B45"/>
          </w:tcPr>
          <w:p>
            <w:pPr>
              <w:pStyle w:val="Compact"/>
              <w:jc w:val="left"/>
            </w:pPr>
            <w:r>
              <w:rPr>
                <w:b/>
                <w:color w:val="FFFFFF"/>
                <w:sz w:val="22"/>
              </w:rPr>
              <w:t xml:space="preserve">Exception</w:t>
            </w:r>
          </w:p>
        </w:tc>
      </w:tr>
      <w:tr>
        <w:tc>
          <w:tcPr>
            <w:tcW w:type="dxa" w:w="946"/>
          </w:tcPr>
          <w:p>
            <w:pPr>
              <w:pStyle w:val="Compact"/>
              <w:jc w:val="left"/>
            </w:pPr>
            <w:r>
              <w:rPr>
                <w:bCs/>
                <w:b/>
                <w:sz w:val="22"/>
              </w:rPr>
              <w:t xml:space="preserve">Week 30</w:t>
            </w:r>
          </w:p>
        </w:tc>
        <w:tc>
          <w:tcPr>
            <w:tcW w:type="dxa" w:w="2522"/>
          </w:tcPr>
          <w:p>
            <w:pPr>
              <w:pStyle w:val="Compact"/>
              <w:jc w:val="left"/>
            </w:pPr>
            <w:r>
              <w:rPr>
                <w:bCs/>
                <w:b/>
                <w:sz w:val="22"/>
              </w:rPr>
              <w:t xml:space="preserve">[PM]</w:t>
            </w:r>
            <w:r>
              <w:rPr>
                <w:sz w:val="22"/>
              </w:rPr>
              <w:t xml:space="preserve"> </w:t>
            </w:r>
            <w:r>
              <w:rPr>
                <w:sz w:val="22"/>
              </w:rPr>
              <w:t xml:space="preserve">Confirm training-room and sandbox infrastructure availability at all three sites.</w:t>
            </w:r>
          </w:p>
        </w:tc>
        <w:tc>
          <w:tcPr>
            <w:tcW w:type="dxa" w:w="2522"/>
          </w:tcPr>
          <w:p>
            <w:pPr>
              <w:pStyle w:val="Compact"/>
              <w:jc w:val="left"/>
            </w:pPr>
            <w:r>
              <w:rPr>
                <w:bCs/>
                <w:b/>
                <w:sz w:val="22"/>
              </w:rPr>
              <w:t xml:space="preserve">[CM]</w:t>
            </w:r>
            <w:r>
              <w:rPr>
                <w:sz w:val="22"/>
              </w:rPr>
              <w:t xml:space="preserve"> </w:t>
            </w:r>
            <w:r>
              <w:rPr>
                <w:sz w:val="22"/>
              </w:rPr>
              <w:t xml:space="preserve">Enroll each cohort against its role-based curriculum (Task 1, Step 1) — type in:</w:t>
            </w:r>
            <w:r>
              <w:rPr>
                <w:sz w:val="22"/>
              </w:rPr>
              <w:t xml:space="preserve"> </w:t>
            </w:r>
            <w:r>
              <w:rPr>
                <w:sz w:val="22"/>
              </w:rPr>
              <w:t xml:space="preserve">“</w:t>
            </w:r>
            <w:r>
              <w:rPr>
                <w:sz w:val="22"/>
              </w:rPr>
              <w:t xml:space="preserve">Casablanca Finance — Order-to-Cash Curriculum (5 modules)</w:t>
            </w:r>
            <w:r>
              <w:rPr>
                <w:sz w:val="22"/>
              </w:rPr>
              <w:t xml:space="preserve">”</w:t>
            </w:r>
            <w:r>
              <w:rPr>
                <w:sz w:val="22"/>
              </w:rPr>
              <w:t xml:space="preserve">;</w:t>
            </w:r>
            <w:r>
              <w:rPr>
                <w:sz w:val="22"/>
              </w:rPr>
              <w:t xml:space="preserve"> </w:t>
            </w:r>
            <w:r>
              <w:rPr>
                <w:sz w:val="22"/>
              </w:rPr>
              <w:t xml:space="preserve">“</w:t>
            </w:r>
            <w:r>
              <w:rPr>
                <w:sz w:val="22"/>
              </w:rPr>
              <w:t xml:space="preserve">Kenitra/Settat Plant Operations — Inventory &amp; Shipping Curriculum (4 modules)</w:t>
            </w:r>
            <w:r>
              <w:rPr>
                <w:sz w:val="22"/>
              </w:rPr>
              <w:t xml:space="preserve">”</w:t>
            </w:r>
            <w:r>
              <w:rPr>
                <w:sz w:val="22"/>
              </w:rPr>
              <w:t xml:space="preserve">.</w:t>
            </w:r>
          </w:p>
        </w:tc>
        <w:tc>
          <w:tcPr>
            <w:tcW w:type="dxa" w:w="3258"/>
          </w:tcPr>
          <w:p>
            <w:pPr>
              <w:pStyle w:val="Compact"/>
              <w:jc w:val="left"/>
            </w:pPr>
            <w:r>
              <w:rPr>
                <w:sz w:val="22"/>
              </w:rPr>
              <w:t xml:space="preserve">M9 (Training) — three curriculum entries created, one per cohort, status</w:t>
            </w:r>
            <w:r>
              <w:rPr>
                <w:sz w:val="22"/>
              </w:rPr>
              <w:t xml:space="preserve"> </w:t>
            </w:r>
            <w:r>
              <w:rPr>
                <w:sz w:val="22"/>
              </w:rPr>
              <w:t xml:space="preserve">“</w:t>
            </w:r>
            <w:r>
              <w:rPr>
                <w:sz w:val="22"/>
              </w:rPr>
              <w:t xml:space="preserve">Enrolled</w:t>
            </w:r>
            <w:r>
              <w:rPr>
                <w:sz w:val="22"/>
              </w:rPr>
              <w:t xml:space="preserve">”</w:t>
            </w:r>
            <w:r>
              <w:rPr>
                <w:sz w:val="22"/>
              </w:rPr>
              <w:t xml:space="preserve">.</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31</w:t>
            </w:r>
          </w:p>
        </w:tc>
        <w:tc>
          <w:tcPr>
            <w:tcW w:type="dxa" w:w="2522"/>
          </w:tcPr>
          <w:p>
            <w:pPr>
              <w:pStyle w:val="Compact"/>
              <w:jc w:val="left"/>
            </w:pPr>
            <w:r>
              <w:rPr>
                <w:bCs/>
                <w:b/>
                <w:sz w:val="22"/>
              </w:rPr>
              <w:t xml:space="preserve">[PM]</w:t>
            </w:r>
            <w:r>
              <w:rPr>
                <w:sz w:val="22"/>
              </w:rPr>
              <w:t xml:space="preserve"> </w:t>
            </w:r>
            <w:r>
              <w:rPr>
                <w:sz w:val="22"/>
              </w:rPr>
              <w:t xml:space="preserve">No specific activity this week — infrastructure already confirmed.</w:t>
            </w:r>
          </w:p>
        </w:tc>
        <w:tc>
          <w:tcPr>
            <w:tcW w:type="dxa" w:w="2522"/>
          </w:tcPr>
          <w:p>
            <w:pPr>
              <w:pStyle w:val="Compact"/>
              <w:jc w:val="left"/>
            </w:pPr>
            <w:r>
              <w:rPr>
                <w:bCs/>
                <w:b/>
                <w:sz w:val="22"/>
              </w:rPr>
              <w:t xml:space="preserve">[CM]</w:t>
            </w:r>
            <w:r>
              <w:rPr>
                <w:sz w:val="22"/>
              </w:rPr>
              <w:t xml:space="preserve"> </w:t>
            </w:r>
            <w:r>
              <w:rPr>
                <w:sz w:val="22"/>
              </w:rPr>
              <w:t xml:space="preserve">Deliver training wave 1 to Casablanca Finance.</w:t>
            </w:r>
          </w:p>
        </w:tc>
        <w:tc>
          <w:tcPr>
            <w:tcW w:type="dxa" w:w="3258"/>
          </w:tcPr>
          <w:p>
            <w:pPr>
              <w:pStyle w:val="Compact"/>
              <w:jc w:val="left"/>
            </w:pPr>
            <w:r>
              <w:rPr>
                <w:sz w:val="22"/>
              </w:rPr>
              <w:t xml:space="preserve">M9 (Training) — Casablanca Finance entry completion percentage updated to 40%.</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32</w:t>
            </w:r>
          </w:p>
        </w:tc>
        <w:tc>
          <w:tcPr>
            <w:tcW w:type="dxa" w:w="2522"/>
          </w:tcPr>
          <w:p>
            <w:pPr>
              <w:pStyle w:val="Compact"/>
              <w:jc w:val="left"/>
            </w:pPr>
            <w:r>
              <w:rPr>
                <w:bCs/>
                <w:b/>
                <w:sz w:val="22"/>
              </w:rPr>
              <w:t xml:space="preserve">[PM]</w:t>
            </w:r>
            <w:r>
              <w:rPr>
                <w:sz w:val="22"/>
              </w:rPr>
              <w:t xml:space="preserve"> </w:t>
            </w:r>
            <w:r>
              <w:rPr>
                <w:sz w:val="22"/>
              </w:rPr>
              <w:t xml:space="preserve">Support the Kenitra training session technically (sandbox connectivity).</w:t>
            </w:r>
          </w:p>
        </w:tc>
        <w:tc>
          <w:tcPr>
            <w:tcW w:type="dxa" w:w="2522"/>
          </w:tcPr>
          <w:p>
            <w:pPr>
              <w:pStyle w:val="Compact"/>
              <w:jc w:val="left"/>
            </w:pPr>
            <w:r>
              <w:rPr>
                <w:bCs/>
                <w:b/>
                <w:sz w:val="22"/>
              </w:rPr>
              <w:t xml:space="preserve">[CM]</w:t>
            </w:r>
            <w:r>
              <w:rPr>
                <w:sz w:val="22"/>
              </w:rPr>
              <w:t xml:space="preserve"> </w:t>
            </w:r>
            <w:r>
              <w:rPr>
                <w:sz w:val="22"/>
              </w:rPr>
              <w:t xml:space="preserve">Deliver training wave 1 to Kenitra Plant Operations (overlaps Test’s Casablanca UAT session, Week 32).</w:t>
            </w:r>
          </w:p>
        </w:tc>
        <w:tc>
          <w:tcPr>
            <w:tcW w:type="dxa" w:w="3258"/>
          </w:tcPr>
          <w:p>
            <w:pPr>
              <w:pStyle w:val="Compact"/>
              <w:jc w:val="left"/>
            </w:pPr>
            <w:r>
              <w:rPr>
                <w:sz w:val="22"/>
              </w:rPr>
              <w:t xml:space="preserve">M9 (Training) — Kenitra Plant Operations entry completion percentage updated to 35%.</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33</w:t>
            </w:r>
          </w:p>
        </w:tc>
        <w:tc>
          <w:tcPr>
            <w:tcW w:type="dxa" w:w="2522"/>
          </w:tcPr>
          <w:p>
            <w:pPr>
              <w:pStyle w:val="Compact"/>
              <w:jc w:val="left"/>
            </w:pPr>
            <w:r>
              <w:rPr>
                <w:bCs/>
                <w:b/>
                <w:sz w:val="22"/>
              </w:rPr>
              <w:t xml:space="preserve">[PM]</w:t>
            </w:r>
            <w:r>
              <w:rPr>
                <w:sz w:val="22"/>
              </w:rPr>
              <w:t xml:space="preserve"> </w:t>
            </w:r>
            <w:r>
              <w:rPr>
                <w:sz w:val="22"/>
              </w:rPr>
              <w:t xml:space="preserve">Support the Settat training session technically.</w:t>
            </w:r>
          </w:p>
        </w:tc>
        <w:tc>
          <w:tcPr>
            <w:tcW w:type="dxa" w:w="2522"/>
          </w:tcPr>
          <w:p>
            <w:pPr>
              <w:pStyle w:val="Compact"/>
              <w:jc w:val="left"/>
            </w:pPr>
            <w:r>
              <w:rPr>
                <w:bCs/>
                <w:b/>
                <w:sz w:val="22"/>
              </w:rPr>
              <w:t xml:space="preserve">[CM]</w:t>
            </w:r>
            <w:r>
              <w:rPr>
                <w:sz w:val="22"/>
              </w:rPr>
              <w:t xml:space="preserve"> </w:t>
            </w:r>
            <w:r>
              <w:rPr>
                <w:sz w:val="22"/>
              </w:rPr>
              <w:t xml:space="preserve">Deliver training wave 1 to Settat Plant Operations (overlaps Test’s Kenitra/Settat UAT sessions, Week 33).</w:t>
            </w:r>
          </w:p>
        </w:tc>
        <w:tc>
          <w:tcPr>
            <w:tcW w:type="dxa" w:w="3258"/>
          </w:tcPr>
          <w:p>
            <w:pPr>
              <w:pStyle w:val="Compact"/>
              <w:jc w:val="left"/>
            </w:pPr>
            <w:r>
              <w:rPr>
                <w:sz w:val="22"/>
              </w:rPr>
              <w:t xml:space="preserve">M9 (Training) — Settat Plant Operations entry completion percentage updated to 35%.</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34</w:t>
            </w:r>
          </w:p>
        </w:tc>
        <w:tc>
          <w:tcPr>
            <w:tcW w:type="dxa" w:w="2522"/>
          </w:tcPr>
          <w:p>
            <w:pPr>
              <w:pStyle w:val="Compact"/>
              <w:jc w:val="left"/>
            </w:pPr>
            <w:r>
              <w:rPr>
                <w:bCs/>
                <w:b/>
                <w:sz w:val="22"/>
              </w:rPr>
              <w:t xml:space="preserve">[PM]</w:t>
            </w:r>
            <w:r>
              <w:rPr>
                <w:sz w:val="22"/>
              </w:rPr>
              <w:t xml:space="preserve"> </w:t>
            </w:r>
            <w:r>
              <w:rPr>
                <w:sz w:val="22"/>
              </w:rPr>
              <w:t xml:space="preserve">Publish job aids per role (Task 2, Step 1) — ITL formats and distributes.</w:t>
            </w:r>
          </w:p>
        </w:tc>
        <w:tc>
          <w:tcPr>
            <w:tcW w:type="dxa" w:w="2522"/>
          </w:tcPr>
          <w:p>
            <w:pPr>
              <w:pStyle w:val="Compact"/>
              <w:jc w:val="left"/>
            </w:pPr>
            <w:r>
              <w:rPr>
                <w:bCs/>
                <w:b/>
                <w:sz w:val="22"/>
              </w:rPr>
              <w:t xml:space="preserve">[CM]</w:t>
            </w:r>
            <w:r>
              <w:rPr>
                <w:sz w:val="22"/>
              </w:rPr>
              <w:t xml:space="preserve"> </w:t>
            </w:r>
            <w:r>
              <w:rPr>
                <w:sz w:val="22"/>
              </w:rPr>
              <w:t xml:space="preserve">Review job-aid content for accuracy against the curriculum and the Build-phase design principles.</w:t>
            </w:r>
          </w:p>
        </w:tc>
        <w:tc>
          <w:tcPr>
            <w:tcW w:type="dxa" w:w="3258"/>
          </w:tcPr>
          <w:p>
            <w:pPr>
              <w:pStyle w:val="Compact"/>
              <w:jc w:val="left"/>
            </w:pPr>
            <w:r>
              <w:rPr>
                <w:sz w:val="22"/>
              </w:rPr>
              <w:t xml:space="preserve">No direct journi entry — job aids are distributed as documents, referenced by name in M9 (Training) curriculum notes.</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35</w:t>
            </w:r>
          </w:p>
        </w:tc>
        <w:tc>
          <w:tcPr>
            <w:tcW w:type="dxa" w:w="2522"/>
          </w:tcPr>
          <w:p>
            <w:pPr>
              <w:pStyle w:val="Compact"/>
              <w:jc w:val="left"/>
            </w:pPr>
            <w:r>
              <w:rPr>
                <w:bCs/>
                <w:b/>
                <w:sz w:val="22"/>
              </w:rPr>
              <w:t xml:space="preserve">[PM]</w:t>
            </w:r>
            <w:r>
              <w:rPr>
                <w:sz w:val="22"/>
              </w:rPr>
              <w:t xml:space="preserve"> </w:t>
            </w:r>
            <w:r>
              <w:rPr>
                <w:sz w:val="22"/>
              </w:rPr>
              <w:t xml:space="preserve">Open the sandbox environment for supervised practice (Task 2, Step 2) — confirm access for all three sites.</w:t>
            </w:r>
          </w:p>
        </w:tc>
        <w:tc>
          <w:tcPr>
            <w:tcW w:type="dxa" w:w="2522"/>
          </w:tcPr>
          <w:p>
            <w:pPr>
              <w:pStyle w:val="Compact"/>
              <w:jc w:val="left"/>
            </w:pPr>
            <w:r>
              <w:rPr>
                <w:bCs/>
                <w:b/>
                <w:sz w:val="22"/>
              </w:rPr>
              <w:t xml:space="preserve">[CM]</w:t>
            </w:r>
            <w:r>
              <w:rPr>
                <w:sz w:val="22"/>
              </w:rPr>
              <w:t xml:space="preserve"> </w:t>
            </w:r>
            <w:r>
              <w:rPr>
                <w:sz w:val="22"/>
              </w:rPr>
              <w:t xml:space="preserve">Schedule supervised sandbox practice slots per cohort (overlaps Exception E2 (Divergence Pattern at UAT)’s resolution week in Test).</w:t>
            </w:r>
          </w:p>
        </w:tc>
        <w:tc>
          <w:tcPr>
            <w:tcW w:type="dxa" w:w="3258"/>
          </w:tcPr>
          <w:p>
            <w:pPr>
              <w:pStyle w:val="Compact"/>
              <w:jc w:val="left"/>
            </w:pPr>
            <w:r>
              <w:rPr>
                <w:sz w:val="22"/>
              </w:rPr>
              <w:t xml:space="preserve">M9 (Training) — sandbox-practice-hours field added to each cohort’s entry, tracked separately from classroom completion.</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36</w:t>
            </w:r>
          </w:p>
        </w:tc>
        <w:tc>
          <w:tcPr>
            <w:tcW w:type="dxa" w:w="2522"/>
          </w:tcPr>
          <w:p>
            <w:pPr>
              <w:pStyle w:val="Compact"/>
              <w:jc w:val="left"/>
            </w:pPr>
            <w:r>
              <w:rPr>
                <w:bCs/>
                <w:b/>
                <w:sz w:val="22"/>
              </w:rPr>
              <w:t xml:space="preserve">[PM]</w:t>
            </w:r>
            <w:r>
              <w:rPr>
                <w:sz w:val="22"/>
              </w:rPr>
              <w:t xml:space="preserve"> </w:t>
            </w:r>
            <w:r>
              <w:rPr>
                <w:sz w:val="22"/>
              </w:rPr>
              <w:t xml:space="preserve">No specific activity this week.</w:t>
            </w:r>
          </w:p>
        </w:tc>
        <w:tc>
          <w:tcPr>
            <w:tcW w:type="dxa" w:w="2522"/>
          </w:tcPr>
          <w:p>
            <w:pPr>
              <w:pStyle w:val="Compact"/>
              <w:jc w:val="left"/>
            </w:pPr>
            <w:r>
              <w:rPr>
                <w:bCs/>
                <w:b/>
                <w:sz w:val="22"/>
              </w:rPr>
              <w:t xml:space="preserve">[CM]</w:t>
            </w:r>
            <w:r>
              <w:rPr>
                <w:sz w:val="22"/>
              </w:rPr>
              <w:t xml:space="preserve"> </w:t>
            </w:r>
            <w:r>
              <w:rPr>
                <w:sz w:val="22"/>
              </w:rPr>
              <w:t xml:space="preserve">Score Knowledge and Ability per cohort (Task 3, Step 1) — type in: Casablanca Finance Knowledge = 4, Ability = 4; Kenitra Knowledge = 4, Ability = 3; Settat Knowledge = 3, Ability = 2.</w:t>
            </w:r>
          </w:p>
        </w:tc>
        <w:tc>
          <w:tcPr>
            <w:tcW w:type="dxa" w:w="3258"/>
          </w:tcPr>
          <w:p>
            <w:pPr>
              <w:pStyle w:val="Compact"/>
              <w:jc w:val="left"/>
            </w:pPr>
            <w:r>
              <w:rPr>
                <w:sz w:val="22"/>
              </w:rPr>
              <w:t xml:space="preserve">M5 (ADKAR Engine) — scores as above. Settat reads meaningfully behind the other two sites — the spread that opens Exception E6 (Cohort Divergence Across Sites).</w:t>
            </w:r>
          </w:p>
        </w:tc>
        <w:tc>
          <w:tcPr>
            <w:tcW w:type="dxa" w:w="1261"/>
          </w:tcPr>
          <w:p>
            <w:pPr>
              <w:pStyle w:val="Compact"/>
              <w:jc w:val="left"/>
            </w:pPr>
            <w:r>
              <w:rPr>
                <w:sz w:val="22"/>
              </w:rPr>
              <w:t xml:space="preserve">E6 (Cohort Divergence Across Sites) — opens</w:t>
            </w:r>
          </w:p>
        </w:tc>
      </w:tr>
      <w:tr>
        <w:tc>
          <w:tcPr>
            <w:tcW w:type="dxa" w:w="946"/>
          </w:tcPr>
          <w:p>
            <w:pPr>
              <w:pStyle w:val="Compact"/>
              <w:jc w:val="left"/>
            </w:pPr>
            <w:r>
              <w:rPr>
                <w:bCs/>
                <w:b/>
                <w:sz w:val="22"/>
              </w:rPr>
              <w:t xml:space="preserve">Week 37</w:t>
            </w:r>
          </w:p>
        </w:tc>
        <w:tc>
          <w:tcPr>
            <w:tcW w:type="dxa" w:w="2522"/>
          </w:tcPr>
          <w:p>
            <w:pPr>
              <w:pStyle w:val="Compact"/>
              <w:jc w:val="left"/>
            </w:pPr>
            <w:r>
              <w:rPr>
                <w:bCs/>
                <w:b/>
                <w:sz w:val="22"/>
              </w:rPr>
              <w:t xml:space="preserve">[PM]</w:t>
            </w:r>
            <w:r>
              <w:rPr>
                <w:sz w:val="22"/>
              </w:rPr>
              <w:t xml:space="preserve"> </w:t>
            </w:r>
            <w:r>
              <w:rPr>
                <w:sz w:val="22"/>
              </w:rPr>
              <w:t xml:space="preserve">No specific activity this week.</w:t>
            </w:r>
          </w:p>
        </w:tc>
        <w:tc>
          <w:tcPr>
            <w:tcW w:type="dxa" w:w="2522"/>
          </w:tcPr>
          <w:p>
            <w:pPr>
              <w:pStyle w:val="Compact"/>
              <w:jc w:val="left"/>
            </w:pPr>
            <w:r>
              <w:rPr>
                <w:bCs/>
                <w:b/>
                <w:sz w:val="22"/>
              </w:rPr>
              <w:t xml:space="preserve">[CM]</w:t>
            </w:r>
            <w:r>
              <w:rPr>
                <w:sz w:val="22"/>
              </w:rPr>
              <w:t xml:space="preserve"> </w:t>
            </w:r>
            <w:r>
              <w:rPr>
                <w:sz w:val="22"/>
              </w:rPr>
              <w:t xml:space="preserve">Flag Settat below the benchmark band for a second training wave (Task 3, Step 2); begin E6’s Recovery Task 1 — disaggregate the Composite Readiness Index by site.</w:t>
            </w:r>
          </w:p>
        </w:tc>
        <w:tc>
          <w:tcPr>
            <w:tcW w:type="dxa" w:w="3258"/>
          </w:tcPr>
          <w:p>
            <w:pPr>
              <w:pStyle w:val="Compact"/>
              <w:jc w:val="left"/>
            </w:pPr>
            <w:r>
              <w:rPr>
                <w:sz w:val="22"/>
              </w:rPr>
              <w:t xml:space="preserve">M14 (Analytics) — Composite Readiness Index pulled apart by site: Casablanca 78%, Kenitra 68%, Settat 54%. See Exception E6 (Section 1B.4) for the full disaggregation.</w:t>
            </w:r>
          </w:p>
        </w:tc>
        <w:tc>
          <w:tcPr>
            <w:tcW w:type="dxa" w:w="1261"/>
          </w:tcPr>
          <w:p>
            <w:pPr>
              <w:pStyle w:val="Compact"/>
              <w:jc w:val="left"/>
            </w:pPr>
            <w:r>
              <w:rPr>
                <w:sz w:val="22"/>
              </w:rPr>
              <w:t xml:space="preserve">E6 (Cohort Divergence Across Sites) — Recovery Task 1</w:t>
            </w:r>
          </w:p>
        </w:tc>
      </w:tr>
      <w:tr>
        <w:tc>
          <w:tcPr>
            <w:tcW w:type="dxa" w:w="946"/>
          </w:tcPr>
          <w:p>
            <w:pPr>
              <w:pStyle w:val="Compact"/>
              <w:jc w:val="left"/>
            </w:pPr>
            <w:r>
              <w:rPr>
                <w:bCs/>
                <w:b/>
                <w:sz w:val="22"/>
              </w:rPr>
              <w:t xml:space="preserve">Week 38</w:t>
            </w:r>
          </w:p>
        </w:tc>
        <w:tc>
          <w:tcPr>
            <w:tcW w:type="dxa" w:w="2522"/>
          </w:tcPr>
          <w:p>
            <w:pPr>
              <w:pStyle w:val="Compact"/>
              <w:jc w:val="left"/>
            </w:pPr>
            <w:r>
              <w:rPr>
                <w:bCs/>
                <w:b/>
                <w:sz w:val="22"/>
              </w:rPr>
              <w:t xml:space="preserve">[PM]</w:t>
            </w:r>
            <w:r>
              <w:rPr>
                <w:sz w:val="22"/>
              </w:rPr>
              <w:t xml:space="preserve"> </w:t>
            </w:r>
            <w:r>
              <w:rPr>
                <w:sz w:val="22"/>
              </w:rPr>
              <w:t xml:space="preserve">No specific activity this week (overlaps Test’s Phase 4 gate, Week 38).</w:t>
            </w:r>
          </w:p>
        </w:tc>
        <w:tc>
          <w:tcPr>
            <w:tcW w:type="dxa" w:w="2522"/>
          </w:tcPr>
          <w:p>
            <w:pPr>
              <w:pStyle w:val="Compact"/>
              <w:jc w:val="left"/>
            </w:pPr>
            <w:r>
              <w:rPr>
                <w:bCs/>
                <w:b/>
                <w:sz w:val="22"/>
              </w:rPr>
              <w:t xml:space="preserve">[CM]</w:t>
            </w:r>
            <w:r>
              <w:rPr>
                <w:sz w:val="22"/>
              </w:rPr>
              <w:t xml:space="preserve"> </w:t>
            </w:r>
            <w:r>
              <w:rPr>
                <w:sz w:val="22"/>
              </w:rPr>
              <w:t xml:space="preserve">Deliver training wave 2 (remediation) to Settat Plant Operations; run E6’s Recovery Task 3 — investigate what Casablanca did differently.</w:t>
            </w:r>
          </w:p>
        </w:tc>
        <w:tc>
          <w:tcPr>
            <w:tcW w:type="dxa" w:w="3258"/>
          </w:tcPr>
          <w:p>
            <w:pPr>
              <w:pStyle w:val="Compact"/>
              <w:jc w:val="left"/>
            </w:pPr>
            <w:r>
              <w:rPr>
                <w:sz w:val="22"/>
              </w:rPr>
              <w:t xml:space="preserve">M9 (Training) — Settat Plant Operations entry, second wave logged; completion percentage updated to 70%.</w:t>
            </w:r>
          </w:p>
        </w:tc>
        <w:tc>
          <w:tcPr>
            <w:tcW w:type="dxa" w:w="1261"/>
          </w:tcPr>
          <w:p>
            <w:pPr>
              <w:pStyle w:val="Compact"/>
              <w:jc w:val="left"/>
            </w:pPr>
            <w:r>
              <w:rPr>
                <w:sz w:val="22"/>
              </w:rPr>
              <w:t xml:space="preserve">E6 (Cohort Divergence Across Sites) — Recovery Task 3</w:t>
            </w:r>
          </w:p>
        </w:tc>
      </w:tr>
      <w:tr>
        <w:tc>
          <w:tcPr>
            <w:tcW w:type="dxa" w:w="946"/>
          </w:tcPr>
          <w:p>
            <w:pPr>
              <w:pStyle w:val="Compact"/>
              <w:jc w:val="left"/>
            </w:pPr>
            <w:r>
              <w:rPr>
                <w:bCs/>
                <w:b/>
                <w:sz w:val="22"/>
              </w:rPr>
              <w:t xml:space="preserve">Week 39</w:t>
            </w:r>
          </w:p>
        </w:tc>
        <w:tc>
          <w:tcPr>
            <w:tcW w:type="dxa" w:w="2522"/>
          </w:tcPr>
          <w:p>
            <w:pPr>
              <w:pStyle w:val="Compact"/>
              <w:jc w:val="left"/>
            </w:pPr>
            <w:r>
              <w:rPr>
                <w:bCs/>
                <w:b/>
                <w:sz w:val="22"/>
              </w:rPr>
              <w:t xml:space="preserve">[PM]</w:t>
            </w:r>
            <w:r>
              <w:rPr>
                <w:sz w:val="22"/>
              </w:rPr>
              <w:t xml:space="preserve"> </w:t>
            </w:r>
            <w:r>
              <w:rPr>
                <w:sz w:val="22"/>
              </w:rPr>
              <w:t xml:space="preserve">No specific activity this week.</w:t>
            </w:r>
          </w:p>
        </w:tc>
        <w:tc>
          <w:tcPr>
            <w:tcW w:type="dxa" w:w="2522"/>
          </w:tcPr>
          <w:p>
            <w:pPr>
              <w:pStyle w:val="Compact"/>
              <w:jc w:val="left"/>
            </w:pPr>
            <w:r>
              <w:rPr>
                <w:bCs/>
                <w:b/>
                <w:sz w:val="22"/>
              </w:rPr>
              <w:t xml:space="preserve">[CM]</w:t>
            </w:r>
            <w:r>
              <w:rPr>
                <w:sz w:val="22"/>
              </w:rPr>
              <w:t xml:space="preserve"> </w:t>
            </w:r>
            <w:r>
              <w:rPr>
                <w:sz w:val="22"/>
              </w:rPr>
              <w:t xml:space="preserve">Transfer Casablanca’s earlier champion-briefing timing to Settat as a concrete practice (E6’s Recovery Task 4); re-score Settat’s Knowledge and Ability.</w:t>
            </w:r>
          </w:p>
        </w:tc>
        <w:tc>
          <w:tcPr>
            <w:tcW w:type="dxa" w:w="3258"/>
          </w:tcPr>
          <w:p>
            <w:pPr>
              <w:pStyle w:val="Compact"/>
              <w:jc w:val="left"/>
            </w:pPr>
            <w:r>
              <w:rPr>
                <w:sz w:val="22"/>
              </w:rPr>
              <w:t xml:space="preserve">M5 (ADKAR Engine) — Settat re-scored: Knowledge = 4, Ability = 3 (improved from Week 36’s 3/2).</w:t>
            </w:r>
          </w:p>
        </w:tc>
        <w:tc>
          <w:tcPr>
            <w:tcW w:type="dxa" w:w="1261"/>
          </w:tcPr>
          <w:p>
            <w:pPr>
              <w:pStyle w:val="Compact"/>
              <w:jc w:val="left"/>
            </w:pPr>
            <w:r>
              <w:rPr>
                <w:sz w:val="22"/>
              </w:rPr>
              <w:t xml:space="preserve">E6 (Cohort Divergence Across Sites) — Recovery Task 4</w:t>
            </w:r>
          </w:p>
        </w:tc>
      </w:tr>
      <w:tr>
        <w:tc>
          <w:tcPr>
            <w:tcW w:type="dxa" w:w="946"/>
          </w:tcPr>
          <w:p>
            <w:pPr>
              <w:pStyle w:val="Compact"/>
              <w:jc w:val="left"/>
            </w:pPr>
            <w:r>
              <w:rPr>
                <w:bCs/>
                <w:b/>
                <w:sz w:val="22"/>
              </w:rPr>
              <w:t xml:space="preserve">Week 40</w:t>
            </w:r>
          </w:p>
        </w:tc>
        <w:tc>
          <w:tcPr>
            <w:tcW w:type="dxa" w:w="2522"/>
          </w:tcPr>
          <w:p>
            <w:pPr>
              <w:pStyle w:val="Compact"/>
              <w:jc w:val="left"/>
            </w:pPr>
            <w:r>
              <w:rPr>
                <w:bCs/>
                <w:b/>
                <w:sz w:val="22"/>
              </w:rPr>
              <w:t xml:space="preserve">[PM]</w:t>
            </w:r>
            <w:r>
              <w:rPr>
                <w:sz w:val="22"/>
              </w:rPr>
              <w:t xml:space="preserve"> </w:t>
            </w:r>
            <w:r>
              <w:rPr>
                <w:sz w:val="22"/>
              </w:rPr>
              <w:t xml:space="preserve">No specific activity this week.</w:t>
            </w:r>
          </w:p>
        </w:tc>
        <w:tc>
          <w:tcPr>
            <w:tcW w:type="dxa" w:w="2522"/>
          </w:tcPr>
          <w:p>
            <w:pPr>
              <w:pStyle w:val="Compact"/>
              <w:jc w:val="left"/>
            </w:pPr>
            <w:r>
              <w:rPr>
                <w:bCs/>
                <w:b/>
                <w:sz w:val="22"/>
              </w:rPr>
              <w:t xml:space="preserve">[CM]</w:t>
            </w:r>
            <w:r>
              <w:rPr>
                <w:sz w:val="22"/>
              </w:rPr>
              <w:t xml:space="preserve"> </w:t>
            </w:r>
            <w:r>
              <w:rPr>
                <w:sz w:val="22"/>
              </w:rPr>
              <w:t xml:space="preserve">Walk each People Manager through their team’s M11 (Manager as Coach) heatmap (Task 4, Step 1) — Kenitra and Settat supervisors reviewed individually.</w:t>
            </w:r>
          </w:p>
        </w:tc>
        <w:tc>
          <w:tcPr>
            <w:tcW w:type="dxa" w:w="3258"/>
          </w:tcPr>
          <w:p>
            <w:pPr>
              <w:pStyle w:val="Compact"/>
              <w:jc w:val="left"/>
            </w:pPr>
            <w:r>
              <w:rPr>
                <w:sz w:val="22"/>
              </w:rPr>
              <w:t xml:space="preserve">M11 (Manager as Coach) — heatmap reviewed live with each supervisor; no direct data entry, a computed view.</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41</w:t>
            </w:r>
          </w:p>
        </w:tc>
        <w:tc>
          <w:tcPr>
            <w:tcW w:type="dxa" w:w="2522"/>
          </w:tcPr>
          <w:p>
            <w:pPr>
              <w:pStyle w:val="Compact"/>
              <w:jc w:val="left"/>
            </w:pPr>
            <w:r>
              <w:rPr>
                <w:bCs/>
                <w:b/>
                <w:sz w:val="22"/>
              </w:rPr>
              <w:t xml:space="preserve">[PM]</w:t>
            </w:r>
            <w:r>
              <w:rPr>
                <w:sz w:val="22"/>
              </w:rPr>
              <w:t xml:space="preserve"> </w:t>
            </w:r>
            <w:r>
              <w:rPr>
                <w:sz w:val="22"/>
              </w:rPr>
              <w:t xml:space="preserve">Finalize the go-live runbook draft with Change Management input on coaching readiness.</w:t>
            </w:r>
          </w:p>
        </w:tc>
        <w:tc>
          <w:tcPr>
            <w:tcW w:type="dxa" w:w="2522"/>
          </w:tcPr>
          <w:p>
            <w:pPr>
              <w:pStyle w:val="Compact"/>
              <w:jc w:val="left"/>
            </w:pPr>
            <w:r>
              <w:rPr>
                <w:bCs/>
                <w:b/>
                <w:sz w:val="22"/>
              </w:rPr>
              <w:t xml:space="preserve">[CM]</w:t>
            </w:r>
            <w:r>
              <w:rPr>
                <w:sz w:val="22"/>
              </w:rPr>
              <w:t xml:space="preserve"> </w:t>
            </w:r>
            <w:r>
              <w:rPr>
                <w:sz w:val="22"/>
              </w:rPr>
              <w:t xml:space="preserve">Confirm each supervisor’s go-live-week coaching plan (Task 4, Step 2) — type in, for Kenitra:</w:t>
            </w:r>
            <w:r>
              <w:rPr>
                <w:sz w:val="22"/>
              </w:rPr>
              <w:t xml:space="preserve"> </w:t>
            </w:r>
            <w:r>
              <w:rPr>
                <w:sz w:val="22"/>
              </w:rPr>
              <w:t xml:space="preserve">“</w:t>
            </w:r>
            <w:r>
              <w:rPr>
                <w:sz w:val="22"/>
              </w:rPr>
              <w:t xml:space="preserve">Yassine Bouhali to run a 15-minute floor huddle at shift start, first 2 weeks post-go-live, focused on the stock-movement screen.</w:t>
            </w:r>
            <w:r>
              <w:rPr>
                <w:sz w:val="22"/>
              </w:rPr>
              <w:t xml:space="preserve">”</w:t>
            </w:r>
          </w:p>
        </w:tc>
        <w:tc>
          <w:tcPr>
            <w:tcW w:type="dxa" w:w="3258"/>
          </w:tcPr>
          <w:p>
            <w:pPr>
              <w:pStyle w:val="Compact"/>
              <w:jc w:val="left"/>
            </w:pPr>
            <w:r>
              <w:rPr>
                <w:sz w:val="22"/>
              </w:rPr>
              <w:t xml:space="preserve">M11 (Manager as Coach) — coaching-plan note logged against each supervisor.</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42</w:t>
            </w:r>
          </w:p>
        </w:tc>
        <w:tc>
          <w:tcPr>
            <w:tcW w:type="dxa" w:w="2522"/>
          </w:tcPr>
          <w:p>
            <w:pPr>
              <w:pStyle w:val="Compact"/>
              <w:jc w:val="left"/>
            </w:pPr>
            <w:r>
              <w:rPr>
                <w:bCs/>
                <w:b/>
                <w:sz w:val="22"/>
              </w:rPr>
              <w:t xml:space="preserve">[PM]</w:t>
            </w:r>
            <w:r>
              <w:rPr>
                <w:sz w:val="22"/>
              </w:rPr>
              <w:t xml:space="preserve"> </w:t>
            </w:r>
            <w:r>
              <w:rPr>
                <w:sz w:val="22"/>
              </w:rPr>
              <w:t xml:space="preserve">Confirm the Phase 5 gate alongside Change Management’s cohort-level readiness call.</w:t>
            </w:r>
          </w:p>
        </w:tc>
        <w:tc>
          <w:tcPr>
            <w:tcW w:type="dxa" w:w="2522"/>
          </w:tcPr>
          <w:p>
            <w:pPr>
              <w:pStyle w:val="Compact"/>
              <w:jc w:val="left"/>
            </w:pPr>
            <w:r>
              <w:rPr>
                <w:bCs/>
                <w:b/>
                <w:sz w:val="22"/>
              </w:rPr>
              <w:t xml:space="preserve">[CM]</w:t>
            </w:r>
            <w:r>
              <w:rPr>
                <w:sz w:val="22"/>
              </w:rPr>
              <w:t xml:space="preserve"> </w:t>
            </w:r>
            <w:r>
              <w:rPr>
                <w:sz w:val="22"/>
              </w:rPr>
              <w:t xml:space="preserve">Confirm cohort-level go/no-go readiness against benchmarking bands on M14 (Analytics) — Casablanca and Kenitra clear cleanly; Settat clears with a coaching note attached, reflecting the Week 39 recovery, not full parity.</w:t>
            </w:r>
          </w:p>
        </w:tc>
        <w:tc>
          <w:tcPr>
            <w:tcW w:type="dxa" w:w="3258"/>
          </w:tcPr>
          <w:p>
            <w:pPr>
              <w:pStyle w:val="Compact"/>
              <w:jc w:val="left"/>
            </w:pPr>
            <w:r>
              <w:rPr>
                <w:sz w:val="22"/>
              </w:rPr>
              <w:t xml:space="preserve">M14 (Analytics) — go/no-go status recorded per cohort: Casablanca Go; Kenitra Go; Settat Go with coaching note.</w:t>
            </w:r>
          </w:p>
        </w:tc>
        <w:tc>
          <w:tcPr>
            <w:tcW w:type="dxa" w:w="1261"/>
          </w:tcPr>
          <w:p>
            <w:pPr>
              <w:pStyle w:val="Compact"/>
              <w:jc w:val="left"/>
            </w:pPr>
            <w:r>
              <w:rPr>
                <w:sz w:val="22"/>
              </w:rPr>
              <w:t xml:space="preserve">—</w:t>
            </w:r>
          </w:p>
        </w:tc>
      </w:tr>
    </w:tbl>
    <w:p>
      <w:pPr>
        <w:pStyle w:val="BodyText"/>
      </w:pPr>
      <w:r>
        <w:rPr>
          <w:bCs/>
          <w:b/>
          <w:sz w:val="25"/>
        </w:rPr>
        <w:t xml:space="preserve">Phase gate:</w:t>
      </w:r>
      <w:r>
        <w:rPr>
          <w:sz w:val="25"/>
        </w:rPr>
        <w:t xml:space="preserve"> </w:t>
      </w:r>
      <w:r>
        <w:rPr>
          <w:sz w:val="25"/>
        </w:rPr>
        <w:t xml:space="preserve">Train closes once cohort-level go/no-go readiness is confirmed against benchmarking bands on M14 (Analytics) — a per-cohort call, not a single project-wide one, since Bouregreg’s three sites are not required to reach readiness on the same week.</w:t>
      </w:r>
    </w:p>
    <w:p>
      <w:pPr>
        <w:pStyle w:val="BodyText"/>
      </w:pPr>
      <w:r>
        <w:rPr>
          <w:bCs/>
          <w:b/>
          <w:sz w:val="25"/>
        </w:rPr>
        <w:t xml:space="preserve">SIPOC.</w:t>
      </w:r>
      <w:r>
        <w:rPr>
          <w:sz w:val="25"/>
        </w:rPr>
        <w:t xml:space="preserve"> </w:t>
      </w:r>
      <w:r>
        <w:rPr>
          <w:sz w:val="25"/>
        </w:rPr>
        <w:t xml:space="preserve">Suppliers: Training lead; plant supervisors at Kenitra and Settat; ITL (sandbox environment). · Inputs: Curriculum; UAT findings; per-site Knowledge scores. · Process: this phase’s four Tasks in sequence · Outputs: Trained, certified cohorts; deployed job aids; cohort-level go/no-go call. · Customers: Steering Committee; Program Manager; Deploy-phase team.</w:t>
      </w:r>
    </w:p>
    <w:p>
      <w:pPr>
        <w:pStyle w:val="BodyText"/>
      </w:pPr>
      <w:r>
        <w:rPr>
          <w:bCs/>
          <w:b/>
          <w:sz w:val="25"/>
        </w:rPr>
        <w:t xml:space="preserve">RACSI for this phase.</w:t>
      </w:r>
      <w:r>
        <w:rPr>
          <w:sz w:val="25"/>
        </w:rPr>
        <w:t xml:space="preserve"> </w:t>
      </w:r>
      <w:r>
        <w:rPr>
          <w:sz w:val="25"/>
        </w:rPr>
        <w:t xml:space="preserve">R = CM, SUP · A = CM · C = FPO · S = PM · I = ES, EU</w:t>
      </w:r>
    </w:p>
    <w:p>
      <w:pPr>
        <w:pStyle w:val="BodyText"/>
      </w:pPr>
    </w:p>
    <w:bookmarkEnd w:id="41"/>
    <w:bookmarkStart w:id="42" w:name="phase-6-deploy-w43"/>
    <w:p>
      <w:pPr>
        <w:pStyle w:val="Heading4"/>
      </w:pPr>
      <w:r>
        <w:rPr>
          <w:b/>
          <w:color w:val="5A8F89"/>
          <w:sz w:val="26"/>
        </w:rPr>
        <w:t xml:space="preserve">Phase 6 — Deploy (W43)</w:t>
      </w:r>
    </w:p>
    <w:p>
      <w:pPr>
        <w:pStyle w:val="FirstParagraph"/>
      </w:pPr>
      <w:r>
        <w:rPr>
          <w:bCs/>
          <w:b/>
          <w:sz w:val="25"/>
        </w:rPr>
        <w:t xml:space="preserve">Framework readings at close:</w:t>
      </w:r>
      <w:r>
        <w:rPr>
          <w:sz w:val="25"/>
        </w:rPr>
        <w:t xml:space="preserve"> </w:t>
      </w:r>
      <w:r>
        <w:rPr>
          <w:sz w:val="25"/>
        </w:rPr>
        <w:t xml:space="preserve">Lewin Change (provisional toward Refreeze) · ADKAR focus Ability · Bridges Neutral Zone → New Beginning (provisional) · Kübler-Ross Exploration.</w:t>
      </w:r>
    </w:p>
    <w:p>
      <w:pPr>
        <w:pStyle w:val="BodyText"/>
      </w:pPr>
      <w:r>
        <w:rPr>
          <w:sz w:val="25"/>
        </w:rPr>
        <w:t xml:space="preserve">Deploy is a single, sharp week — the clearest instance in Bouregreg’s program of the two-clock problem Exception E3 (Two-Clock Problem at Deploy) exists to manage. Given its single-week span, the breakdown below runs day by day rather than week by week.</w:t>
      </w:r>
    </w:p>
    <w:tbl>
      <w:tblPr>
        <w:tblStyle w:val="Table"/>
        <w:tblW w:type="pct" w:w="5000"/>
        <w:jc w:val="center"/>
        <w:tblLayout w:type="fixed"/>
        <w:tblLook w:firstRow="1" w:lastRow="0" w:firstColumn="0" w:lastColumn="0" w:noHBand="0" w:noVBand="0" w:val="0020"/>
      </w:tblPr>
      <w:tblGrid>
        <w:gridCol w:w="600760"/>
        <w:gridCol w:w="1602028"/>
        <w:gridCol w:w="1602028"/>
        <w:gridCol w:w="2069287"/>
        <w:gridCol w:w="801014"/>
      </w:tblGrid>
      <w:tr>
        <w:trPr>
          <w:tblHeader w:val="true"/>
        </w:trPr>
        <w:tc>
          <w:tcPr>
            <w:tcW w:type="dxa" w:w="946"/>
            <w:shd w:val="clear" w:fill="1F4B45"/>
          </w:tcPr>
          <w:p>
            <w:pPr>
              <w:pStyle w:val="Compact"/>
              <w:jc w:val="left"/>
            </w:pPr>
            <w:r>
              <w:rPr>
                <w:b/>
                <w:color w:val="FFFFFF"/>
                <w:sz w:val="22"/>
              </w:rPr>
              <w:t xml:space="preserve">Day</w:t>
            </w:r>
          </w:p>
        </w:tc>
        <w:tc>
          <w:tcPr>
            <w:tcW w:type="dxa" w:w="2522"/>
            <w:shd w:val="clear" w:fill="1F4B45"/>
          </w:tcPr>
          <w:p>
            <w:pPr>
              <w:pStyle w:val="Compact"/>
              <w:jc w:val="left"/>
            </w:pPr>
            <w:r>
              <w:rPr>
                <w:b/>
                <w:color w:val="FFFFFF"/>
                <w:sz w:val="22"/>
              </w:rPr>
              <w:t xml:space="preserve">Project Manager (PM) Track</w:t>
            </w:r>
          </w:p>
        </w:tc>
        <w:tc>
          <w:tcPr>
            <w:tcW w:type="dxa" w:w="2522"/>
            <w:shd w:val="clear" w:fill="1F4B45"/>
          </w:tcPr>
          <w:p>
            <w:pPr>
              <w:pStyle w:val="Compact"/>
              <w:jc w:val="left"/>
            </w:pPr>
            <w:r>
              <w:rPr>
                <w:b/>
                <w:color w:val="FFFFFF"/>
                <w:sz w:val="22"/>
              </w:rPr>
              <w:t xml:space="preserve">Change Manager (CM) Track</w:t>
            </w:r>
          </w:p>
        </w:tc>
        <w:tc>
          <w:tcPr>
            <w:tcW w:type="dxa" w:w="3258"/>
            <w:shd w:val="clear" w:fill="1F4B45"/>
          </w:tcPr>
          <w:p>
            <w:pPr>
              <w:pStyle w:val="Compact"/>
              <w:jc w:val="left"/>
            </w:pPr>
            <w:r>
              <w:rPr>
                <w:b/>
                <w:color w:val="FFFFFF"/>
                <w:sz w:val="22"/>
              </w:rPr>
              <w:t xml:space="preserve">journi Entry — What to Type In</w:t>
            </w:r>
          </w:p>
        </w:tc>
        <w:tc>
          <w:tcPr>
            <w:tcW w:type="dxa" w:w="1261"/>
            <w:shd w:val="clear" w:fill="1F4B45"/>
          </w:tcPr>
          <w:p>
            <w:pPr>
              <w:pStyle w:val="Compact"/>
              <w:jc w:val="left"/>
            </w:pPr>
            <w:r>
              <w:rPr>
                <w:b/>
                <w:color w:val="FFFFFF"/>
                <w:sz w:val="22"/>
              </w:rPr>
              <w:t xml:space="preserve">Exception</w:t>
            </w:r>
          </w:p>
        </w:tc>
      </w:tr>
      <w:tr>
        <w:tc>
          <w:tcPr>
            <w:tcW w:type="dxa" w:w="946"/>
          </w:tcPr>
          <w:p>
            <w:pPr>
              <w:pStyle w:val="Compact"/>
              <w:jc w:val="left"/>
            </w:pPr>
            <w:r>
              <w:rPr>
                <w:bCs/>
                <w:b/>
                <w:sz w:val="22"/>
              </w:rPr>
              <w:t xml:space="preserve">Week 43, Day 1 (Mon)</w:t>
            </w:r>
          </w:p>
        </w:tc>
        <w:tc>
          <w:tcPr>
            <w:tcW w:type="dxa" w:w="2522"/>
          </w:tcPr>
          <w:p>
            <w:pPr>
              <w:pStyle w:val="Compact"/>
              <w:jc w:val="left"/>
            </w:pPr>
            <w:r>
              <w:rPr>
                <w:bCs/>
                <w:b/>
                <w:sz w:val="22"/>
              </w:rPr>
              <w:t xml:space="preserve">[PM]</w:t>
            </w:r>
            <w:r>
              <w:rPr>
                <w:sz w:val="22"/>
              </w:rPr>
              <w:t xml:space="preserve"> </w:t>
            </w:r>
            <w:r>
              <w:rPr>
                <w:sz w:val="22"/>
              </w:rPr>
              <w:t xml:space="preserve">Freeze legacy-system data entry at the agreed cutoff (Task 1, Step 1) — type in the freeze notice:</w:t>
            </w:r>
            <w:r>
              <w:rPr>
                <w:sz w:val="22"/>
              </w:rPr>
              <w:t xml:space="preserve"> </w:t>
            </w:r>
            <w:r>
              <w:rPr>
                <w:sz w:val="22"/>
              </w:rPr>
              <w:t xml:space="preserve">“</w:t>
            </w:r>
            <w:r>
              <w:rPr>
                <w:sz w:val="22"/>
              </w:rPr>
              <w:t xml:space="preserve">Legacy systems locked for data entry as of 06:00, Day 1. All three sites confirmed.</w:t>
            </w:r>
            <w:r>
              <w:rPr>
                <w:sz w:val="22"/>
              </w:rPr>
              <w:t xml:space="preserve">”</w:t>
            </w:r>
          </w:p>
        </w:tc>
        <w:tc>
          <w:tcPr>
            <w:tcW w:type="dxa" w:w="2522"/>
          </w:tcPr>
          <w:p>
            <w:pPr>
              <w:pStyle w:val="Compact"/>
              <w:jc w:val="left"/>
            </w:pPr>
            <w:r>
              <w:rPr>
                <w:bCs/>
                <w:b/>
                <w:sz w:val="22"/>
              </w:rPr>
              <w:t xml:space="preserve">[CM]</w:t>
            </w:r>
            <w:r>
              <w:rPr>
                <w:sz w:val="22"/>
              </w:rPr>
              <w:t xml:space="preserve"> </w:t>
            </w:r>
            <w:r>
              <w:rPr>
                <w:sz w:val="22"/>
              </w:rPr>
              <w:t xml:space="preserve">Stand by; confirm all champions and supervisors are on-site and briefed for go-live week.</w:t>
            </w:r>
          </w:p>
        </w:tc>
        <w:tc>
          <w:tcPr>
            <w:tcW w:type="dxa" w:w="3258"/>
          </w:tcPr>
          <w:p>
            <w:pPr>
              <w:pStyle w:val="Compact"/>
              <w:jc w:val="left"/>
            </w:pPr>
            <w:r>
              <w:rPr>
                <w:sz w:val="22"/>
              </w:rPr>
              <w:t xml:space="preserve">M17 (WBS &amp; Gantt) — task</w:t>
            </w:r>
            <w:r>
              <w:rPr>
                <w:sz w:val="22"/>
              </w:rPr>
              <w:t xml:space="preserve"> </w:t>
            </w:r>
            <w:r>
              <w:rPr>
                <w:sz w:val="22"/>
              </w:rPr>
              <w:t xml:space="preserve">“</w:t>
            </w:r>
            <w:r>
              <w:rPr>
                <w:sz w:val="22"/>
              </w:rPr>
              <w:t xml:space="preserve">Data Freeze</w:t>
            </w:r>
            <w:r>
              <w:rPr>
                <w:sz w:val="22"/>
              </w:rPr>
              <w:t xml:space="preserve">”</w:t>
            </w:r>
            <w:r>
              <w:rPr>
                <w:sz w:val="22"/>
              </w:rPr>
              <w:t xml:space="preserve"> </w:t>
            </w:r>
            <w:r>
              <w:rPr>
                <w:sz w:val="22"/>
              </w:rPr>
              <w:t xml:space="preserve">marked complete, actual date logged.</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43, Day 2 (Tue)</w:t>
            </w:r>
          </w:p>
        </w:tc>
        <w:tc>
          <w:tcPr>
            <w:tcW w:type="dxa" w:w="2522"/>
          </w:tcPr>
          <w:p>
            <w:pPr>
              <w:pStyle w:val="Compact"/>
              <w:jc w:val="left"/>
            </w:pPr>
            <w:r>
              <w:rPr>
                <w:bCs/>
                <w:b/>
                <w:sz w:val="22"/>
              </w:rPr>
              <w:t xml:space="preserve">[PM]</w:t>
            </w:r>
            <w:r>
              <w:rPr>
                <w:sz w:val="22"/>
              </w:rPr>
              <w:t xml:space="preserve"> </w:t>
            </w:r>
            <w:r>
              <w:rPr>
                <w:sz w:val="22"/>
              </w:rPr>
              <w:t xml:space="preserve">Run the final migration and reconcile the result (Task 1, Step 2) — type in:</w:t>
            </w:r>
            <w:r>
              <w:rPr>
                <w:sz w:val="22"/>
              </w:rPr>
              <w:t xml:space="preserve"> </w:t>
            </w:r>
            <w:r>
              <w:rPr>
                <w:sz w:val="22"/>
              </w:rPr>
              <w:t xml:space="preserve">“</w:t>
            </w:r>
            <w:r>
              <w:rPr>
                <w:sz w:val="22"/>
              </w:rPr>
              <w:t xml:space="preserve">Final migration run 02:00–05:00. Reconciliation: 100% of frozen records matched migrated records across Order Management, Inventory, Finance. 0 discrepancies.</w:t>
            </w:r>
            <w:r>
              <w:rPr>
                <w:sz w:val="22"/>
              </w:rPr>
              <w:t xml:space="preserve">”</w:t>
            </w:r>
          </w:p>
        </w:tc>
        <w:tc>
          <w:tcPr>
            <w:tcW w:type="dxa" w:w="2522"/>
          </w:tcPr>
          <w:p>
            <w:pPr>
              <w:pStyle w:val="Compact"/>
              <w:jc w:val="left"/>
            </w:pPr>
            <w:r>
              <w:rPr>
                <w:bCs/>
                <w:b/>
                <w:sz w:val="22"/>
              </w:rPr>
              <w:t xml:space="preserve">[CM]</w:t>
            </w:r>
            <w:r>
              <w:rPr>
                <w:sz w:val="22"/>
              </w:rPr>
              <w:t xml:space="preserve"> </w:t>
            </w:r>
            <w:r>
              <w:rPr>
                <w:sz w:val="22"/>
              </w:rPr>
              <w:t xml:space="preserve">Hold; prepare the go-live confirmation message draft for Day 4.</w:t>
            </w:r>
          </w:p>
        </w:tc>
        <w:tc>
          <w:tcPr>
            <w:tcW w:type="dxa" w:w="3258"/>
          </w:tcPr>
          <w:p>
            <w:pPr>
              <w:pStyle w:val="Compact"/>
              <w:jc w:val="left"/>
            </w:pPr>
            <w:r>
              <w:rPr>
                <w:sz w:val="22"/>
              </w:rPr>
              <w:t xml:space="preserve">M17 (WBS &amp; Gantt) — task</w:t>
            </w:r>
            <w:r>
              <w:rPr>
                <w:sz w:val="22"/>
              </w:rPr>
              <w:t xml:space="preserve"> </w:t>
            </w:r>
            <w:r>
              <w:rPr>
                <w:sz w:val="22"/>
              </w:rPr>
              <w:t xml:space="preserve">“</w:t>
            </w:r>
            <w:r>
              <w:rPr>
                <w:sz w:val="22"/>
              </w:rPr>
              <w:t xml:space="preserve">Final Migration &amp; Reconciliation</w:t>
            </w:r>
            <w:r>
              <w:rPr>
                <w:sz w:val="22"/>
              </w:rPr>
              <w:t xml:space="preserve">”</w:t>
            </w:r>
            <w:r>
              <w:rPr>
                <w:sz w:val="22"/>
              </w:rPr>
              <w:t xml:space="preserve"> </w:t>
            </w:r>
            <w:r>
              <w:rPr>
                <w:sz w:val="22"/>
              </w:rPr>
              <w:t xml:space="preserve">marked complete.</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43, Day 3 (Wed)</w:t>
            </w:r>
          </w:p>
        </w:tc>
        <w:tc>
          <w:tcPr>
            <w:tcW w:type="dxa" w:w="2522"/>
          </w:tcPr>
          <w:p>
            <w:pPr>
              <w:pStyle w:val="Compact"/>
              <w:jc w:val="left"/>
            </w:pPr>
            <w:r>
              <w:rPr>
                <w:bCs/>
                <w:b/>
                <w:sz w:val="22"/>
              </w:rPr>
              <w:t xml:space="preserve">[PM]</w:t>
            </w:r>
            <w:r>
              <w:rPr>
                <w:sz w:val="22"/>
              </w:rPr>
              <w:t xml:space="preserve"> </w:t>
            </w:r>
            <w:r>
              <w:rPr>
                <w:sz w:val="22"/>
              </w:rPr>
              <w:t xml:space="preserve">Execute the cutover runbook step by step (Task 2, Step 1); validate the live platform against acceptance criteria (Task 2, Step 2).</w:t>
            </w:r>
          </w:p>
        </w:tc>
        <w:tc>
          <w:tcPr>
            <w:tcW w:type="dxa" w:w="2522"/>
          </w:tcPr>
          <w:p>
            <w:pPr>
              <w:pStyle w:val="Compact"/>
              <w:jc w:val="left"/>
            </w:pPr>
            <w:r>
              <w:rPr>
                <w:bCs/>
                <w:b/>
                <w:sz w:val="22"/>
              </w:rPr>
              <w:t xml:space="preserve">[CM]</w:t>
            </w:r>
            <w:r>
              <w:rPr>
                <w:sz w:val="22"/>
              </w:rPr>
              <w:t xml:space="preserve"> </w:t>
            </w:r>
            <w:r>
              <w:rPr>
                <w:sz w:val="22"/>
              </w:rPr>
              <w:t xml:space="preserve">Stand by for the technical validation sign-off before finalizing the Day 4 communication.</w:t>
            </w:r>
          </w:p>
        </w:tc>
        <w:tc>
          <w:tcPr>
            <w:tcW w:type="dxa" w:w="3258"/>
          </w:tcPr>
          <w:p>
            <w:pPr>
              <w:pStyle w:val="Compact"/>
              <w:jc w:val="left"/>
            </w:pPr>
            <w:r>
              <w:rPr>
                <w:sz w:val="22"/>
              </w:rPr>
              <w:t xml:space="preserve">M17 (WBS &amp; Gantt) — task</w:t>
            </w:r>
            <w:r>
              <w:rPr>
                <w:sz w:val="22"/>
              </w:rPr>
              <w:t xml:space="preserve"> </w:t>
            </w:r>
            <w:r>
              <w:rPr>
                <w:sz w:val="22"/>
              </w:rPr>
              <w:t xml:space="preserve">“</w:t>
            </w:r>
            <w:r>
              <w:rPr>
                <w:sz w:val="22"/>
              </w:rPr>
              <w:t xml:space="preserve">Cutover Runbook &amp; Technical Validation</w:t>
            </w:r>
            <w:r>
              <w:rPr>
                <w:sz w:val="22"/>
              </w:rPr>
              <w:t xml:space="preserve">”</w:t>
            </w:r>
            <w:r>
              <w:rPr>
                <w:sz w:val="22"/>
              </w:rPr>
              <w:t xml:space="preserve"> </w:t>
            </w:r>
            <w:r>
              <w:rPr>
                <w:sz w:val="22"/>
              </w:rPr>
              <w:t xml:space="preserve">marked complete; Phase Gate pre-check recorded as Go.</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43, Day 4 (Thu)</w:t>
            </w:r>
          </w:p>
        </w:tc>
        <w:tc>
          <w:tcPr>
            <w:tcW w:type="dxa" w:w="2522"/>
          </w:tcPr>
          <w:p>
            <w:pPr>
              <w:pStyle w:val="Compact"/>
              <w:jc w:val="left"/>
            </w:pPr>
            <w:r>
              <w:rPr>
                <w:bCs/>
                <w:b/>
                <w:sz w:val="22"/>
              </w:rPr>
              <w:t xml:space="preserve">[PM]</w:t>
            </w:r>
            <w:r>
              <w:rPr>
                <w:sz w:val="22"/>
              </w:rPr>
              <w:t xml:space="preserve"> </w:t>
            </w:r>
            <w:r>
              <w:rPr>
                <w:sz w:val="22"/>
              </w:rPr>
              <w:t xml:space="preserve">Confirm technical go-live is clean; hand off to Change Management for the go-live announcement.</w:t>
            </w:r>
          </w:p>
        </w:tc>
        <w:tc>
          <w:tcPr>
            <w:tcW w:type="dxa" w:w="2522"/>
          </w:tcPr>
          <w:p>
            <w:pPr>
              <w:pStyle w:val="Compact"/>
              <w:jc w:val="left"/>
            </w:pPr>
            <w:r>
              <w:rPr>
                <w:bCs/>
                <w:b/>
                <w:sz w:val="22"/>
              </w:rPr>
              <w:t xml:space="preserve">[CM]</w:t>
            </w:r>
            <w:r>
              <w:rPr>
                <w:sz w:val="22"/>
              </w:rPr>
              <w:t xml:space="preserve"> </w:t>
            </w:r>
            <w:r>
              <w:rPr>
                <w:sz w:val="22"/>
              </w:rPr>
              <w:t xml:space="preserve">Draft and send the go-live confirmation to all three sites (Task 3, Steps 1–2), timed against M8 (Communications)’s saturation check.</w:t>
            </w:r>
          </w:p>
        </w:tc>
        <w:tc>
          <w:tcPr>
            <w:tcW w:type="dxa" w:w="3258"/>
          </w:tcPr>
          <w:p>
            <w:pPr>
              <w:pStyle w:val="Compact"/>
              <w:jc w:val="left"/>
            </w:pPr>
            <w:r>
              <w:rPr>
                <w:sz w:val="22"/>
              </w:rPr>
              <w:t xml:space="preserve">M8 (Communications) — type in: Message</w:t>
            </w:r>
            <w:r>
              <w:rPr>
                <w:sz w:val="22"/>
              </w:rPr>
              <w:t xml:space="preserve"> </w:t>
            </w:r>
            <w:r>
              <w:rPr>
                <w:sz w:val="22"/>
              </w:rPr>
              <w:t xml:space="preserve">“</w:t>
            </w:r>
            <w:r>
              <w:rPr>
                <w:sz w:val="22"/>
              </w:rPr>
              <w:t xml:space="preserve">Bouregreg’s unified platform is live as of today. Your training, job aids, and supervisor support are all in place — use the system for every transaction from now on.</w:t>
            </w:r>
            <w:r>
              <w:rPr>
                <w:sz w:val="22"/>
              </w:rPr>
              <w:t xml:space="preserve">”</w:t>
            </w:r>
            <w:r>
              <w:rPr>
                <w:sz w:val="22"/>
              </w:rPr>
              <w:t xml:space="preserve"> </w:t>
            </w:r>
            <w:r>
              <w:rPr>
                <w:sz w:val="22"/>
              </w:rPr>
              <w:t xml:space="preserve">· Audience: All 3,400 staff · Channel: Email + site noticeboards + supervisor cascade · Timing: Day 4, 07:00, ahead of first shift · Status: Sent. Checked against M8 (Communications)’s saturation detection first — no other communication queued this week.</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43, Day 5 (Fri)</w:t>
            </w:r>
          </w:p>
        </w:tc>
        <w:tc>
          <w:tcPr>
            <w:tcW w:type="dxa" w:w="2522"/>
          </w:tcPr>
          <w:p>
            <w:pPr>
              <w:pStyle w:val="Compact"/>
              <w:jc w:val="left"/>
            </w:pPr>
            <w:r>
              <w:rPr>
                <w:bCs/>
                <w:b/>
                <w:sz w:val="22"/>
              </w:rPr>
              <w:t xml:space="preserve">[PM]</w:t>
            </w:r>
            <w:r>
              <w:rPr>
                <w:sz w:val="22"/>
              </w:rPr>
              <w:t xml:space="preserve"> </w:t>
            </w:r>
            <w:r>
              <w:rPr>
                <w:sz w:val="22"/>
              </w:rPr>
              <w:t xml:space="preserve">Monitor first-week technical stability; log any Day 1–5 defect to the Risk Register.</w:t>
            </w:r>
          </w:p>
        </w:tc>
        <w:tc>
          <w:tcPr>
            <w:tcW w:type="dxa" w:w="2522"/>
          </w:tcPr>
          <w:p>
            <w:pPr>
              <w:pStyle w:val="Compact"/>
              <w:jc w:val="left"/>
            </w:pPr>
            <w:r>
              <w:rPr>
                <w:bCs/>
                <w:b/>
                <w:sz w:val="22"/>
              </w:rPr>
              <w:t xml:space="preserve">[CM]</w:t>
            </w:r>
            <w:r>
              <w:rPr>
                <w:sz w:val="22"/>
              </w:rPr>
              <w:t xml:space="preserve"> </w:t>
            </w:r>
            <w:r>
              <w:rPr>
                <w:sz w:val="22"/>
              </w:rPr>
              <w:t xml:space="preserve">Activate the hypercare support model (Task 4, Step 1); mark Lewin as provisional on M3 (Initiative Registry) (Task 4, Step 2).</w:t>
            </w:r>
          </w:p>
        </w:tc>
        <w:tc>
          <w:tcPr>
            <w:tcW w:type="dxa" w:w="3258"/>
          </w:tcPr>
          <w:p>
            <w:pPr>
              <w:pStyle w:val="Compact"/>
              <w:jc w:val="left"/>
            </w:pPr>
            <w:r>
              <w:rPr>
                <w:sz w:val="22"/>
              </w:rPr>
              <w:t xml:space="preserve">M3 (Initiative Registry) — type in:</w:t>
            </w:r>
            <w:r>
              <w:rPr>
                <w:sz w:val="22"/>
              </w:rPr>
              <w:t xml:space="preserve"> </w:t>
            </w:r>
            <w:r>
              <w:rPr>
                <w:sz w:val="22"/>
              </w:rPr>
              <w:t xml:space="preserve">“</w:t>
            </w:r>
            <w:r>
              <w:rPr>
                <w:sz w:val="22"/>
              </w:rPr>
              <w:t xml:space="preserve">Setting Change → Refreeze (provisional). Technical go-live clean across all three sites (Days 1–4). Emotional-layer evidence (Bridges, Kübler-Ross) still pending re-pulse — see Exception E3 (Two-Clock Problem at Deploy). Not calling confirmed Refreeze on the go-live date alone.</w:t>
            </w:r>
            <w:r>
              <w:rPr>
                <w:sz w:val="22"/>
              </w:rPr>
              <w:t xml:space="preserve">”</w:t>
            </w:r>
          </w:p>
        </w:tc>
        <w:tc>
          <w:tcPr>
            <w:tcW w:type="dxa" w:w="1261"/>
          </w:tcPr>
          <w:p>
            <w:pPr>
              <w:pStyle w:val="Compact"/>
              <w:jc w:val="left"/>
            </w:pPr>
            <w:r>
              <w:rPr>
                <w:sz w:val="22"/>
              </w:rPr>
              <w:t xml:space="preserve">E3 (Two-Clock Problem at Deploy) — opens</w:t>
            </w:r>
          </w:p>
        </w:tc>
      </w:tr>
    </w:tbl>
    <w:p>
      <w:pPr>
        <w:pStyle w:val="BodyText"/>
      </w:pPr>
      <w:r>
        <w:rPr>
          <w:bCs/>
          <w:b/>
          <w:sz w:val="25"/>
        </w:rPr>
        <w:t xml:space="preserve">Phase gate:</w:t>
      </w:r>
      <w:r>
        <w:rPr>
          <w:sz w:val="25"/>
        </w:rPr>
        <w:t xml:space="preserve"> </w:t>
      </w:r>
      <w:r>
        <w:rPr>
          <w:sz w:val="25"/>
        </w:rPr>
        <w:t xml:space="preserve">Deploy closes on a clean technical go-live; the Lewin call explicitly does not close here, and stays provisional into Hypercare.</w:t>
      </w:r>
    </w:p>
    <w:p>
      <w:pPr>
        <w:pStyle w:val="BodyText"/>
      </w:pPr>
      <w:r>
        <w:rPr>
          <w:bCs/>
          <w:b/>
          <w:sz w:val="25"/>
        </w:rPr>
        <w:t xml:space="preserve">SIPOC.</w:t>
      </w:r>
      <w:r>
        <w:rPr>
          <w:sz w:val="25"/>
        </w:rPr>
        <w:t xml:space="preserve"> </w:t>
      </w:r>
      <w:r>
        <w:rPr>
          <w:sz w:val="25"/>
        </w:rPr>
        <w:t xml:space="preserve">Suppliers: ITL; Program Manager; Change Manager. · Inputs: Rehearsed migration cycles; cutover runbook; cohort go/no-go calls. · Process: this phase’s four Tasks in sequence · Outputs: Live production system; legacy system locked; go-live communication sent; provisional Lewin. · Customers: Steering Committee; all three sites; Hypercare-phase team.</w:t>
      </w:r>
    </w:p>
    <w:p>
      <w:pPr>
        <w:pStyle w:val="BodyText"/>
      </w:pPr>
      <w:r>
        <w:rPr>
          <w:bCs/>
          <w:b/>
          <w:sz w:val="25"/>
        </w:rPr>
        <w:t xml:space="preserve">RACSI for this phase.</w:t>
      </w:r>
      <w:r>
        <w:rPr>
          <w:sz w:val="25"/>
        </w:rPr>
        <w:t xml:space="preserve"> </w:t>
      </w:r>
      <w:r>
        <w:rPr>
          <w:sz w:val="25"/>
        </w:rPr>
        <w:t xml:space="preserve">R = ITL, PM · A = ES · C = CM · S = SUP · I = EU</w:t>
      </w:r>
    </w:p>
    <w:p>
      <w:pPr>
        <w:pStyle w:val="BodyText"/>
      </w:pPr>
    </w:p>
    <w:bookmarkEnd w:id="42"/>
    <w:bookmarkStart w:id="43" w:name="phase-7-hypercare-w4350"/>
    <w:p>
      <w:pPr>
        <w:pStyle w:val="Heading4"/>
      </w:pPr>
      <w:r>
        <w:rPr>
          <w:b/>
          <w:color w:val="5A8F89"/>
          <w:sz w:val="26"/>
        </w:rPr>
        <w:t xml:space="preserve">Phase 7 — Hypercare (W43–50)</w:t>
      </w:r>
    </w:p>
    <w:p>
      <w:pPr>
        <w:pStyle w:val="FirstParagraph"/>
      </w:pPr>
      <w:r>
        <w:rPr>
          <w:bCs/>
          <w:b/>
          <w:sz w:val="25"/>
        </w:rPr>
        <w:t xml:space="preserve">Framework readings at close:</w:t>
      </w:r>
      <w:r>
        <w:rPr>
          <w:sz w:val="25"/>
        </w:rPr>
        <w:t xml:space="preserve"> </w:t>
      </w:r>
      <w:r>
        <w:rPr>
          <w:sz w:val="25"/>
        </w:rPr>
        <w:t xml:space="preserve">Lewin Change → Refreeze (provisional, confirming) · ADKAR focus Ability → Reinforcement · Bridges New Beginning · Kübler-Ross Exploration → Commitment.</w:t>
      </w:r>
    </w:p>
    <w:p>
      <w:pPr>
        <w:pStyle w:val="BodyText"/>
      </w:pPr>
      <w:r>
        <w:rPr>
          <w:sz w:val="25"/>
        </w:rPr>
        <w:t xml:space="preserve">The last mile of adoption is won or lost here, and Kübler-Ross regression during this window is normal, expected behavior, not a data error — Exception E4 (Sentiment Regression During Hypercare) plays out inside the table below. Week 43 itself is covered in full in Phase 6’s day-by-day breakdown (hypercare activates on Day 5); this table picks up from Week 44.</w:t>
      </w:r>
    </w:p>
    <w:tbl>
      <w:tblPr>
        <w:tblStyle w:val="Table"/>
        <w:tblW w:type="pct" w:w="5000"/>
        <w:jc w:val="center"/>
        <w:tblLayout w:type="fixed"/>
        <w:tblLook w:firstRow="1" w:lastRow="0" w:firstColumn="0" w:lastColumn="0" w:noHBand="0" w:noVBand="0" w:val="0020"/>
      </w:tblPr>
      <w:tblGrid>
        <w:gridCol w:w="600760"/>
        <w:gridCol w:w="1602028"/>
        <w:gridCol w:w="1602028"/>
        <w:gridCol w:w="2069287"/>
        <w:gridCol w:w="801014"/>
      </w:tblGrid>
      <w:tr>
        <w:trPr>
          <w:tblHeader w:val="true"/>
        </w:trPr>
        <w:tc>
          <w:tcPr>
            <w:tcW w:type="dxa" w:w="946"/>
            <w:shd w:val="clear" w:fill="1F4B45"/>
          </w:tcPr>
          <w:p>
            <w:pPr>
              <w:pStyle w:val="Compact"/>
              <w:jc w:val="left"/>
            </w:pPr>
            <w:r>
              <w:rPr>
                <w:b/>
                <w:color w:val="FFFFFF"/>
                <w:sz w:val="22"/>
              </w:rPr>
              <w:t xml:space="preserve">Week</w:t>
            </w:r>
          </w:p>
        </w:tc>
        <w:tc>
          <w:tcPr>
            <w:tcW w:type="dxa" w:w="2522"/>
            <w:shd w:val="clear" w:fill="1F4B45"/>
          </w:tcPr>
          <w:p>
            <w:pPr>
              <w:pStyle w:val="Compact"/>
              <w:jc w:val="left"/>
            </w:pPr>
            <w:r>
              <w:rPr>
                <w:b/>
                <w:color w:val="FFFFFF"/>
                <w:sz w:val="22"/>
              </w:rPr>
              <w:t xml:space="preserve">Project Manager (PM) Track</w:t>
            </w:r>
          </w:p>
        </w:tc>
        <w:tc>
          <w:tcPr>
            <w:tcW w:type="dxa" w:w="2522"/>
            <w:shd w:val="clear" w:fill="1F4B45"/>
          </w:tcPr>
          <w:p>
            <w:pPr>
              <w:pStyle w:val="Compact"/>
              <w:jc w:val="left"/>
            </w:pPr>
            <w:r>
              <w:rPr>
                <w:b/>
                <w:color w:val="FFFFFF"/>
                <w:sz w:val="22"/>
              </w:rPr>
              <w:t xml:space="preserve">Change Manager (CM) Track</w:t>
            </w:r>
          </w:p>
        </w:tc>
        <w:tc>
          <w:tcPr>
            <w:tcW w:type="dxa" w:w="3258"/>
            <w:shd w:val="clear" w:fill="1F4B45"/>
          </w:tcPr>
          <w:p>
            <w:pPr>
              <w:pStyle w:val="Compact"/>
              <w:jc w:val="left"/>
            </w:pPr>
            <w:r>
              <w:rPr>
                <w:b/>
                <w:color w:val="FFFFFF"/>
                <w:sz w:val="22"/>
              </w:rPr>
              <w:t xml:space="preserve">journi Entry — What to Type In</w:t>
            </w:r>
          </w:p>
        </w:tc>
        <w:tc>
          <w:tcPr>
            <w:tcW w:type="dxa" w:w="1261"/>
            <w:shd w:val="clear" w:fill="1F4B45"/>
          </w:tcPr>
          <w:p>
            <w:pPr>
              <w:pStyle w:val="Compact"/>
              <w:jc w:val="left"/>
            </w:pPr>
            <w:r>
              <w:rPr>
                <w:b/>
                <w:color w:val="FFFFFF"/>
                <w:sz w:val="22"/>
              </w:rPr>
              <w:t xml:space="preserve">Exception</w:t>
            </w:r>
          </w:p>
        </w:tc>
      </w:tr>
      <w:tr>
        <w:tc>
          <w:tcPr>
            <w:tcW w:type="dxa" w:w="946"/>
          </w:tcPr>
          <w:p>
            <w:pPr>
              <w:pStyle w:val="Compact"/>
              <w:jc w:val="left"/>
            </w:pPr>
            <w:r>
              <w:rPr>
                <w:bCs/>
                <w:b/>
                <w:sz w:val="22"/>
              </w:rPr>
              <w:t xml:space="preserve">Week 44</w:t>
            </w:r>
          </w:p>
        </w:tc>
        <w:tc>
          <w:tcPr>
            <w:tcW w:type="dxa" w:w="2522"/>
          </w:tcPr>
          <w:p>
            <w:pPr>
              <w:pStyle w:val="Compact"/>
              <w:jc w:val="left"/>
            </w:pPr>
            <w:r>
              <w:rPr>
                <w:bCs/>
                <w:b/>
                <w:sz w:val="22"/>
              </w:rPr>
              <w:t xml:space="preserve">[PM]</w:t>
            </w:r>
            <w:r>
              <w:rPr>
                <w:sz w:val="22"/>
              </w:rPr>
              <w:t xml:space="preserve"> </w:t>
            </w:r>
            <w:r>
              <w:rPr>
                <w:sz w:val="22"/>
              </w:rPr>
              <w:t xml:space="preserve">Review the M14 (Analytics) adoption dashboard daily (Task 2, Step 1) — track transaction volume and error rate per site.</w:t>
            </w:r>
          </w:p>
        </w:tc>
        <w:tc>
          <w:tcPr>
            <w:tcW w:type="dxa" w:w="2522"/>
          </w:tcPr>
          <w:p>
            <w:pPr>
              <w:pStyle w:val="Compact"/>
              <w:jc w:val="left"/>
            </w:pPr>
            <w:r>
              <w:rPr>
                <w:bCs/>
                <w:b/>
                <w:sz w:val="22"/>
              </w:rPr>
              <w:t xml:space="preserve">[CM]</w:t>
            </w:r>
            <w:r>
              <w:rPr>
                <w:sz w:val="22"/>
              </w:rPr>
              <w:t xml:space="preserve"> </w:t>
            </w:r>
            <w:r>
              <w:rPr>
                <w:sz w:val="22"/>
              </w:rPr>
              <w:t xml:space="preserve">Continue elevated support desk staffing (Task 1); publish the escalation path to every site (Task 1, Step 2) — type in:</w:t>
            </w:r>
            <w:r>
              <w:rPr>
                <w:sz w:val="22"/>
              </w:rPr>
              <w:t xml:space="preserve"> </w:t>
            </w:r>
            <w:r>
              <w:rPr>
                <w:sz w:val="22"/>
              </w:rPr>
              <w:t xml:space="preserve">“</w:t>
            </w:r>
            <w:r>
              <w:rPr>
                <w:sz w:val="22"/>
              </w:rPr>
              <w:t xml:space="preserve">Escalation: floor issue → supervisor → elevated support desk (ext. 4400) → Driss El Amrani if unresolved in 2 hours.</w:t>
            </w:r>
            <w:r>
              <w:rPr>
                <w:sz w:val="22"/>
              </w:rPr>
              <w:t xml:space="preserve">”</w:t>
            </w:r>
          </w:p>
        </w:tc>
        <w:tc>
          <w:tcPr>
            <w:tcW w:type="dxa" w:w="3258"/>
          </w:tcPr>
          <w:p>
            <w:pPr>
              <w:pStyle w:val="Compact"/>
              <w:jc w:val="left"/>
            </w:pPr>
            <w:r>
              <w:rPr>
                <w:sz w:val="22"/>
              </w:rPr>
              <w:t xml:space="preserve">M13 (Risk Register) — any Day 1–5 defect logged in Week 43 reviewed and triaged; none open above Medium severity.</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45</w:t>
            </w:r>
          </w:p>
        </w:tc>
        <w:tc>
          <w:tcPr>
            <w:tcW w:type="dxa" w:w="2522"/>
          </w:tcPr>
          <w:p>
            <w:pPr>
              <w:pStyle w:val="Compact"/>
              <w:jc w:val="left"/>
            </w:pPr>
            <w:r>
              <w:rPr>
                <w:bCs/>
                <w:b/>
                <w:sz w:val="22"/>
              </w:rPr>
              <w:t xml:space="preserve">[PM]</w:t>
            </w:r>
            <w:r>
              <w:rPr>
                <w:sz w:val="22"/>
              </w:rPr>
              <w:t xml:space="preserve"> </w:t>
            </w:r>
            <w:r>
              <w:rPr>
                <w:sz w:val="22"/>
              </w:rPr>
              <w:t xml:space="preserve">Triage any defect by severity and route it (Task 2, Step 2) — type in, for example:</w:t>
            </w:r>
            <w:r>
              <w:rPr>
                <w:sz w:val="22"/>
              </w:rPr>
              <w:t xml:space="preserve"> </w:t>
            </w:r>
            <w:r>
              <w:rPr>
                <w:sz w:val="22"/>
              </w:rPr>
              <w:t xml:space="preserve">“</w:t>
            </w:r>
            <w:r>
              <w:rPr>
                <w:sz w:val="22"/>
              </w:rPr>
              <w:t xml:space="preserve">Defect #31, Medium: inventory-matching logic mismatches a partial shipment at Kenitra. Routed to ITL, target fix Week 46.</w:t>
            </w:r>
            <w:r>
              <w:rPr>
                <w:sz w:val="22"/>
              </w:rPr>
              <w:t xml:space="preserve">”</w:t>
            </w:r>
          </w:p>
        </w:tc>
        <w:tc>
          <w:tcPr>
            <w:tcW w:type="dxa" w:w="2522"/>
          </w:tcPr>
          <w:p>
            <w:pPr>
              <w:pStyle w:val="Compact"/>
              <w:jc w:val="left"/>
            </w:pPr>
            <w:r>
              <w:rPr>
                <w:bCs/>
                <w:b/>
                <w:sz w:val="22"/>
              </w:rPr>
              <w:t xml:space="preserve">[CM]</w:t>
            </w:r>
            <w:r>
              <w:rPr>
                <w:sz w:val="22"/>
              </w:rPr>
              <w:t xml:space="preserve"> </w:t>
            </w:r>
            <w:r>
              <w:rPr>
                <w:sz w:val="22"/>
              </w:rPr>
              <w:t xml:space="preserve">Re-score Bridges and Kübler-Ross at the 2-week mark (Task 3, Step 1) — type in: Casablanca Bridges = New Beginning, KR = Exploration; Kenitra Bridges = Neutral Zone, KR = Resistance/Anger (dip, tied to Defect #31); Settat Bridges = New Beginning, KR = Exploration.</w:t>
            </w:r>
          </w:p>
        </w:tc>
        <w:tc>
          <w:tcPr>
            <w:tcW w:type="dxa" w:w="3258"/>
          </w:tcPr>
          <w:p>
            <w:pPr>
              <w:pStyle w:val="Compact"/>
              <w:jc w:val="left"/>
            </w:pPr>
            <w:r>
              <w:rPr>
                <w:sz w:val="22"/>
              </w:rPr>
              <w:t xml:space="preserve">M6 (Emotional &amp; Transition Layer) — scores as above. Kenitra’s dip is the trigger for Exception E4 (Sentiment Regression During Hypercare).</w:t>
            </w:r>
          </w:p>
        </w:tc>
        <w:tc>
          <w:tcPr>
            <w:tcW w:type="dxa" w:w="1261"/>
          </w:tcPr>
          <w:p>
            <w:pPr>
              <w:pStyle w:val="Compact"/>
              <w:jc w:val="left"/>
            </w:pPr>
            <w:r>
              <w:rPr>
                <w:sz w:val="22"/>
              </w:rPr>
              <w:t xml:space="preserve">E4 (Sentiment Regression During Hypercare) — trigger week</w:t>
            </w:r>
          </w:p>
        </w:tc>
      </w:tr>
      <w:tr>
        <w:tc>
          <w:tcPr>
            <w:tcW w:type="dxa" w:w="946"/>
          </w:tcPr>
          <w:p>
            <w:pPr>
              <w:pStyle w:val="Compact"/>
              <w:jc w:val="left"/>
            </w:pPr>
            <w:r>
              <w:rPr>
                <w:bCs/>
                <w:b/>
                <w:sz w:val="22"/>
              </w:rPr>
              <w:t xml:space="preserve">Week 46</w:t>
            </w:r>
          </w:p>
        </w:tc>
        <w:tc>
          <w:tcPr>
            <w:tcW w:type="dxa" w:w="2522"/>
          </w:tcPr>
          <w:p>
            <w:pPr>
              <w:pStyle w:val="Compact"/>
              <w:jc w:val="left"/>
            </w:pPr>
            <w:r>
              <w:rPr>
                <w:bCs/>
                <w:b/>
                <w:sz w:val="22"/>
              </w:rPr>
              <w:t xml:space="preserve">[PM]</w:t>
            </w:r>
            <w:r>
              <w:rPr>
                <w:sz w:val="22"/>
              </w:rPr>
              <w:t xml:space="preserve"> </w:t>
            </w:r>
            <w:r>
              <w:rPr>
                <w:sz w:val="22"/>
              </w:rPr>
              <w:t xml:space="preserve">Resolve Defect #31 (the inventory-matching mismatch) — type in:</w:t>
            </w:r>
            <w:r>
              <w:rPr>
                <w:sz w:val="22"/>
              </w:rPr>
              <w:t xml:space="preserve"> </w:t>
            </w:r>
            <w:r>
              <w:rPr>
                <w:sz w:val="22"/>
              </w:rPr>
              <w:t xml:space="preserve">“</w:t>
            </w:r>
            <w:r>
              <w:rPr>
                <w:sz w:val="22"/>
              </w:rPr>
              <w:t xml:space="preserve">Defect #31 closed 46 [date]. Root cause: split-shipment edge case not covered in Build’s Principle 2 configuration. Fix deployed and validated.</w:t>
            </w:r>
            <w:r>
              <w:rPr>
                <w:sz w:val="22"/>
              </w:rPr>
              <w:t xml:space="preserve">”</w:t>
            </w:r>
          </w:p>
        </w:tc>
        <w:tc>
          <w:tcPr>
            <w:tcW w:type="dxa" w:w="2522"/>
          </w:tcPr>
          <w:p>
            <w:pPr>
              <w:pStyle w:val="Compact"/>
              <w:jc w:val="left"/>
            </w:pPr>
            <w:r>
              <w:rPr>
                <w:bCs/>
                <w:b/>
                <w:sz w:val="22"/>
              </w:rPr>
              <w:t xml:space="preserve">[CM]</w:t>
            </w:r>
            <w:r>
              <w:rPr>
                <w:sz w:val="22"/>
              </w:rPr>
              <w:t xml:space="preserve"> </w:t>
            </w:r>
            <w:r>
              <w:rPr>
                <w:sz w:val="22"/>
              </w:rPr>
              <w:t xml:space="preserve">Run E4’s full recovery — confirm the regression is tied to Defect #31, not a general readiness failure; have the Kenitra supervisor acknowledge the incident with the team directly; provide targeted coaching on the specific stock-count step affected. See Exception E4 (Section 1B.4) for the full recovery detail.</w:t>
            </w:r>
          </w:p>
        </w:tc>
        <w:tc>
          <w:tcPr>
            <w:tcW w:type="dxa" w:w="3258"/>
          </w:tcPr>
          <w:p>
            <w:pPr>
              <w:pStyle w:val="Compact"/>
              <w:jc w:val="left"/>
            </w:pPr>
            <w:r>
              <w:rPr>
                <w:sz w:val="22"/>
              </w:rPr>
              <w:t xml:space="preserve">M11 (Manager as Coach) — Kenitra supervisor’s coaching action logged:</w:t>
            </w:r>
            <w:r>
              <w:rPr>
                <w:sz w:val="22"/>
              </w:rPr>
              <w:t xml:space="preserve"> </w:t>
            </w:r>
            <w:r>
              <w:rPr>
                <w:sz w:val="22"/>
              </w:rPr>
              <w:t xml:space="preserve">“</w:t>
            </w:r>
            <w:r>
              <w:rPr>
                <w:sz w:val="22"/>
              </w:rPr>
              <w:t xml:space="preserve">Team huddle held 46 [date], Defect #31 fix explained, stock-count step walked through live.</w:t>
            </w:r>
            <w:r>
              <w:rPr>
                <w:sz w:val="22"/>
              </w:rPr>
              <w:t xml:space="preserve">”</w:t>
            </w:r>
          </w:p>
        </w:tc>
        <w:tc>
          <w:tcPr>
            <w:tcW w:type="dxa" w:w="1261"/>
          </w:tcPr>
          <w:p>
            <w:pPr>
              <w:pStyle w:val="Compact"/>
              <w:jc w:val="left"/>
            </w:pPr>
            <w:r>
              <w:rPr>
                <w:sz w:val="22"/>
              </w:rPr>
              <w:t xml:space="preserve">E4 (Sentiment Regression During Hypercare) — Recovery Tasks 1–4</w:t>
            </w:r>
          </w:p>
        </w:tc>
      </w:tr>
      <w:tr>
        <w:tc>
          <w:tcPr>
            <w:tcW w:type="dxa" w:w="946"/>
          </w:tcPr>
          <w:p>
            <w:pPr>
              <w:pStyle w:val="Compact"/>
              <w:jc w:val="left"/>
            </w:pPr>
            <w:r>
              <w:rPr>
                <w:bCs/>
                <w:b/>
                <w:sz w:val="22"/>
              </w:rPr>
              <w:t xml:space="preserve">Week 47</w:t>
            </w:r>
          </w:p>
        </w:tc>
        <w:tc>
          <w:tcPr>
            <w:tcW w:type="dxa" w:w="2522"/>
          </w:tcPr>
          <w:p>
            <w:pPr>
              <w:pStyle w:val="Compact"/>
              <w:jc w:val="left"/>
            </w:pPr>
            <w:r>
              <w:rPr>
                <w:bCs/>
                <w:b/>
                <w:sz w:val="22"/>
              </w:rPr>
              <w:t xml:space="preserve">[PM]</w:t>
            </w:r>
            <w:r>
              <w:rPr>
                <w:sz w:val="22"/>
              </w:rPr>
              <w:t xml:space="preserve"> </w:t>
            </w:r>
            <w:r>
              <w:rPr>
                <w:sz w:val="22"/>
              </w:rPr>
              <w:t xml:space="preserve">Confirm Defect #31’s fix is stable in production; no recurrence.</w:t>
            </w:r>
          </w:p>
        </w:tc>
        <w:tc>
          <w:tcPr>
            <w:tcW w:type="dxa" w:w="2522"/>
          </w:tcPr>
          <w:p>
            <w:pPr>
              <w:pStyle w:val="Compact"/>
              <w:jc w:val="left"/>
            </w:pPr>
            <w:r>
              <w:rPr>
                <w:bCs/>
                <w:b/>
                <w:sz w:val="22"/>
              </w:rPr>
              <w:t xml:space="preserve">[CM]</w:t>
            </w:r>
            <w:r>
              <w:rPr>
                <w:sz w:val="22"/>
              </w:rPr>
              <w:t xml:space="preserve"> </w:t>
            </w:r>
            <w:r>
              <w:rPr>
                <w:sz w:val="22"/>
              </w:rPr>
              <w:t xml:space="preserve">Repeat the re-pulse at the 4-week mark and compare the trend (Task 3, Step 2); re-pulse Kenitra specifically per E4’s Recovery Task 5.</w:t>
            </w:r>
          </w:p>
        </w:tc>
        <w:tc>
          <w:tcPr>
            <w:tcW w:type="dxa" w:w="3258"/>
          </w:tcPr>
          <w:p>
            <w:pPr>
              <w:pStyle w:val="Compact"/>
              <w:jc w:val="left"/>
            </w:pPr>
            <w:r>
              <w:rPr>
                <w:sz w:val="22"/>
              </w:rPr>
              <w:t xml:space="preserve">M6 (Emotional &amp; Transition Layer) — Kenitra re-scored: Bridges = New Beginning, KR = Exploration — recovered. Casablanca and Settat both confirmed stable or improved.</w:t>
            </w:r>
          </w:p>
        </w:tc>
        <w:tc>
          <w:tcPr>
            <w:tcW w:type="dxa" w:w="1261"/>
          </w:tcPr>
          <w:p>
            <w:pPr>
              <w:pStyle w:val="Compact"/>
              <w:jc w:val="left"/>
            </w:pPr>
            <w:r>
              <w:rPr>
                <w:sz w:val="22"/>
              </w:rPr>
              <w:t xml:space="preserve">E4 (Sentiment Regression During Hypercare) — closes</w:t>
            </w:r>
          </w:p>
        </w:tc>
      </w:tr>
      <w:tr>
        <w:tc>
          <w:tcPr>
            <w:tcW w:type="dxa" w:w="946"/>
          </w:tcPr>
          <w:p>
            <w:pPr>
              <w:pStyle w:val="Compact"/>
              <w:jc w:val="left"/>
            </w:pPr>
            <w:r>
              <w:rPr>
                <w:bCs/>
                <w:b/>
                <w:sz w:val="22"/>
              </w:rPr>
              <w:t xml:space="preserve">Week 48</w:t>
            </w:r>
          </w:p>
        </w:tc>
        <w:tc>
          <w:tcPr>
            <w:tcW w:type="dxa" w:w="2522"/>
          </w:tcPr>
          <w:p>
            <w:pPr>
              <w:pStyle w:val="Compact"/>
              <w:jc w:val="left"/>
            </w:pPr>
            <w:r>
              <w:rPr>
                <w:bCs/>
                <w:b/>
                <w:sz w:val="22"/>
              </w:rPr>
              <w:t xml:space="preserve">[PM]</w:t>
            </w:r>
            <w:r>
              <w:rPr>
                <w:sz w:val="22"/>
              </w:rPr>
              <w:t xml:space="preserve"> </w:t>
            </w:r>
            <w:r>
              <w:rPr>
                <w:sz w:val="22"/>
              </w:rPr>
              <w:t xml:space="preserve">Begin early Sustain-phase planning in parallel (see Phase 8, Week 48).</w:t>
            </w:r>
          </w:p>
        </w:tc>
        <w:tc>
          <w:tcPr>
            <w:tcW w:type="dxa" w:w="2522"/>
          </w:tcPr>
          <w:p>
            <w:pPr>
              <w:pStyle w:val="Compact"/>
              <w:jc w:val="left"/>
            </w:pPr>
            <w:r>
              <w:rPr>
                <w:bCs/>
                <w:b/>
                <w:sz w:val="22"/>
              </w:rPr>
              <w:t xml:space="preserve">[CM]</w:t>
            </w:r>
            <w:r>
              <w:rPr>
                <w:sz w:val="22"/>
              </w:rPr>
              <w:t xml:space="preserve"> </w:t>
            </w:r>
            <w:r>
              <w:rPr>
                <w:sz w:val="22"/>
              </w:rPr>
              <w:t xml:space="preserve">Identify any cohort whose re-pulse moved backward (Task 4, Step 1) — confirm none remain, following Week 47’s recovery; close out Exception E6 (Cohort Divergence Across Sites)’s standing disaggregated reporting for this phase.</w:t>
            </w:r>
          </w:p>
        </w:tc>
        <w:tc>
          <w:tcPr>
            <w:tcW w:type="dxa" w:w="3258"/>
          </w:tcPr>
          <w:p>
            <w:pPr>
              <w:pStyle w:val="Compact"/>
              <w:jc w:val="left"/>
            </w:pPr>
            <w:r>
              <w:rPr>
                <w:sz w:val="22"/>
              </w:rPr>
              <w:t xml:space="preserve">M14 (Analytics) — Composite Readiness Index by site: Casablanca 82%, Kenitra 76%, Settat 74% — the gap from Week 37 has narrowed substantially.</w:t>
            </w:r>
          </w:p>
        </w:tc>
        <w:tc>
          <w:tcPr>
            <w:tcW w:type="dxa" w:w="1261"/>
          </w:tcPr>
          <w:p>
            <w:pPr>
              <w:pStyle w:val="Compact"/>
              <w:jc w:val="left"/>
            </w:pPr>
            <w:r>
              <w:rPr>
                <w:sz w:val="22"/>
              </w:rPr>
              <w:t xml:space="preserve">E6 (Cohort Divergence Across Sites) — closes</w:t>
            </w:r>
          </w:p>
        </w:tc>
      </w:tr>
      <w:tr>
        <w:tc>
          <w:tcPr>
            <w:tcW w:type="dxa" w:w="946"/>
          </w:tcPr>
          <w:p>
            <w:pPr>
              <w:pStyle w:val="Compact"/>
              <w:jc w:val="left"/>
            </w:pPr>
            <w:r>
              <w:rPr>
                <w:bCs/>
                <w:b/>
                <w:sz w:val="22"/>
              </w:rPr>
              <w:t xml:space="preserve">Week 49</w:t>
            </w:r>
          </w:p>
        </w:tc>
        <w:tc>
          <w:tcPr>
            <w:tcW w:type="dxa" w:w="2522"/>
          </w:tcPr>
          <w:p>
            <w:pPr>
              <w:pStyle w:val="Compact"/>
              <w:jc w:val="left"/>
            </w:pPr>
            <w:r>
              <w:rPr>
                <w:bCs/>
                <w:b/>
                <w:sz w:val="22"/>
              </w:rPr>
              <w:t xml:space="preserve">[PM]</w:t>
            </w:r>
            <w:r>
              <w:rPr>
                <w:sz w:val="22"/>
              </w:rPr>
              <w:t xml:space="preserve"> </w:t>
            </w:r>
            <w:r>
              <w:rPr>
                <w:sz w:val="22"/>
              </w:rPr>
              <w:t xml:space="preserve">Draft the support-taper plan, moving from elevated staffing toward standard service levels.</w:t>
            </w:r>
          </w:p>
        </w:tc>
        <w:tc>
          <w:tcPr>
            <w:tcW w:type="dxa" w:w="2522"/>
          </w:tcPr>
          <w:p>
            <w:pPr>
              <w:pStyle w:val="Compact"/>
              <w:jc w:val="left"/>
            </w:pPr>
            <w:r>
              <w:rPr>
                <w:bCs/>
                <w:b/>
                <w:sz w:val="22"/>
              </w:rPr>
              <w:t xml:space="preserve">[CM]</w:t>
            </w:r>
            <w:r>
              <w:rPr>
                <w:sz w:val="22"/>
              </w:rPr>
              <w:t xml:space="preserve"> </w:t>
            </w:r>
            <w:r>
              <w:rPr>
                <w:sz w:val="22"/>
              </w:rPr>
              <w:t xml:space="preserve">Run targeted floor coaching on M11 (Manager as Coach) for any residual weak block identified across the three sites’ latest scores.</w:t>
            </w:r>
          </w:p>
        </w:tc>
        <w:tc>
          <w:tcPr>
            <w:tcW w:type="dxa" w:w="3258"/>
          </w:tcPr>
          <w:p>
            <w:pPr>
              <w:pStyle w:val="Compact"/>
              <w:jc w:val="left"/>
            </w:pPr>
            <w:r>
              <w:rPr>
                <w:sz w:val="22"/>
              </w:rPr>
              <w:t xml:space="preserve">M11 (Manager as Coach) — final Hypercare-phase coaching actions logged per site.</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50</w:t>
            </w:r>
          </w:p>
        </w:tc>
        <w:tc>
          <w:tcPr>
            <w:tcW w:type="dxa" w:w="2522"/>
          </w:tcPr>
          <w:p>
            <w:pPr>
              <w:pStyle w:val="Compact"/>
              <w:jc w:val="left"/>
            </w:pPr>
            <w:r>
              <w:rPr>
                <w:bCs/>
                <w:b/>
                <w:sz w:val="22"/>
              </w:rPr>
              <w:t xml:space="preserve">[PM]</w:t>
            </w:r>
            <w:r>
              <w:rPr>
                <w:sz w:val="22"/>
              </w:rPr>
              <w:t xml:space="preserve"> </w:t>
            </w:r>
            <w:r>
              <w:rPr>
                <w:sz w:val="22"/>
              </w:rPr>
              <w:t xml:space="preserve">Confirm the Phase 7 gate: adoption metrics stabilized, support taper plan approved.</w:t>
            </w:r>
          </w:p>
        </w:tc>
        <w:tc>
          <w:tcPr>
            <w:tcW w:type="dxa" w:w="2522"/>
          </w:tcPr>
          <w:p>
            <w:pPr>
              <w:pStyle w:val="Compact"/>
              <w:jc w:val="left"/>
            </w:pPr>
            <w:r>
              <w:rPr>
                <w:bCs/>
                <w:b/>
                <w:sz w:val="22"/>
              </w:rPr>
              <w:t xml:space="preserve">[CM]</w:t>
            </w:r>
            <w:r>
              <w:rPr>
                <w:sz w:val="22"/>
              </w:rPr>
              <w:t xml:space="preserve"> </w:t>
            </w:r>
            <w:r>
              <w:rPr>
                <w:sz w:val="22"/>
              </w:rPr>
              <w:t xml:space="preserve">Confirm Bridges reads New Beginning and Kübler-Ross reads Exploration or better across all three sites — Exception E3 (Two-Clock Problem at Deploy)’s confirming evidence is now complete.</w:t>
            </w:r>
          </w:p>
        </w:tc>
        <w:tc>
          <w:tcPr>
            <w:tcW w:type="dxa" w:w="3258"/>
          </w:tcPr>
          <w:p>
            <w:pPr>
              <w:pStyle w:val="Compact"/>
              <w:jc w:val="left"/>
            </w:pPr>
            <w:r>
              <w:rPr>
                <w:sz w:val="22"/>
              </w:rPr>
              <w:t xml:space="preserve">M3 (Initiative Registry) — Lewin justification updated:</w:t>
            </w:r>
            <w:r>
              <w:rPr>
                <w:sz w:val="22"/>
              </w:rPr>
              <w:t xml:space="preserve"> </w:t>
            </w:r>
            <w:r>
              <w:rPr>
                <w:sz w:val="22"/>
              </w:rPr>
              <w:t xml:space="preserve">“</w:t>
            </w:r>
            <w:r>
              <w:rPr>
                <w:sz w:val="22"/>
              </w:rPr>
              <w:t xml:space="preserve">Provisional Refreeze confirmed by Week 45/47 re-pulse trend across all three sites. Confirming Refreeze formally in Sustain once 30-day checkpoint data lands.</w:t>
            </w:r>
            <w:r>
              <w:rPr>
                <w:sz w:val="22"/>
              </w:rPr>
              <w:t xml:space="preserve">”</w:t>
            </w:r>
          </w:p>
        </w:tc>
        <w:tc>
          <w:tcPr>
            <w:tcW w:type="dxa" w:w="1261"/>
          </w:tcPr>
          <w:p>
            <w:pPr>
              <w:pStyle w:val="Compact"/>
              <w:jc w:val="left"/>
            </w:pPr>
            <w:r>
              <w:rPr>
                <w:sz w:val="22"/>
              </w:rPr>
              <w:t xml:space="preserve">E3 (Two-Clock Problem at Deploy) — evidence complete</w:t>
            </w:r>
          </w:p>
        </w:tc>
      </w:tr>
    </w:tbl>
    <w:p>
      <w:pPr>
        <w:pStyle w:val="BodyText"/>
      </w:pPr>
      <w:r>
        <w:rPr>
          <w:bCs/>
          <w:b/>
          <w:sz w:val="25"/>
        </w:rPr>
        <w:t xml:space="preserve">Phase gate:</w:t>
      </w:r>
      <w:r>
        <w:rPr>
          <w:sz w:val="25"/>
        </w:rPr>
        <w:t xml:space="preserve"> </w:t>
      </w:r>
      <w:r>
        <w:rPr>
          <w:sz w:val="25"/>
        </w:rPr>
        <w:t xml:space="preserve">Hypercare closes once the re-pulse confirms Bridges has genuinely moved to New Beginning and Kübler-Ross reads Exploration or better across all three sites — not on the calendar alone.</w:t>
      </w:r>
    </w:p>
    <w:p>
      <w:pPr>
        <w:pStyle w:val="BodyText"/>
      </w:pPr>
      <w:r>
        <w:rPr>
          <w:bCs/>
          <w:b/>
          <w:sz w:val="25"/>
        </w:rPr>
        <w:t xml:space="preserve">SIPOC.</w:t>
      </w:r>
      <w:r>
        <w:rPr>
          <w:sz w:val="25"/>
        </w:rPr>
        <w:t xml:space="preserve"> </w:t>
      </w:r>
      <w:r>
        <w:rPr>
          <w:sz w:val="25"/>
        </w:rPr>
        <w:t xml:space="preserve">Suppliers: Elevated support desk (ITL, CM); plant supervisors. · Inputs: Daily adoption metrics; go-live defect log; provisional Lewin reading. · Process: this phase’s four Tasks in sequence · Outputs: Stabilized adoption metrics; confirmed Bridges/Kübler-Ross re-pulse; support taper plan. · Customers: Steering Committee; Sustain-phase team.</w:t>
      </w:r>
    </w:p>
    <w:p>
      <w:pPr>
        <w:pStyle w:val="BodyText"/>
      </w:pPr>
      <w:r>
        <w:rPr>
          <w:bCs/>
          <w:b/>
          <w:sz w:val="25"/>
        </w:rPr>
        <w:t xml:space="preserve">RACSI for this phase.</w:t>
      </w:r>
      <w:r>
        <w:rPr>
          <w:sz w:val="25"/>
        </w:rPr>
        <w:t xml:space="preserve"> </w:t>
      </w:r>
      <w:r>
        <w:rPr>
          <w:sz w:val="25"/>
        </w:rPr>
        <w:t xml:space="preserve">R = CM, SUP · A = CM · C = ITL, PM · S = FPO · I = ES, EU</w:t>
      </w:r>
    </w:p>
    <w:p>
      <w:pPr>
        <w:pStyle w:val="BodyText"/>
      </w:pPr>
    </w:p>
    <w:bookmarkEnd w:id="43"/>
    <w:bookmarkStart w:id="44" w:name="phase-8-sustain-w4864"/>
    <w:p>
      <w:pPr>
        <w:pStyle w:val="Heading4"/>
      </w:pPr>
      <w:r>
        <w:rPr>
          <w:b/>
          <w:color w:val="5A8F89"/>
          <w:sz w:val="26"/>
        </w:rPr>
        <w:t xml:space="preserve">Phase 8 — Sustain (W48–64)</w:t>
      </w:r>
    </w:p>
    <w:p>
      <w:pPr>
        <w:pStyle w:val="FirstParagraph"/>
      </w:pPr>
      <w:r>
        <w:rPr>
          <w:bCs/>
          <w:b/>
          <w:sz w:val="25"/>
        </w:rPr>
        <w:t xml:space="preserve">Framework readings at close:</w:t>
      </w:r>
      <w:r>
        <w:rPr>
          <w:sz w:val="25"/>
        </w:rPr>
        <w:t xml:space="preserve"> </w:t>
      </w:r>
      <w:r>
        <w:rPr>
          <w:sz w:val="25"/>
        </w:rPr>
        <w:t xml:space="preserve">Lewin Refreeze (confirmed) · ADKAR focus Reinforcement · Bridges New Beginning · Kübler-Ross Commitment.</w:t>
      </w:r>
    </w:p>
    <w:p>
      <w:pPr>
        <w:pStyle w:val="BodyText"/>
      </w:pPr>
      <w:r>
        <w:rPr>
          <w:sz w:val="25"/>
        </w:rPr>
        <w:t xml:space="preserve">Sustain is where Refreeze is called from checkpoint evidence, never the calendar — the discipline that protects against Exception E5 (Reinforcement Gap at Sustain), a Reinforcement gap, which plays out inside the table below. Weeks 48–50 overlap with Hypercare’s own closing weeks (Phase 7, already covered there); this table picks up from Week 51.</w:t>
      </w:r>
    </w:p>
    <w:tbl>
      <w:tblPr>
        <w:tblStyle w:val="Table"/>
        <w:tblW w:type="pct" w:w="5000"/>
        <w:jc w:val="center"/>
        <w:tblLayout w:type="fixed"/>
        <w:tblLook w:firstRow="1" w:lastRow="0" w:firstColumn="0" w:lastColumn="0" w:noHBand="0" w:noVBand="0" w:val="0020"/>
      </w:tblPr>
      <w:tblGrid>
        <w:gridCol w:w="600760"/>
        <w:gridCol w:w="1602028"/>
        <w:gridCol w:w="1602028"/>
        <w:gridCol w:w="2069287"/>
        <w:gridCol w:w="801014"/>
      </w:tblGrid>
      <w:tr>
        <w:trPr>
          <w:tblHeader w:val="true"/>
        </w:trPr>
        <w:tc>
          <w:tcPr>
            <w:tcW w:type="dxa" w:w="946"/>
            <w:shd w:val="clear" w:fill="1F4B45"/>
          </w:tcPr>
          <w:p>
            <w:pPr>
              <w:pStyle w:val="Compact"/>
              <w:jc w:val="left"/>
            </w:pPr>
            <w:r>
              <w:rPr>
                <w:b/>
                <w:color w:val="FFFFFF"/>
                <w:sz w:val="22"/>
              </w:rPr>
              <w:t xml:space="preserve">Week</w:t>
            </w:r>
          </w:p>
        </w:tc>
        <w:tc>
          <w:tcPr>
            <w:tcW w:type="dxa" w:w="2522"/>
            <w:shd w:val="clear" w:fill="1F4B45"/>
          </w:tcPr>
          <w:p>
            <w:pPr>
              <w:pStyle w:val="Compact"/>
              <w:jc w:val="left"/>
            </w:pPr>
            <w:r>
              <w:rPr>
                <w:b/>
                <w:color w:val="FFFFFF"/>
                <w:sz w:val="22"/>
              </w:rPr>
              <w:t xml:space="preserve">Project Manager (PM) Track</w:t>
            </w:r>
          </w:p>
        </w:tc>
        <w:tc>
          <w:tcPr>
            <w:tcW w:type="dxa" w:w="2522"/>
            <w:shd w:val="clear" w:fill="1F4B45"/>
          </w:tcPr>
          <w:p>
            <w:pPr>
              <w:pStyle w:val="Compact"/>
              <w:jc w:val="left"/>
            </w:pPr>
            <w:r>
              <w:rPr>
                <w:b/>
                <w:color w:val="FFFFFF"/>
                <w:sz w:val="22"/>
              </w:rPr>
              <w:t xml:space="preserve">Change Manager (CM) Track</w:t>
            </w:r>
          </w:p>
        </w:tc>
        <w:tc>
          <w:tcPr>
            <w:tcW w:type="dxa" w:w="3258"/>
            <w:shd w:val="clear" w:fill="1F4B45"/>
          </w:tcPr>
          <w:p>
            <w:pPr>
              <w:pStyle w:val="Compact"/>
              <w:jc w:val="left"/>
            </w:pPr>
            <w:r>
              <w:rPr>
                <w:b/>
                <w:color w:val="FFFFFF"/>
                <w:sz w:val="22"/>
              </w:rPr>
              <w:t xml:space="preserve">journi Entry — What to Type In</w:t>
            </w:r>
          </w:p>
        </w:tc>
        <w:tc>
          <w:tcPr>
            <w:tcW w:type="dxa" w:w="1261"/>
            <w:shd w:val="clear" w:fill="1F4B45"/>
          </w:tcPr>
          <w:p>
            <w:pPr>
              <w:pStyle w:val="Compact"/>
              <w:jc w:val="left"/>
            </w:pPr>
            <w:r>
              <w:rPr>
                <w:b/>
                <w:color w:val="FFFFFF"/>
                <w:sz w:val="22"/>
              </w:rPr>
              <w:t xml:space="preserve">Exception</w:t>
            </w:r>
          </w:p>
        </w:tc>
      </w:tr>
      <w:tr>
        <w:tc>
          <w:tcPr>
            <w:tcW w:type="dxa" w:w="946"/>
          </w:tcPr>
          <w:p>
            <w:pPr>
              <w:pStyle w:val="Compact"/>
              <w:jc w:val="left"/>
            </w:pPr>
            <w:r>
              <w:rPr>
                <w:bCs/>
                <w:b/>
                <w:sz w:val="22"/>
              </w:rPr>
              <w:t xml:space="preserve">Week 51</w:t>
            </w:r>
          </w:p>
        </w:tc>
        <w:tc>
          <w:tcPr>
            <w:tcW w:type="dxa" w:w="2522"/>
          </w:tcPr>
          <w:p>
            <w:pPr>
              <w:pStyle w:val="Compact"/>
              <w:jc w:val="left"/>
            </w:pPr>
            <w:r>
              <w:rPr>
                <w:bCs/>
                <w:b/>
                <w:sz w:val="22"/>
              </w:rPr>
              <w:t xml:space="preserve">[PM]</w:t>
            </w:r>
            <w:r>
              <w:rPr>
                <w:sz w:val="22"/>
              </w:rPr>
              <w:t xml:space="preserve"> </w:t>
            </w:r>
            <w:r>
              <w:rPr>
                <w:sz w:val="22"/>
              </w:rPr>
              <w:t xml:space="preserve">Formally hand off the ERP Platform Unification Main Project’s remaining technical backlog to business-as-usual IT support.</w:t>
            </w:r>
          </w:p>
        </w:tc>
        <w:tc>
          <w:tcPr>
            <w:tcW w:type="dxa" w:w="2522"/>
          </w:tcPr>
          <w:p>
            <w:pPr>
              <w:pStyle w:val="Compact"/>
              <w:jc w:val="left"/>
            </w:pPr>
            <w:r>
              <w:rPr>
                <w:bCs/>
                <w:b/>
                <w:sz w:val="22"/>
              </w:rPr>
              <w:t xml:space="preserve">[CM]</w:t>
            </w:r>
            <w:r>
              <w:rPr>
                <w:sz w:val="22"/>
              </w:rPr>
              <w:t xml:space="preserve"> </w:t>
            </w:r>
            <w:r>
              <w:rPr>
                <w:sz w:val="22"/>
              </w:rPr>
              <w:t xml:space="preserve">Agree the new-process metrics with HR (Task 1, Step 1) — type in:</w:t>
            </w:r>
            <w:r>
              <w:rPr>
                <w:sz w:val="22"/>
              </w:rPr>
              <w:t xml:space="preserve"> </w:t>
            </w:r>
            <w:r>
              <w:rPr>
                <w:sz w:val="22"/>
              </w:rPr>
              <w:t xml:space="preserve">“</w:t>
            </w:r>
            <w:r>
              <w:rPr>
                <w:sz w:val="22"/>
              </w:rPr>
              <w:t xml:space="preserve">Order-to-cash cycle time (target: under 3 days); inventory reconciliation accuracy (target: 99%); duplicate-entry incidents (target: 0/month).</w:t>
            </w:r>
            <w:r>
              <w:rPr>
                <w:sz w:val="22"/>
              </w:rPr>
              <w:t xml:space="preserve">”</w:t>
            </w:r>
          </w:p>
        </w:tc>
        <w:tc>
          <w:tcPr>
            <w:tcW w:type="dxa" w:w="3258"/>
          </w:tcPr>
          <w:p>
            <w:pPr>
              <w:pStyle w:val="Compact"/>
              <w:jc w:val="left"/>
            </w:pPr>
            <w:r>
              <w:rPr>
                <w:sz w:val="22"/>
              </w:rPr>
              <w:t xml:space="preserve">No direct journi entry — metrics agreed with HR outside journi, referenced in the Week 52 confirmation.</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52</w:t>
            </w:r>
          </w:p>
        </w:tc>
        <w:tc>
          <w:tcPr>
            <w:tcW w:type="dxa" w:w="2522"/>
          </w:tcPr>
          <w:p>
            <w:pPr>
              <w:pStyle w:val="Compact"/>
              <w:jc w:val="left"/>
            </w:pPr>
            <w:r>
              <w:rPr>
                <w:bCs/>
                <w:b/>
                <w:sz w:val="22"/>
              </w:rPr>
              <w:t xml:space="preserve">[PM]</w:t>
            </w:r>
            <w:r>
              <w:rPr>
                <w:sz w:val="22"/>
              </w:rPr>
              <w:t xml:space="preserve"> </w:t>
            </w:r>
            <w:r>
              <w:rPr>
                <w:sz w:val="22"/>
              </w:rPr>
              <w:t xml:space="preserve">Support HR’s integration of the new metrics into the performance-management system.</w:t>
            </w:r>
          </w:p>
        </w:tc>
        <w:tc>
          <w:tcPr>
            <w:tcW w:type="dxa" w:w="2522"/>
          </w:tcPr>
          <w:p>
            <w:pPr>
              <w:pStyle w:val="Compact"/>
              <w:jc w:val="left"/>
            </w:pPr>
            <w:r>
              <w:rPr>
                <w:bCs/>
                <w:b/>
                <w:sz w:val="22"/>
              </w:rPr>
              <w:t xml:space="preserve">[CM]</w:t>
            </w:r>
            <w:r>
              <w:rPr>
                <w:sz w:val="22"/>
              </w:rPr>
              <w:t xml:space="preserve"> </w:t>
            </w:r>
            <w:r>
              <w:rPr>
                <w:sz w:val="22"/>
              </w:rPr>
              <w:t xml:space="preserve">Confirm the metrics are live in the next review cycle (Task 1, Step 2); run the 60-day checkpoint review.</w:t>
            </w:r>
          </w:p>
        </w:tc>
        <w:tc>
          <w:tcPr>
            <w:tcW w:type="dxa" w:w="3258"/>
          </w:tcPr>
          <w:p>
            <w:pPr>
              <w:pStyle w:val="Compact"/>
              <w:jc w:val="left"/>
            </w:pPr>
            <w:r>
              <w:rPr>
                <w:sz w:val="22"/>
              </w:rPr>
              <w:t xml:space="preserve">M12 (Sustainment) — 60-day checkpoint entry: type in status</w:t>
            </w:r>
            <w:r>
              <w:rPr>
                <w:sz w:val="22"/>
              </w:rPr>
              <w:t xml:space="preserve"> </w:t>
            </w:r>
            <w:r>
              <w:rPr>
                <w:sz w:val="22"/>
              </w:rPr>
              <w:t xml:space="preserve">“</w:t>
            </w:r>
            <w:r>
              <w:rPr>
                <w:sz w:val="22"/>
              </w:rPr>
              <w:t xml:space="preserve">Complete</w:t>
            </w:r>
            <w:r>
              <w:rPr>
                <w:sz w:val="22"/>
              </w:rPr>
              <w:t xml:space="preserve">”</w:t>
            </w:r>
            <w:r>
              <w:rPr>
                <w:sz w:val="22"/>
              </w:rPr>
              <w:t xml:space="preserve">, regression risk</w:t>
            </w:r>
            <w:r>
              <w:rPr>
                <w:sz w:val="22"/>
              </w:rPr>
              <w:t xml:space="preserve"> </w:t>
            </w:r>
            <w:r>
              <w:rPr>
                <w:sz w:val="22"/>
              </w:rPr>
              <w:t xml:space="preserve">“</w:t>
            </w:r>
            <w:r>
              <w:rPr>
                <w:sz w:val="22"/>
              </w:rPr>
              <w:t xml:space="preserve">Low</w:t>
            </w:r>
            <w:r>
              <w:rPr>
                <w:sz w:val="22"/>
              </w:rPr>
              <w:t xml:space="preserve">”</w:t>
            </w:r>
            <w:r>
              <w:rPr>
                <w:sz w:val="22"/>
              </w:rPr>
              <w:t xml:space="preserve"> </w:t>
            </w:r>
            <w:r>
              <w:rPr>
                <w:sz w:val="22"/>
              </w:rPr>
              <w:t xml:space="preserve">for Casablanca and Kenitra,</w:t>
            </w:r>
            <w:r>
              <w:rPr>
                <w:sz w:val="22"/>
              </w:rPr>
              <w:t xml:space="preserve"> </w:t>
            </w:r>
            <w:r>
              <w:rPr>
                <w:sz w:val="22"/>
              </w:rPr>
              <w:t xml:space="preserve">“</w:t>
            </w:r>
            <w:r>
              <w:rPr>
                <w:sz w:val="22"/>
              </w:rPr>
              <w:t xml:space="preserve">Low</w:t>
            </w:r>
            <w:r>
              <w:rPr>
                <w:sz w:val="22"/>
              </w:rPr>
              <w:t xml:space="preserve">”</w:t>
            </w:r>
            <w:r>
              <w:rPr>
                <w:sz w:val="22"/>
              </w:rPr>
              <w:t xml:space="preserve"> </w:t>
            </w:r>
            <w:r>
              <w:rPr>
                <w:sz w:val="22"/>
              </w:rPr>
              <w:t xml:space="preserve">for Settat (recovered per Weeks 20–24 and 38–39).</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53</w:t>
            </w:r>
          </w:p>
        </w:tc>
        <w:tc>
          <w:tcPr>
            <w:tcW w:type="dxa" w:w="2522"/>
          </w:tcPr>
          <w:p>
            <w:pPr>
              <w:pStyle w:val="Compact"/>
              <w:jc w:val="left"/>
            </w:pPr>
            <w:r>
              <w:rPr>
                <w:bCs/>
                <w:b/>
                <w:sz w:val="22"/>
              </w:rPr>
              <w:t xml:space="preserve">[PM]</w:t>
            </w:r>
            <w:r>
              <w:rPr>
                <w:sz w:val="22"/>
              </w:rPr>
              <w:t xml:space="preserve"> </w:t>
            </w:r>
            <w:r>
              <w:rPr>
                <w:sz w:val="22"/>
              </w:rPr>
              <w:t xml:space="preserve">No specific activity this week.</w:t>
            </w:r>
          </w:p>
        </w:tc>
        <w:tc>
          <w:tcPr>
            <w:tcW w:type="dxa" w:w="2522"/>
          </w:tcPr>
          <w:p>
            <w:pPr>
              <w:pStyle w:val="Compact"/>
              <w:jc w:val="left"/>
            </w:pPr>
            <w:r>
              <w:rPr>
                <w:bCs/>
                <w:b/>
                <w:sz w:val="22"/>
              </w:rPr>
              <w:t xml:space="preserve">[CM]</w:t>
            </w:r>
            <w:r>
              <w:rPr>
                <w:sz w:val="22"/>
              </w:rPr>
              <w:t xml:space="preserve"> </w:t>
            </w:r>
            <w:r>
              <w:rPr>
                <w:sz w:val="22"/>
              </w:rPr>
              <w:t xml:space="preserve">Confirm recognition and manager check-in mechanisms are running (Task 2, Step 1) — type in:</w:t>
            </w:r>
            <w:r>
              <w:rPr>
                <w:sz w:val="22"/>
              </w:rPr>
              <w:t xml:space="preserve"> </w:t>
            </w:r>
            <w:r>
              <w:rPr>
                <w:sz w:val="22"/>
              </w:rPr>
              <w:t xml:space="preserve">“</w:t>
            </w:r>
            <w:r>
              <w:rPr>
                <w:sz w:val="22"/>
              </w:rPr>
              <w:t xml:space="preserve">Verified: monthly recognition email active at all 3 sites; weekly manager check-ins confirmed via supervisor sign-off log.</w:t>
            </w:r>
            <w:r>
              <w:rPr>
                <w:sz w:val="22"/>
              </w:rPr>
              <w:t xml:space="preserve">”</w:t>
            </w:r>
          </w:p>
        </w:tc>
        <w:tc>
          <w:tcPr>
            <w:tcW w:type="dxa" w:w="3258"/>
          </w:tcPr>
          <w:p>
            <w:pPr>
              <w:pStyle w:val="Compact"/>
              <w:jc w:val="left"/>
            </w:pPr>
            <w:r>
              <w:rPr>
                <w:sz w:val="22"/>
              </w:rPr>
              <w:t xml:space="preserve">M12 (Sustainment) — reinforcement-mechanism confirmation logged against the 60-day checkpoint.</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54</w:t>
            </w:r>
          </w:p>
        </w:tc>
        <w:tc>
          <w:tcPr>
            <w:tcW w:type="dxa" w:w="2522"/>
          </w:tcPr>
          <w:p>
            <w:pPr>
              <w:pStyle w:val="Compact"/>
              <w:jc w:val="left"/>
            </w:pPr>
            <w:r>
              <w:rPr>
                <w:bCs/>
                <w:b/>
                <w:sz w:val="22"/>
              </w:rPr>
              <w:t xml:space="preserve">[PM]</w:t>
            </w:r>
            <w:r>
              <w:rPr>
                <w:sz w:val="22"/>
              </w:rPr>
              <w:t xml:space="preserve"> </w:t>
            </w:r>
            <w:r>
              <w:rPr>
                <w:sz w:val="22"/>
              </w:rPr>
              <w:t xml:space="preserve">Confirm with ITL that legacy-system licenses are scheduled for formal decommission.</w:t>
            </w:r>
          </w:p>
        </w:tc>
        <w:tc>
          <w:tcPr>
            <w:tcW w:type="dxa" w:w="2522"/>
          </w:tcPr>
          <w:p>
            <w:pPr>
              <w:pStyle w:val="Compact"/>
              <w:jc w:val="left"/>
            </w:pPr>
            <w:r>
              <w:rPr>
                <w:bCs/>
                <w:b/>
                <w:sz w:val="22"/>
              </w:rPr>
              <w:t xml:space="preserve">[CM]</w:t>
            </w:r>
            <w:r>
              <w:rPr>
                <w:sz w:val="22"/>
              </w:rPr>
              <w:t xml:space="preserve"> </w:t>
            </w:r>
            <w:r>
              <w:rPr>
                <w:sz w:val="22"/>
              </w:rPr>
              <w:t xml:space="preserve">Confirm legacy-system access is genuinely revoked (Task 2, Step 2) — type in:</w:t>
            </w:r>
            <w:r>
              <w:rPr>
                <w:sz w:val="22"/>
              </w:rPr>
              <w:t xml:space="preserve"> </w:t>
            </w:r>
            <w:r>
              <w:rPr>
                <w:sz w:val="22"/>
              </w:rPr>
              <w:t xml:space="preserve">“</w:t>
            </w:r>
            <w:r>
              <w:rPr>
                <w:sz w:val="22"/>
              </w:rPr>
              <w:t xml:space="preserve">Legacy system access revoked for all 3,400 users as of 54 [date]. Verified via ITL access log — 0 active legacy sessions.</w:t>
            </w:r>
            <w:r>
              <w:rPr>
                <w:sz w:val="22"/>
              </w:rPr>
              <w:t xml:space="preserve">”</w:t>
            </w:r>
          </w:p>
        </w:tc>
        <w:tc>
          <w:tcPr>
            <w:tcW w:type="dxa" w:w="3258"/>
          </w:tcPr>
          <w:p>
            <w:pPr>
              <w:pStyle w:val="Compact"/>
              <w:jc w:val="left"/>
            </w:pPr>
            <w:r>
              <w:rPr>
                <w:sz w:val="22"/>
              </w:rPr>
              <w:t xml:space="preserve">M12 (Sustainment) — fallback-access-closure confirmation logged.</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55</w:t>
            </w:r>
          </w:p>
        </w:tc>
        <w:tc>
          <w:tcPr>
            <w:tcW w:type="dxa" w:w="2522"/>
          </w:tcPr>
          <w:p>
            <w:pPr>
              <w:pStyle w:val="Compact"/>
              <w:jc w:val="left"/>
            </w:pPr>
            <w:r>
              <w:rPr>
                <w:bCs/>
                <w:b/>
                <w:sz w:val="22"/>
              </w:rPr>
              <w:t xml:space="preserve">[PM]</w:t>
            </w:r>
            <w:r>
              <w:rPr>
                <w:sz w:val="22"/>
              </w:rPr>
              <w:t xml:space="preserve"> </w:t>
            </w:r>
            <w:r>
              <w:rPr>
                <w:sz w:val="22"/>
              </w:rPr>
              <w:t xml:space="preserve">No specific activity this week.</w:t>
            </w:r>
          </w:p>
        </w:tc>
        <w:tc>
          <w:tcPr>
            <w:tcW w:type="dxa" w:w="2522"/>
          </w:tcPr>
          <w:p>
            <w:pPr>
              <w:pStyle w:val="Compact"/>
              <w:jc w:val="left"/>
            </w:pPr>
            <w:r>
              <w:rPr>
                <w:bCs/>
                <w:b/>
                <w:sz w:val="22"/>
              </w:rPr>
              <w:t xml:space="preserve">[CM]</w:t>
            </w:r>
            <w:r>
              <w:rPr>
                <w:sz w:val="22"/>
              </w:rPr>
              <w:t xml:space="preserve"> </w:t>
            </w:r>
            <w:r>
              <w:rPr>
                <w:sz w:val="22"/>
              </w:rPr>
              <w:t xml:space="preserve">Monitor adoption metrics ahead of the 90-day checkpoint.</w:t>
            </w:r>
          </w:p>
        </w:tc>
        <w:tc>
          <w:tcPr>
            <w:tcW w:type="dxa" w:w="3258"/>
          </w:tcPr>
          <w:p>
            <w:pPr>
              <w:pStyle w:val="Compact"/>
              <w:jc w:val="left"/>
            </w:pPr>
            <w:r>
              <w:rPr>
                <w:sz w:val="22"/>
              </w:rPr>
              <w:t xml:space="preserve">M14 (Analytics) — Composite Readiness Index tracked weekly, no entry change.</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56</w:t>
            </w:r>
          </w:p>
        </w:tc>
        <w:tc>
          <w:tcPr>
            <w:tcW w:type="dxa" w:w="2522"/>
          </w:tcPr>
          <w:p>
            <w:pPr>
              <w:pStyle w:val="Compact"/>
              <w:jc w:val="left"/>
            </w:pPr>
            <w:r>
              <w:rPr>
                <w:bCs/>
                <w:b/>
                <w:sz w:val="22"/>
              </w:rPr>
              <w:t xml:space="preserve">[PM]</w:t>
            </w:r>
            <w:r>
              <w:rPr>
                <w:sz w:val="22"/>
              </w:rPr>
              <w:t xml:space="preserve"> </w:t>
            </w:r>
            <w:r>
              <w:rPr>
                <w:sz w:val="22"/>
              </w:rPr>
              <w:t xml:space="preserve">No specific activity this week.</w:t>
            </w:r>
          </w:p>
        </w:tc>
        <w:tc>
          <w:tcPr>
            <w:tcW w:type="dxa" w:w="2522"/>
          </w:tcPr>
          <w:p>
            <w:pPr>
              <w:pStyle w:val="Compact"/>
              <w:jc w:val="left"/>
            </w:pPr>
            <w:r>
              <w:rPr>
                <w:bCs/>
                <w:b/>
                <w:sz w:val="22"/>
              </w:rPr>
              <w:t xml:space="preserve">[CM]</w:t>
            </w:r>
            <w:r>
              <w:rPr>
                <w:sz w:val="22"/>
              </w:rPr>
              <w:t xml:space="preserve"> </w:t>
            </w:r>
            <w:r>
              <w:rPr>
                <w:sz w:val="22"/>
              </w:rPr>
              <w:t xml:space="preserve">Run the 90-day checkpoint review (Task 3, Step 1) — type in checkpoint result.</w:t>
            </w:r>
          </w:p>
        </w:tc>
        <w:tc>
          <w:tcPr>
            <w:tcW w:type="dxa" w:w="3258"/>
          </w:tcPr>
          <w:p>
            <w:pPr>
              <w:pStyle w:val="Compact"/>
              <w:jc w:val="left"/>
            </w:pPr>
            <w:r>
              <w:rPr>
                <w:sz w:val="22"/>
              </w:rPr>
              <w:t xml:space="preserve">M12 (Sustainment) — 90-day checkpoint entry: status</w:t>
            </w:r>
            <w:r>
              <w:rPr>
                <w:sz w:val="22"/>
              </w:rPr>
              <w:t xml:space="preserve"> </w:t>
            </w:r>
            <w:r>
              <w:rPr>
                <w:sz w:val="22"/>
              </w:rPr>
              <w:t xml:space="preserve">“</w:t>
            </w:r>
            <w:r>
              <w:rPr>
                <w:sz w:val="22"/>
              </w:rPr>
              <w:t xml:space="preserve">Complete</w:t>
            </w:r>
            <w:r>
              <w:rPr>
                <w:sz w:val="22"/>
              </w:rPr>
              <w:t xml:space="preserve">”</w:t>
            </w:r>
            <w:r>
              <w:rPr>
                <w:sz w:val="22"/>
              </w:rPr>
              <w:t xml:space="preserve">; ADKAR Reinforcement score entered as 2.6, below the 3.0 target across all three sites.</w:t>
            </w:r>
          </w:p>
        </w:tc>
        <w:tc>
          <w:tcPr>
            <w:tcW w:type="dxa" w:w="1261"/>
          </w:tcPr>
          <w:p>
            <w:pPr>
              <w:pStyle w:val="Compact"/>
              <w:jc w:val="left"/>
            </w:pPr>
            <w:r>
              <w:rPr>
                <w:sz w:val="22"/>
              </w:rPr>
              <w:t xml:space="preserve">E5 (Reinforcement Gap at Sustain) — trigger week</w:t>
            </w:r>
          </w:p>
        </w:tc>
      </w:tr>
      <w:tr>
        <w:tc>
          <w:tcPr>
            <w:tcW w:type="dxa" w:w="946"/>
          </w:tcPr>
          <w:p>
            <w:pPr>
              <w:pStyle w:val="Compact"/>
              <w:jc w:val="left"/>
            </w:pPr>
            <w:r>
              <w:rPr>
                <w:bCs/>
                <w:b/>
                <w:sz w:val="22"/>
              </w:rPr>
              <w:t xml:space="preserve">Week 57</w:t>
            </w:r>
          </w:p>
        </w:tc>
        <w:tc>
          <w:tcPr>
            <w:tcW w:type="dxa" w:w="2522"/>
          </w:tcPr>
          <w:p>
            <w:pPr>
              <w:pStyle w:val="Compact"/>
              <w:jc w:val="left"/>
            </w:pPr>
            <w:r>
              <w:rPr>
                <w:bCs/>
                <w:b/>
                <w:sz w:val="22"/>
              </w:rPr>
              <w:t xml:space="preserve">[PM]</w:t>
            </w:r>
            <w:r>
              <w:rPr>
                <w:sz w:val="22"/>
              </w:rPr>
              <w:t xml:space="preserve"> </w:t>
            </w:r>
            <w:r>
              <w:rPr>
                <w:sz w:val="22"/>
              </w:rPr>
              <w:t xml:space="preserve">No specific activity this week.</w:t>
            </w:r>
          </w:p>
        </w:tc>
        <w:tc>
          <w:tcPr>
            <w:tcW w:type="dxa" w:w="2522"/>
          </w:tcPr>
          <w:p>
            <w:pPr>
              <w:pStyle w:val="Compact"/>
              <w:jc w:val="left"/>
            </w:pPr>
            <w:r>
              <w:rPr>
                <w:bCs/>
                <w:b/>
                <w:sz w:val="22"/>
              </w:rPr>
              <w:t xml:space="preserve">[CM]</w:t>
            </w:r>
            <w:r>
              <w:rPr>
                <w:sz w:val="22"/>
              </w:rPr>
              <w:t xml:space="preserve"> </w:t>
            </w:r>
            <w:r>
              <w:rPr>
                <w:sz w:val="22"/>
              </w:rPr>
              <w:t xml:space="preserve">Flag the Reinforcement stall explicitly (E5’s Recovery Task 1) rather than letting Task 4’s closure proceed on schedule.</w:t>
            </w:r>
          </w:p>
        </w:tc>
        <w:tc>
          <w:tcPr>
            <w:tcW w:type="dxa" w:w="3258"/>
          </w:tcPr>
          <w:p>
            <w:pPr>
              <w:pStyle w:val="Compact"/>
              <w:jc w:val="left"/>
            </w:pPr>
            <w:r>
              <w:rPr>
                <w:sz w:val="22"/>
              </w:rPr>
              <w:t xml:space="preserve">M5 (ADKAR Engine) — Reinforcement flag logged with justification:</w:t>
            </w:r>
            <w:r>
              <w:rPr>
                <w:sz w:val="22"/>
              </w:rPr>
              <w:t xml:space="preserve"> </w:t>
            </w:r>
            <w:r>
              <w:rPr>
                <w:sz w:val="22"/>
              </w:rPr>
              <w:t xml:space="preserve">“</w:t>
            </w:r>
            <w:r>
              <w:rPr>
                <w:sz w:val="22"/>
              </w:rPr>
              <w:t xml:space="preserve">Score 2.6, below target. Root cause: manager check-ins tapered off after the 60-day checkpoint once daily hypercare tracking ended. Not proceeding to Refreeze/closure until resolved.</w:t>
            </w:r>
            <w:r>
              <w:rPr>
                <w:sz w:val="22"/>
              </w:rPr>
              <w:t xml:space="preserve">”</w:t>
            </w:r>
          </w:p>
        </w:tc>
        <w:tc>
          <w:tcPr>
            <w:tcW w:type="dxa" w:w="1261"/>
          </w:tcPr>
          <w:p>
            <w:pPr>
              <w:pStyle w:val="Compact"/>
              <w:jc w:val="left"/>
            </w:pPr>
            <w:r>
              <w:rPr>
                <w:sz w:val="22"/>
              </w:rPr>
              <w:t xml:space="preserve">E5 (Reinforcement Gap at Sustain) — Recovery Task 1</w:t>
            </w:r>
          </w:p>
        </w:tc>
      </w:tr>
      <w:tr>
        <w:tc>
          <w:tcPr>
            <w:tcW w:type="dxa" w:w="946"/>
          </w:tcPr>
          <w:p>
            <w:pPr>
              <w:pStyle w:val="Compact"/>
              <w:jc w:val="left"/>
            </w:pPr>
            <w:r>
              <w:rPr>
                <w:bCs/>
                <w:b/>
                <w:sz w:val="22"/>
              </w:rPr>
              <w:t xml:space="preserve">Week 58</w:t>
            </w:r>
          </w:p>
        </w:tc>
        <w:tc>
          <w:tcPr>
            <w:tcW w:type="dxa" w:w="2522"/>
          </w:tcPr>
          <w:p>
            <w:pPr>
              <w:pStyle w:val="Compact"/>
              <w:jc w:val="left"/>
            </w:pPr>
            <w:r>
              <w:rPr>
                <w:bCs/>
                <w:b/>
                <w:sz w:val="22"/>
              </w:rPr>
              <w:t xml:space="preserve">[PM]</w:t>
            </w:r>
            <w:r>
              <w:rPr>
                <w:sz w:val="22"/>
              </w:rPr>
              <w:t xml:space="preserve"> </w:t>
            </w:r>
            <w:r>
              <w:rPr>
                <w:sz w:val="22"/>
              </w:rPr>
              <w:t xml:space="preserve">Adjust the program closure timeline to reflect the delayed Refreeze call.</w:t>
            </w:r>
          </w:p>
        </w:tc>
        <w:tc>
          <w:tcPr>
            <w:tcW w:type="dxa" w:w="2522"/>
          </w:tcPr>
          <w:p>
            <w:pPr>
              <w:pStyle w:val="Compact"/>
              <w:jc w:val="left"/>
            </w:pPr>
            <w:r>
              <w:rPr>
                <w:bCs/>
                <w:b/>
                <w:sz w:val="22"/>
              </w:rPr>
              <w:t xml:space="preserve">[CM]</w:t>
            </w:r>
            <w:r>
              <w:rPr>
                <w:sz w:val="22"/>
              </w:rPr>
              <w:t xml:space="preserve"> </w:t>
            </w:r>
            <w:r>
              <w:rPr>
                <w:sz w:val="22"/>
              </w:rPr>
              <w:t xml:space="preserve">Reconvene the CFO to re-authorize a further checkpoint cadence (E5’s Recovery Task 2) — type in:</w:t>
            </w:r>
            <w:r>
              <w:rPr>
                <w:sz w:val="22"/>
              </w:rPr>
              <w:t xml:space="preserve"> </w:t>
            </w:r>
            <w:r>
              <w:rPr>
                <w:sz w:val="22"/>
              </w:rPr>
              <w:t xml:space="preserve">“</w:t>
            </w:r>
            <w:r>
              <w:rPr>
                <w:sz w:val="22"/>
              </w:rPr>
              <w:t xml:space="preserve">CFO re-authorized checkpoints at Weeks 61 and 64, extending beyond the original Week 56 close.</w:t>
            </w:r>
            <w:r>
              <w:rPr>
                <w:sz w:val="22"/>
              </w:rPr>
              <w:t xml:space="preserve">”</w:t>
            </w:r>
          </w:p>
        </w:tc>
        <w:tc>
          <w:tcPr>
            <w:tcW w:type="dxa" w:w="3258"/>
          </w:tcPr>
          <w:p>
            <w:pPr>
              <w:pStyle w:val="Compact"/>
              <w:jc w:val="left"/>
            </w:pPr>
            <w:r>
              <w:rPr>
                <w:sz w:val="22"/>
              </w:rPr>
              <w:t xml:space="preserve">M7 (Sponsor &amp; Coalition) — new sponsor action logged:</w:t>
            </w:r>
            <w:r>
              <w:rPr>
                <w:sz w:val="22"/>
              </w:rPr>
              <w:t xml:space="preserve"> </w:t>
            </w:r>
            <w:r>
              <w:rPr>
                <w:sz w:val="22"/>
              </w:rPr>
              <w:t xml:space="preserve">“</w:t>
            </w:r>
            <w:r>
              <w:rPr>
                <w:sz w:val="22"/>
              </w:rPr>
              <w:t xml:space="preserve">Re-authorize extended checkpoint cadence — 58 [date], CFO.</w:t>
            </w:r>
            <w:r>
              <w:rPr>
                <w:sz w:val="22"/>
              </w:rPr>
              <w:t xml:space="preserve">”</w:t>
            </w:r>
          </w:p>
        </w:tc>
        <w:tc>
          <w:tcPr>
            <w:tcW w:type="dxa" w:w="1261"/>
          </w:tcPr>
          <w:p>
            <w:pPr>
              <w:pStyle w:val="Compact"/>
              <w:jc w:val="left"/>
            </w:pPr>
            <w:r>
              <w:rPr>
                <w:sz w:val="22"/>
              </w:rPr>
              <w:t xml:space="preserve">E5 (Reinforcement Gap at Sustain) — Recovery Task 2</w:t>
            </w:r>
          </w:p>
        </w:tc>
      </w:tr>
      <w:tr>
        <w:tc>
          <w:tcPr>
            <w:tcW w:type="dxa" w:w="946"/>
          </w:tcPr>
          <w:p>
            <w:pPr>
              <w:pStyle w:val="Compact"/>
              <w:jc w:val="left"/>
            </w:pPr>
            <w:r>
              <w:rPr>
                <w:bCs/>
                <w:b/>
                <w:sz w:val="22"/>
              </w:rPr>
              <w:t xml:space="preserve">Week 59</w:t>
            </w:r>
          </w:p>
        </w:tc>
        <w:tc>
          <w:tcPr>
            <w:tcW w:type="dxa" w:w="2522"/>
          </w:tcPr>
          <w:p>
            <w:pPr>
              <w:pStyle w:val="Compact"/>
              <w:jc w:val="left"/>
            </w:pPr>
            <w:r>
              <w:rPr>
                <w:bCs/>
                <w:b/>
                <w:sz w:val="22"/>
              </w:rPr>
              <w:t xml:space="preserve">[PM]</w:t>
            </w:r>
            <w:r>
              <w:rPr>
                <w:sz w:val="22"/>
              </w:rPr>
              <w:t xml:space="preserve"> </w:t>
            </w:r>
            <w:r>
              <w:rPr>
                <w:sz w:val="22"/>
              </w:rPr>
              <w:t xml:space="preserve">No specific activity this week.</w:t>
            </w:r>
          </w:p>
        </w:tc>
        <w:tc>
          <w:tcPr>
            <w:tcW w:type="dxa" w:w="2522"/>
          </w:tcPr>
          <w:p>
            <w:pPr>
              <w:pStyle w:val="Compact"/>
              <w:jc w:val="left"/>
            </w:pPr>
            <w:r>
              <w:rPr>
                <w:bCs/>
                <w:b/>
                <w:sz w:val="22"/>
              </w:rPr>
              <w:t xml:space="preserve">[CM]</w:t>
            </w:r>
            <w:r>
              <w:rPr>
                <w:sz w:val="22"/>
              </w:rPr>
              <w:t xml:space="preserve"> </w:t>
            </w:r>
            <w:r>
              <w:rPr>
                <w:sz w:val="22"/>
              </w:rPr>
              <w:t xml:space="preserve">Re-activate the champion network specifically for reinforcement (E5’s Recovery Task 3) — type in:</w:t>
            </w:r>
            <w:r>
              <w:rPr>
                <w:sz w:val="22"/>
              </w:rPr>
              <w:t xml:space="preserve"> </w:t>
            </w:r>
            <w:r>
              <w:rPr>
                <w:sz w:val="22"/>
              </w:rPr>
              <w:t xml:space="preserve">“</w:t>
            </w:r>
            <w:r>
              <w:rPr>
                <w:sz w:val="22"/>
              </w:rPr>
              <w:t xml:space="preserve">Amal Ferhati, Yassine Bouhali, and Rania Idrissi re-briefed on reinforcement-specific floor observation — manager check-in consistency, not adoption friction.</w:t>
            </w:r>
            <w:r>
              <w:rPr>
                <w:sz w:val="22"/>
              </w:rPr>
              <w:t xml:space="preserve">”</w:t>
            </w:r>
          </w:p>
        </w:tc>
        <w:tc>
          <w:tcPr>
            <w:tcW w:type="dxa" w:w="3258"/>
          </w:tcPr>
          <w:p>
            <w:pPr>
              <w:pStyle w:val="Compact"/>
              <w:jc w:val="left"/>
            </w:pPr>
            <w:r>
              <w:rPr>
                <w:sz w:val="22"/>
              </w:rPr>
              <w:t xml:space="preserve">M4 (Stakeholder Mapping) — champion entries updated with the re-activation note.</w:t>
            </w:r>
          </w:p>
        </w:tc>
        <w:tc>
          <w:tcPr>
            <w:tcW w:type="dxa" w:w="1261"/>
          </w:tcPr>
          <w:p>
            <w:pPr>
              <w:pStyle w:val="Compact"/>
              <w:jc w:val="left"/>
            </w:pPr>
            <w:r>
              <w:rPr>
                <w:sz w:val="22"/>
              </w:rPr>
              <w:t xml:space="preserve">E5 (Reinforcement Gap at Sustain) — Recovery Task 3</w:t>
            </w:r>
          </w:p>
        </w:tc>
      </w:tr>
      <w:tr>
        <w:tc>
          <w:tcPr>
            <w:tcW w:type="dxa" w:w="946"/>
          </w:tcPr>
          <w:p>
            <w:pPr>
              <w:pStyle w:val="Compact"/>
              <w:jc w:val="left"/>
            </w:pPr>
            <w:r>
              <w:rPr>
                <w:bCs/>
                <w:b/>
                <w:sz w:val="22"/>
              </w:rPr>
              <w:t xml:space="preserve">Week 60</w:t>
            </w:r>
          </w:p>
        </w:tc>
        <w:tc>
          <w:tcPr>
            <w:tcW w:type="dxa" w:w="2522"/>
          </w:tcPr>
          <w:p>
            <w:pPr>
              <w:pStyle w:val="Compact"/>
              <w:jc w:val="left"/>
            </w:pPr>
            <w:r>
              <w:rPr>
                <w:bCs/>
                <w:b/>
                <w:sz w:val="22"/>
              </w:rPr>
              <w:t xml:space="preserve">[PM]</w:t>
            </w:r>
            <w:r>
              <w:rPr>
                <w:sz w:val="22"/>
              </w:rPr>
              <w:t xml:space="preserve"> </w:t>
            </w:r>
            <w:r>
              <w:rPr>
                <w:sz w:val="22"/>
              </w:rPr>
              <w:t xml:space="preserve">No specific activity this week.</w:t>
            </w:r>
          </w:p>
        </w:tc>
        <w:tc>
          <w:tcPr>
            <w:tcW w:type="dxa" w:w="2522"/>
          </w:tcPr>
          <w:p>
            <w:pPr>
              <w:pStyle w:val="Compact"/>
              <w:jc w:val="left"/>
            </w:pPr>
            <w:r>
              <w:rPr>
                <w:bCs/>
                <w:b/>
                <w:sz w:val="22"/>
              </w:rPr>
              <w:t xml:space="preserve">[CM]</w:t>
            </w:r>
            <w:r>
              <w:rPr>
                <w:sz w:val="22"/>
              </w:rPr>
              <w:t xml:space="preserve"> </w:t>
            </w:r>
            <w:r>
              <w:rPr>
                <w:sz w:val="22"/>
              </w:rPr>
              <w:t xml:space="preserve">Embed adoption metrics into the next performance-review cycle (E5’s Recovery Task 4), giving Reinforcement a structural home in HR’s cycle beyond the CM project’s own lifespan.</w:t>
            </w:r>
          </w:p>
        </w:tc>
        <w:tc>
          <w:tcPr>
            <w:tcW w:type="dxa" w:w="3258"/>
          </w:tcPr>
          <w:p>
            <w:pPr>
              <w:pStyle w:val="Compact"/>
              <w:jc w:val="left"/>
            </w:pPr>
            <w:r>
              <w:rPr>
                <w:sz w:val="22"/>
              </w:rPr>
              <w:t xml:space="preserve">No direct journi entry — coordinated with HR outside journi.</w:t>
            </w:r>
          </w:p>
        </w:tc>
        <w:tc>
          <w:tcPr>
            <w:tcW w:type="dxa" w:w="1261"/>
          </w:tcPr>
          <w:p>
            <w:pPr>
              <w:pStyle w:val="Compact"/>
              <w:jc w:val="left"/>
            </w:pPr>
            <w:r>
              <w:rPr>
                <w:sz w:val="22"/>
              </w:rPr>
              <w:t xml:space="preserve">E5 (Reinforcement Gap at Sustain) — Recovery Task 4</w:t>
            </w:r>
          </w:p>
        </w:tc>
      </w:tr>
      <w:tr>
        <w:tc>
          <w:tcPr>
            <w:tcW w:type="dxa" w:w="946"/>
          </w:tcPr>
          <w:p>
            <w:pPr>
              <w:pStyle w:val="Compact"/>
              <w:jc w:val="left"/>
            </w:pPr>
            <w:r>
              <w:rPr>
                <w:bCs/>
                <w:b/>
                <w:sz w:val="22"/>
              </w:rPr>
              <w:t xml:space="preserve">Week 61</w:t>
            </w:r>
          </w:p>
        </w:tc>
        <w:tc>
          <w:tcPr>
            <w:tcW w:type="dxa" w:w="2522"/>
          </w:tcPr>
          <w:p>
            <w:pPr>
              <w:pStyle w:val="Compact"/>
              <w:jc w:val="left"/>
            </w:pPr>
            <w:r>
              <w:rPr>
                <w:bCs/>
                <w:b/>
                <w:sz w:val="22"/>
              </w:rPr>
              <w:t xml:space="preserve">[PM]</w:t>
            </w:r>
            <w:r>
              <w:rPr>
                <w:sz w:val="22"/>
              </w:rPr>
              <w:t xml:space="preserve"> </w:t>
            </w:r>
            <w:r>
              <w:rPr>
                <w:sz w:val="22"/>
              </w:rPr>
              <w:t xml:space="preserve">No specific activity this week.</w:t>
            </w:r>
          </w:p>
        </w:tc>
        <w:tc>
          <w:tcPr>
            <w:tcW w:type="dxa" w:w="2522"/>
          </w:tcPr>
          <w:p>
            <w:pPr>
              <w:pStyle w:val="Compact"/>
              <w:jc w:val="left"/>
            </w:pPr>
            <w:r>
              <w:rPr>
                <w:bCs/>
                <w:b/>
                <w:sz w:val="22"/>
              </w:rPr>
              <w:t xml:space="preserve">[CM]</w:t>
            </w:r>
            <w:r>
              <w:rPr>
                <w:sz w:val="22"/>
              </w:rPr>
              <w:t xml:space="preserve"> </w:t>
            </w:r>
            <w:r>
              <w:rPr>
                <w:sz w:val="22"/>
              </w:rPr>
              <w:t xml:space="preserve">Run the first extended checkpoint (per Week 58’s re-authorization) — type in checkpoint result.</w:t>
            </w:r>
          </w:p>
        </w:tc>
        <w:tc>
          <w:tcPr>
            <w:tcW w:type="dxa" w:w="3258"/>
          </w:tcPr>
          <w:p>
            <w:pPr>
              <w:pStyle w:val="Compact"/>
              <w:jc w:val="left"/>
            </w:pPr>
            <w:r>
              <w:rPr>
                <w:sz w:val="22"/>
              </w:rPr>
              <w:t xml:space="preserve">M12 (Sustainment) — checkpoint entry: ADKAR Reinforcement re-scored at 3.1 — first healthy reading since the Week 56 stall.</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62</w:t>
            </w:r>
          </w:p>
        </w:tc>
        <w:tc>
          <w:tcPr>
            <w:tcW w:type="dxa" w:w="2522"/>
          </w:tcPr>
          <w:p>
            <w:pPr>
              <w:pStyle w:val="Compact"/>
              <w:jc w:val="left"/>
            </w:pPr>
            <w:r>
              <w:rPr>
                <w:bCs/>
                <w:b/>
                <w:sz w:val="22"/>
              </w:rPr>
              <w:t xml:space="preserve">[PM]</w:t>
            </w:r>
            <w:r>
              <w:rPr>
                <w:sz w:val="22"/>
              </w:rPr>
              <w:t xml:space="preserve"> </w:t>
            </w:r>
            <w:r>
              <w:rPr>
                <w:sz w:val="22"/>
              </w:rPr>
              <w:t xml:space="preserve">No specific activity this week.</w:t>
            </w:r>
          </w:p>
        </w:tc>
        <w:tc>
          <w:tcPr>
            <w:tcW w:type="dxa" w:w="2522"/>
          </w:tcPr>
          <w:p>
            <w:pPr>
              <w:pStyle w:val="Compact"/>
              <w:jc w:val="left"/>
            </w:pPr>
            <w:r>
              <w:rPr>
                <w:bCs/>
                <w:b/>
                <w:sz w:val="22"/>
              </w:rPr>
              <w:t xml:space="preserve">[CM]</w:t>
            </w:r>
            <w:r>
              <w:rPr>
                <w:sz w:val="22"/>
              </w:rPr>
              <w:t xml:space="preserve"> </w:t>
            </w:r>
            <w:r>
              <w:rPr>
                <w:sz w:val="22"/>
              </w:rPr>
              <w:t xml:space="preserve">Continue monitoring; confirm the Week 61 improvement is holding, not a one-off reading.</w:t>
            </w:r>
          </w:p>
        </w:tc>
        <w:tc>
          <w:tcPr>
            <w:tcW w:type="dxa" w:w="3258"/>
          </w:tcPr>
          <w:p>
            <w:pPr>
              <w:pStyle w:val="Compact"/>
              <w:jc w:val="left"/>
            </w:pPr>
            <w:r>
              <w:rPr>
                <w:sz w:val="22"/>
              </w:rPr>
              <w:t xml:space="preserve">M14 (Analytics) — Composite Readiness Index trend confirmed stable across all three sites.</w:t>
            </w:r>
          </w:p>
        </w:tc>
        <w:tc>
          <w:tcPr>
            <w:tcW w:type="dxa" w:w="1261"/>
          </w:tcPr>
          <w:p>
            <w:pPr>
              <w:pStyle w:val="Compact"/>
              <w:jc w:val="left"/>
            </w:pPr>
            <w:r>
              <w:rPr>
                <w:sz w:val="22"/>
              </w:rPr>
              <w:t xml:space="preserve">—</w:t>
            </w:r>
          </w:p>
        </w:tc>
      </w:tr>
      <w:tr>
        <w:tc>
          <w:tcPr>
            <w:tcW w:type="dxa" w:w="946"/>
          </w:tcPr>
          <w:p>
            <w:pPr>
              <w:pStyle w:val="Compact"/>
              <w:jc w:val="left"/>
            </w:pPr>
            <w:r>
              <w:rPr>
                <w:bCs/>
                <w:b/>
                <w:sz w:val="22"/>
              </w:rPr>
              <w:t xml:space="preserve">Week 63</w:t>
            </w:r>
          </w:p>
        </w:tc>
        <w:tc>
          <w:tcPr>
            <w:tcW w:type="dxa" w:w="2522"/>
          </w:tcPr>
          <w:p>
            <w:pPr>
              <w:pStyle w:val="Compact"/>
              <w:jc w:val="left"/>
            </w:pPr>
            <w:r>
              <w:rPr>
                <w:bCs/>
                <w:b/>
                <w:sz w:val="22"/>
              </w:rPr>
              <w:t xml:space="preserve">[PM]</w:t>
            </w:r>
            <w:r>
              <w:rPr>
                <w:sz w:val="22"/>
              </w:rPr>
              <w:t xml:space="preserve"> </w:t>
            </w:r>
            <w:r>
              <w:rPr>
                <w:sz w:val="22"/>
              </w:rPr>
              <w:t xml:space="preserve">No specific activity this week.</w:t>
            </w:r>
          </w:p>
        </w:tc>
        <w:tc>
          <w:tcPr>
            <w:tcW w:type="dxa" w:w="2522"/>
          </w:tcPr>
          <w:p>
            <w:pPr>
              <w:pStyle w:val="Compact"/>
              <w:jc w:val="left"/>
            </w:pPr>
            <w:r>
              <w:rPr>
                <w:bCs/>
                <w:b/>
                <w:sz w:val="22"/>
              </w:rPr>
              <w:t xml:space="preserve">[CM]</w:t>
            </w:r>
            <w:r>
              <w:rPr>
                <w:sz w:val="22"/>
              </w:rPr>
              <w:t xml:space="preserve"> </w:t>
            </w:r>
            <w:r>
              <w:rPr>
                <w:sz w:val="22"/>
              </w:rPr>
              <w:t xml:space="preserve">Run the second extended checkpoint (E5’s Recovery Task 5, evidence-gated confirmation) — type in checkpoint result.</w:t>
            </w:r>
          </w:p>
        </w:tc>
        <w:tc>
          <w:tcPr>
            <w:tcW w:type="dxa" w:w="3258"/>
          </w:tcPr>
          <w:p>
            <w:pPr>
              <w:pStyle w:val="Compact"/>
              <w:jc w:val="left"/>
            </w:pPr>
            <w:r>
              <w:rPr>
                <w:sz w:val="22"/>
              </w:rPr>
              <w:t xml:space="preserve">M12 (Sustainment) — checkpoint entry: ADKAR Reinforcement = 3.3. Two consecutive healthy checkpoints (Weeks 61 and 63) now on record — E5 closes.</w:t>
            </w:r>
          </w:p>
        </w:tc>
        <w:tc>
          <w:tcPr>
            <w:tcW w:type="dxa" w:w="1261"/>
          </w:tcPr>
          <w:p>
            <w:pPr>
              <w:pStyle w:val="Compact"/>
              <w:jc w:val="left"/>
            </w:pPr>
            <w:r>
              <w:rPr>
                <w:sz w:val="22"/>
              </w:rPr>
              <w:t xml:space="preserve">E5 (Reinforcement Gap at Sustain) — closes</w:t>
            </w:r>
          </w:p>
        </w:tc>
      </w:tr>
      <w:tr>
        <w:tc>
          <w:tcPr>
            <w:tcW w:type="dxa" w:w="946"/>
          </w:tcPr>
          <w:p>
            <w:pPr>
              <w:pStyle w:val="Compact"/>
              <w:jc w:val="left"/>
            </w:pPr>
            <w:r>
              <w:rPr>
                <w:bCs/>
                <w:b/>
                <w:sz w:val="22"/>
              </w:rPr>
              <w:t xml:space="preserve">Week 64</w:t>
            </w:r>
          </w:p>
        </w:tc>
        <w:tc>
          <w:tcPr>
            <w:tcW w:type="dxa" w:w="2522"/>
          </w:tcPr>
          <w:p>
            <w:pPr>
              <w:pStyle w:val="Compact"/>
              <w:jc w:val="left"/>
            </w:pPr>
            <w:r>
              <w:rPr>
                <w:bCs/>
                <w:b/>
                <w:sz w:val="22"/>
              </w:rPr>
              <w:t xml:space="preserve">[PM]</w:t>
            </w:r>
            <w:r>
              <w:rPr>
                <w:sz w:val="22"/>
              </w:rPr>
              <w:t xml:space="preserve"> </w:t>
            </w:r>
            <w:r>
              <w:rPr>
                <w:sz w:val="22"/>
              </w:rPr>
              <w:t xml:space="preserve">Confirm the Phase 8 gate and formal program closure with the Steering Committee.</w:t>
            </w:r>
          </w:p>
        </w:tc>
        <w:tc>
          <w:tcPr>
            <w:tcW w:type="dxa" w:w="2522"/>
          </w:tcPr>
          <w:p>
            <w:pPr>
              <w:pStyle w:val="Compact"/>
              <w:jc w:val="left"/>
            </w:pPr>
            <w:r>
              <w:rPr>
                <w:bCs/>
                <w:b/>
                <w:sz w:val="22"/>
              </w:rPr>
              <w:t xml:space="preserve">[CM]</w:t>
            </w:r>
            <w:r>
              <w:rPr>
                <w:sz w:val="22"/>
              </w:rPr>
              <w:t xml:space="preserve"> </w:t>
            </w:r>
            <w:r>
              <w:rPr>
                <w:sz w:val="22"/>
              </w:rPr>
              <w:t xml:space="preserve">Review three consecutive healthy checkpoints (Task 4, Step 1); log Refreeze on M3 (Initiative Registry) and toggle sign-off on M12 (Sustainment) (Task 4, Step 2).</w:t>
            </w:r>
          </w:p>
        </w:tc>
        <w:tc>
          <w:tcPr>
            <w:tcW w:type="dxa" w:w="3258"/>
          </w:tcPr>
          <w:p>
            <w:pPr>
              <w:pStyle w:val="Compact"/>
              <w:jc w:val="left"/>
            </w:pPr>
            <w:r>
              <w:rPr>
                <w:sz w:val="22"/>
              </w:rPr>
              <w:t xml:space="preserve">M3 (Initiative Registry) — type in:</w:t>
            </w:r>
            <w:r>
              <w:rPr>
                <w:sz w:val="22"/>
              </w:rPr>
              <w:t xml:space="preserve"> </w:t>
            </w:r>
            <w:r>
              <w:rPr>
                <w:sz w:val="22"/>
              </w:rPr>
              <w:t xml:space="preserve">“</w:t>
            </w:r>
            <w:r>
              <w:rPr>
                <w:sz w:val="22"/>
              </w:rPr>
              <w:t xml:space="preserve">Setting Refreeze (confirmed). Checkpoints at Weeks 52, 61, and 63 all healthy; Week 56’s Reinforcement stall (E5) resolved and closed. Evidence reviewed with Steering Committee 64 [date].</w:t>
            </w:r>
            <w:r>
              <w:rPr>
                <w:sz w:val="22"/>
              </w:rPr>
              <w:t xml:space="preserve">”</w:t>
            </w:r>
            <w:r>
              <w:rPr>
                <w:sz w:val="22"/>
              </w:rPr>
              <w:t xml:space="preserve"> </w:t>
            </w:r>
            <w:r>
              <w:rPr>
                <w:sz w:val="22"/>
              </w:rPr>
              <w:t xml:space="preserve">M12 (Sustainment) — sign-off toggle set to complete; Bouregreg ERP Adoption Program formally closed.</w:t>
            </w:r>
          </w:p>
        </w:tc>
        <w:tc>
          <w:tcPr>
            <w:tcW w:type="dxa" w:w="1261"/>
          </w:tcPr>
          <w:p>
            <w:pPr>
              <w:pStyle w:val="Compact"/>
              <w:jc w:val="left"/>
            </w:pPr>
            <w:r>
              <w:rPr>
                <w:sz w:val="22"/>
              </w:rPr>
              <w:t xml:space="preserve">—</w:t>
            </w:r>
          </w:p>
        </w:tc>
      </w:tr>
    </w:tbl>
    <w:p>
      <w:pPr>
        <w:pStyle w:val="BodyText"/>
      </w:pPr>
      <w:r>
        <w:rPr>
          <w:bCs/>
          <w:b/>
          <w:sz w:val="25"/>
        </w:rPr>
        <w:t xml:space="preserve">Phase gate:</w:t>
      </w:r>
      <w:r>
        <w:rPr>
          <w:sz w:val="25"/>
        </w:rPr>
        <w:t xml:space="preserve"> </w:t>
      </w:r>
      <w:r>
        <w:rPr>
          <w:sz w:val="25"/>
        </w:rPr>
        <w:t xml:space="preserve">Sustain — and the program — closes on the sign-off toggle on M12 (Sustainment), blocked by ALT-015 (Part 5) if any checkpoint still carries an open High regression-risk flag.</w:t>
      </w:r>
    </w:p>
    <w:p>
      <w:pPr>
        <w:pStyle w:val="BodyText"/>
      </w:pPr>
      <w:r>
        <w:rPr>
          <w:bCs/>
          <w:b/>
          <w:sz w:val="25"/>
        </w:rPr>
        <w:t xml:space="preserve">SIPOC.</w:t>
      </w:r>
      <w:r>
        <w:rPr>
          <w:sz w:val="25"/>
        </w:rPr>
        <w:t xml:space="preserve"> </w:t>
      </w:r>
      <w:r>
        <w:rPr>
          <w:sz w:val="25"/>
        </w:rPr>
        <w:t xml:space="preserve">Suppliers: HR (performance-management integration); Change Manager; Executive Sponsor. · Inputs: Hypercare’s confirmed readings; 30/60/90-day checkpoint data. · Process: this phase’s four Tasks in sequence · Outputs: Confirmed Refreeze; embedded reinforcement; closed CM project; lessons-learned log. · Customers: Executive Sponsor; business-as-usual process owner; future Bouregreg CM projects.</w:t>
      </w:r>
    </w:p>
    <w:p>
      <w:pPr>
        <w:pStyle w:val="BodyText"/>
      </w:pPr>
      <w:r>
        <w:rPr>
          <w:bCs/>
          <w:b/>
          <w:sz w:val="25"/>
        </w:rPr>
        <w:t xml:space="preserve">RACSI for this phase.</w:t>
      </w:r>
      <w:r>
        <w:rPr>
          <w:sz w:val="25"/>
        </w:rPr>
        <w:t xml:space="preserve"> </w:t>
      </w:r>
      <w:r>
        <w:rPr>
          <w:sz w:val="25"/>
        </w:rPr>
        <w:t xml:space="preserve">R = CM · A = ES · C = PM, FPO · S = SUP · I = EU</w:t>
      </w:r>
    </w:p>
    <w:p>
      <w:pPr>
        <w:pStyle w:val="BodyText"/>
      </w:pPr>
    </w:p>
    <w:bookmarkEnd w:id="44"/>
    <w:bookmarkStart w:id="45" w:name="Xc6b73c5214ce25f3e31cd7181b649bb6e2db9fd"/>
    <w:p>
      <w:pPr>
        <w:pStyle w:val="Heading4"/>
      </w:pPr>
      <w:r>
        <w:rPr>
          <w:b/>
          <w:color w:val="5A8F89"/>
          <w:sz w:val="26"/>
        </w:rPr>
        <w:t xml:space="preserve">Master WBS &amp; Gantt — Every Task and Step, PM and CM Tracks, Across the Four Frameworks</w:t>
      </w:r>
    </w:p>
    <w:p>
      <w:pPr>
        <w:pStyle w:val="FirstParagraph"/>
      </w:pPr>
      <w:r>
        <w:rPr>
          <w:sz w:val="25"/>
        </w:rPr>
        <w:t xml:space="preserve">The table below is the single master schedule for Bouregreg’s 64-week program: every Task and Step from all eight phases above, in one place, exactly as M17 (WBS &amp; Gantt)</w:t>
      </w:r>
      <w:r>
        <w:rPr>
          <w:sz w:val="25"/>
        </w:rPr>
        <w:t xml:space="preserve">‘</w:t>
      </w:r>
      <w:r>
        <w:rPr>
          <w:sz w:val="25"/>
        </w:rPr>
        <w:t xml:space="preserve">s real key fields hold them —</w:t>
      </w:r>
      <w:r>
        <w:rPr>
          <w:sz w:val="25"/>
        </w:rPr>
        <w:t xml:space="preserve"> </w:t>
      </w:r>
      <w:r>
        <w:rPr>
          <w:bCs/>
          <w:b/>
          <w:sz w:val="25"/>
        </w:rPr>
        <w:t xml:space="preserve">Task name; track (PM/CM/framework); baseline start/end date; actual start/end date; status</w:t>
      </w:r>
      <w:r>
        <w:rPr>
          <w:sz w:val="25"/>
        </w:rPr>
        <w:t xml:space="preserve"> </w:t>
      </w:r>
      <w:r>
        <w:rPr>
          <w:sz w:val="25"/>
        </w:rPr>
        <w:t xml:space="preserve">(Part 2, M17). Scope is the normal flow only (1B.3): the six exceptions</w:t>
      </w:r>
      <w:r>
        <w:rPr>
          <w:sz w:val="25"/>
        </w:rPr>
        <w:t xml:space="preserve">’</w:t>
      </w:r>
      <w:r>
        <w:rPr>
          <w:sz w:val="25"/>
        </w:rPr>
        <w:t xml:space="preserve"> </w:t>
      </w:r>
      <w:r>
        <w:rPr>
          <w:sz w:val="25"/>
        </w:rPr>
        <w:t xml:space="preserve">own Recovery Tasks keep their own numbering in 1B.4 and are cross-referenced here by ID, not re-numbered into this WBS, so the two schemes never collide.</w:t>
      </w:r>
    </w:p>
    <w:p>
      <w:pPr>
        <w:pStyle w:val="BodyText"/>
      </w:pPr>
      <w:r>
        <w:rPr>
          <w:bCs/>
          <w:b/>
          <w:sz w:val="25"/>
        </w:rPr>
        <w:t xml:space="preserve">How to read it.</w:t>
      </w:r>
      <w:r>
        <w:rPr>
          <w:sz w:val="25"/>
        </w:rPr>
        <w:t xml:space="preserve"> </w:t>
      </w:r>
      <w:r>
        <w:rPr>
          <w:sz w:val="25"/>
        </w:rPr>
        <w:t xml:space="preserve">Each phase’s four Tasks appear as a bold row (ID</w:t>
      </w:r>
      <w:r>
        <w:rPr>
          <w:sz w:val="25"/>
        </w:rPr>
        <w:t xml:space="preserve"> </w:t>
      </w:r>
      <w:r>
        <w:rPr>
          <w:rStyle w:val="VerbatimChar"/>
          <w:sz w:val="25"/>
        </w:rPr>
        <w:t xml:space="preserve">Pn-Tn</w:t>
      </w:r>
      <w:r>
        <w:rPr>
          <w:sz w:val="25"/>
        </w:rPr>
        <w:t xml:space="preserve">), followed by its Steps (ID</w:t>
      </w:r>
      <w:r>
        <w:rPr>
          <w:sz w:val="25"/>
        </w:rPr>
        <w:t xml:space="preserve"> </w:t>
      </w:r>
      <w:r>
        <w:rPr>
          <w:rStyle w:val="VerbatimChar"/>
          <w:sz w:val="25"/>
        </w:rPr>
        <w:t xml:space="preserve">Pn-Tn-Sn</w:t>
      </w:r>
      <w:r>
        <w:rPr>
          <w:sz w:val="25"/>
        </w:rPr>
        <w:t xml:space="preserve">) indented with</w:t>
      </w:r>
      <w:r>
        <w:rPr>
          <w:sz w:val="25"/>
        </w:rPr>
        <w:t xml:space="preserve"> </w:t>
      </w:r>
      <w:r>
        <w:rPr>
          <w:rStyle w:val="VerbatimChar"/>
          <w:sz w:val="25"/>
        </w:rPr>
        <w:t xml:space="preserve">↳</w:t>
      </w:r>
      <w:r>
        <w:rPr>
          <w:sz w:val="25"/>
        </w:rPr>
        <w:t xml:space="preserve">.</w:t>
      </w:r>
      <w:r>
        <w:rPr>
          <w:sz w:val="25"/>
        </w:rPr>
        <w:t xml:space="preserve"> </w:t>
      </w:r>
      <w:r>
        <w:rPr>
          <w:bCs/>
          <w:b/>
          <w:sz w:val="25"/>
        </w:rPr>
        <w:t xml:space="preserve">Track</w:t>
      </w:r>
      <w:r>
        <w:rPr>
          <w:sz w:val="25"/>
        </w:rPr>
        <w:t xml:space="preserve"> </w:t>
      </w:r>
      <w:r>
        <w:rPr>
          <w:sz w:val="25"/>
        </w:rPr>
        <w:t xml:space="preserve">names who executes it — PM, CM, or PM+CM where a Task’s two Steps split across both.</w:t>
      </w:r>
      <w:r>
        <w:rPr>
          <w:sz w:val="25"/>
        </w:rPr>
        <w:t xml:space="preserve"> </w:t>
      </w:r>
      <w:r>
        <w:rPr>
          <w:bCs/>
          <w:b/>
          <w:sz w:val="25"/>
        </w:rPr>
        <w:t xml:space="preserve">K-R</w:t>
      </w:r>
      <w:r>
        <w:rPr>
          <w:sz w:val="25"/>
        </w:rPr>
        <w:t xml:space="preserve"> </w:t>
      </w:r>
      <w:r>
        <w:rPr>
          <w:sz w:val="25"/>
        </w:rPr>
        <w:t xml:space="preserve">is Kübler-Ross. The four framework columns are populated only on the Step that actually sets or moves that framework’s reading on M3 (Initiative Registry), M5 (ADKAR Engine), or M6 (Emotional &amp; Transition Layer) — a blank cell means that Step doesn’t touch that framework, not that the framework is undefined at that point in time; read the phase’s</w:t>
      </w:r>
      <w:r>
        <w:rPr>
          <w:sz w:val="25"/>
        </w:rPr>
        <w:t xml:space="preserve"> </w:t>
      </w:r>
      <w:r>
        <w:rPr>
          <w:sz w:val="25"/>
        </w:rPr>
        <w:t xml:space="preserve">“</w:t>
      </w:r>
      <w:r>
        <w:rPr>
          <w:sz w:val="25"/>
        </w:rPr>
        <w:t xml:space="preserve">Framework readings at close</w:t>
      </w:r>
      <w:r>
        <w:rPr>
          <w:sz w:val="25"/>
        </w:rPr>
        <w:t xml:space="preserve">”</w:t>
      </w:r>
      <w:r>
        <w:rPr>
          <w:sz w:val="25"/>
        </w:rPr>
        <w:t xml:space="preserve"> </w:t>
      </w:r>
      <w:r>
        <w:rPr>
          <w:sz w:val="25"/>
        </w:rPr>
        <w:t xml:space="preserve">line (1B.3) for the standing value between movements.</w:t>
      </w:r>
    </w:p>
    <w:tbl>
      <w:tblPr>
        <w:tblStyle w:val="Table"/>
        <w:tblW w:type="pct" w:w="5000"/>
        <w:jc w:val="center"/>
        <w:tblLayout w:type="fixed"/>
        <w:tblLook w:firstRow="1" w:lastRow="0" w:firstColumn="0" w:lastColumn="0" w:noHBand="0" w:noVBand="0" w:val="0020"/>
      </w:tblPr>
      <w:tblGrid>
        <w:gridCol w:w="734263"/>
        <w:gridCol w:w="2136038"/>
        <w:gridCol w:w="400507"/>
        <w:gridCol w:w="267004"/>
        <w:gridCol w:w="467258"/>
        <w:gridCol w:w="534009"/>
        <w:gridCol w:w="867765"/>
        <w:gridCol w:w="734263"/>
        <w:gridCol w:w="534009"/>
      </w:tblGrid>
      <w:tr>
        <w:trPr>
          <w:tblHeader w:val="true"/>
          <w:cantSplit/>
        </w:trPr>
        <w:tc>
          <w:tcPr>
            <w:tcW w:type="dxa" w:w="1156"/>
            <w:shd w:val="clear" w:fill="1F4B45"/>
            <w:tcMar>
              <w:top w:w="20" w:type="dxa"/>
              <w:bottom w:w="20" w:type="dxa"/>
              <w:left w:w="40" w:type="dxa"/>
              <w:right w:w="40" w:type="dxa"/>
            </w:tcMar>
          </w:tcPr>
          <w:p>
            <w:pPr>
              <w:pStyle w:val="Compact"/>
              <w:jc w:val="left"/>
            </w:pPr>
            <w:r>
              <w:rPr>
                <w:b/>
                <w:color w:val="FFFFFF"/>
                <w:sz w:val="17"/>
              </w:rPr>
              <w:t xml:space="preserve">ID</w:t>
            </w:r>
          </w:p>
        </w:tc>
        <w:tc>
          <w:tcPr>
            <w:tcW w:type="dxa" w:w="3363"/>
            <w:shd w:val="clear" w:fill="1F4B45"/>
            <w:tcMar>
              <w:top w:w="20" w:type="dxa"/>
              <w:bottom w:w="20" w:type="dxa"/>
              <w:left w:w="40" w:type="dxa"/>
              <w:right w:w="40" w:type="dxa"/>
            </w:tcMar>
          </w:tcPr>
          <w:p>
            <w:pPr>
              <w:pStyle w:val="Compact"/>
              <w:jc w:val="left"/>
            </w:pPr>
            <w:r>
              <w:rPr>
                <w:b/>
                <w:color w:val="FFFFFF"/>
                <w:sz w:val="17"/>
              </w:rPr>
              <w:t xml:space="preserve">Task / Step Name</w:t>
            </w:r>
          </w:p>
        </w:tc>
        <w:tc>
          <w:tcPr>
            <w:tcW w:type="dxa" w:w="630"/>
            <w:shd w:val="clear" w:fill="1F4B45"/>
            <w:tcMar>
              <w:top w:w="20" w:type="dxa"/>
              <w:bottom w:w="20" w:type="dxa"/>
              <w:left w:w="40" w:type="dxa"/>
              <w:right w:w="40" w:type="dxa"/>
            </w:tcMar>
          </w:tcPr>
          <w:p>
            <w:pPr>
              <w:pStyle w:val="Compact"/>
              <w:jc w:val="left"/>
            </w:pPr>
            <w:r>
              <w:rPr>
                <w:b/>
                <w:color w:val="FFFFFF"/>
                <w:sz w:val="17"/>
              </w:rPr>
              <w:t xml:space="preserve">Track</w:t>
            </w:r>
          </w:p>
        </w:tc>
        <w:tc>
          <w:tcPr>
            <w:tcW w:type="dxa" w:w="420"/>
            <w:shd w:val="clear" w:fill="1F4B45"/>
            <w:tcMar>
              <w:top w:w="20" w:type="dxa"/>
              <w:bottom w:w="20" w:type="dxa"/>
              <w:left w:w="40" w:type="dxa"/>
              <w:right w:w="40" w:type="dxa"/>
            </w:tcMar>
          </w:tcPr>
          <w:p>
            <w:pPr>
              <w:pStyle w:val="Compact"/>
              <w:jc w:val="left"/>
            </w:pPr>
            <w:r>
              <w:rPr>
                <w:b/>
                <w:color w:val="FFFFFF"/>
                <w:sz w:val="17"/>
              </w:rPr>
              <w:t xml:space="preserve">Ph.</w:t>
            </w:r>
          </w:p>
        </w:tc>
        <w:tc>
          <w:tcPr>
            <w:tcW w:type="dxa" w:w="735"/>
            <w:shd w:val="clear" w:fill="1F4B45"/>
            <w:tcMar>
              <w:top w:w="20" w:type="dxa"/>
              <w:bottom w:w="20" w:type="dxa"/>
              <w:left w:w="40" w:type="dxa"/>
              <w:right w:w="40" w:type="dxa"/>
            </w:tcMar>
          </w:tcPr>
          <w:p>
            <w:pPr>
              <w:pStyle w:val="Compact"/>
              <w:jc w:val="left"/>
            </w:pPr>
            <w:r>
              <w:rPr>
                <w:b/>
                <w:color w:val="FFFFFF"/>
                <w:sz w:val="17"/>
              </w:rPr>
              <w:t xml:space="preserve">Wk(s)</w:t>
            </w:r>
          </w:p>
        </w:tc>
        <w:tc>
          <w:tcPr>
            <w:tcW w:type="dxa" w:w="840"/>
            <w:shd w:val="clear" w:fill="1F4B45"/>
            <w:tcMar>
              <w:top w:w="20" w:type="dxa"/>
              <w:bottom w:w="20" w:type="dxa"/>
              <w:left w:w="40" w:type="dxa"/>
              <w:right w:w="40" w:type="dxa"/>
            </w:tcMar>
          </w:tcPr>
          <w:p>
            <w:pPr>
              <w:pStyle w:val="Compact"/>
              <w:jc w:val="left"/>
            </w:pPr>
            <w:r>
              <w:rPr>
                <w:b/>
                <w:color w:val="FFFFFF"/>
                <w:sz w:val="17"/>
              </w:rPr>
              <w:t xml:space="preserve">Lewin</w:t>
            </w:r>
          </w:p>
        </w:tc>
        <w:tc>
          <w:tcPr>
            <w:tcW w:type="dxa" w:w="1366"/>
            <w:shd w:val="clear" w:fill="1F4B45"/>
            <w:tcMar>
              <w:top w:w="20" w:type="dxa"/>
              <w:bottom w:w="20" w:type="dxa"/>
              <w:left w:w="40" w:type="dxa"/>
              <w:right w:w="40" w:type="dxa"/>
            </w:tcMar>
          </w:tcPr>
          <w:p>
            <w:pPr>
              <w:pStyle w:val="Compact"/>
              <w:jc w:val="left"/>
            </w:pPr>
            <w:r>
              <w:rPr>
                <w:b/>
                <w:color w:val="FFFFFF"/>
                <w:sz w:val="17"/>
              </w:rPr>
              <w:t xml:space="preserve">ADKAR</w:t>
            </w:r>
          </w:p>
        </w:tc>
        <w:tc>
          <w:tcPr>
            <w:tcW w:type="dxa" w:w="1156"/>
            <w:shd w:val="clear" w:fill="1F4B45"/>
            <w:tcMar>
              <w:top w:w="20" w:type="dxa"/>
              <w:bottom w:w="20" w:type="dxa"/>
              <w:left w:w="40" w:type="dxa"/>
              <w:right w:w="40" w:type="dxa"/>
            </w:tcMar>
          </w:tcPr>
          <w:p>
            <w:pPr>
              <w:pStyle w:val="Compact"/>
              <w:jc w:val="left"/>
            </w:pPr>
            <w:r>
              <w:rPr>
                <w:b/>
                <w:color w:val="FFFFFF"/>
                <w:sz w:val="17"/>
              </w:rPr>
              <w:t xml:space="preserve">Bridges</w:t>
            </w:r>
          </w:p>
        </w:tc>
        <w:tc>
          <w:tcPr>
            <w:tcW w:type="dxa" w:w="840"/>
            <w:shd w:val="clear" w:fill="1F4B45"/>
            <w:tcMar>
              <w:top w:w="20" w:type="dxa"/>
              <w:bottom w:w="20" w:type="dxa"/>
              <w:left w:w="40" w:type="dxa"/>
              <w:right w:w="40" w:type="dxa"/>
            </w:tcMar>
          </w:tcPr>
          <w:p>
            <w:pPr>
              <w:pStyle w:val="Compact"/>
              <w:jc w:val="left"/>
            </w:pPr>
            <w:r>
              <w:rPr>
                <w:b/>
                <w:color w:val="FFFFFF"/>
                <w:sz w:val="17"/>
              </w:rPr>
              <w:t xml:space="preserve">K-R</w:t>
            </w:r>
          </w:p>
        </w:tc>
      </w:tr>
      <w:tr>
        <w:trPr>
          <w:cantSplit/>
        </w:trPr>
        <w:tc>
          <w:tcPr>
            <w:tcW w:type="dxa" w:w="1156"/>
            <w:tcMar>
              <w:top w:w="20" w:type="dxa"/>
              <w:bottom w:w="20" w:type="dxa"/>
              <w:left w:w="40" w:type="dxa"/>
              <w:right w:w="40" w:type="dxa"/>
            </w:tcMar>
          </w:tcPr>
          <w:p>
            <w:pPr>
              <w:pStyle w:val="Compact"/>
              <w:jc w:val="left"/>
            </w:pPr>
            <w:r>
              <w:rPr>
                <w:bCs/>
                <w:b/>
                <w:sz w:val="17"/>
              </w:rPr>
              <w:t xml:space="preserve">P1-T1</w:t>
            </w:r>
          </w:p>
        </w:tc>
        <w:tc>
          <w:tcPr>
            <w:tcW w:type="dxa" w:w="3363"/>
            <w:tcMar>
              <w:top w:w="20" w:type="dxa"/>
              <w:bottom w:w="20" w:type="dxa"/>
              <w:left w:w="40" w:type="dxa"/>
              <w:right w:w="40" w:type="dxa"/>
            </w:tcMar>
          </w:tcPr>
          <w:p>
            <w:pPr>
              <w:pStyle w:val="Compact"/>
              <w:jc w:val="left"/>
            </w:pPr>
            <w:r>
              <w:rPr>
                <w:bCs/>
                <w:b/>
                <w:sz w:val="17"/>
              </w:rPr>
              <w:t xml:space="preserve">Discovery Workshops &amp; Workaround Inventory</w:t>
            </w:r>
          </w:p>
        </w:tc>
        <w:tc>
          <w:tcPr>
            <w:tcW w:type="dxa" w:w="630"/>
            <w:tcMar>
              <w:top w:w="20" w:type="dxa"/>
              <w:bottom w:w="20" w:type="dxa"/>
              <w:left w:w="40" w:type="dxa"/>
              <w:right w:w="40" w:type="dxa"/>
            </w:tcMar>
          </w:tcPr>
          <w:p>
            <w:pPr>
              <w:pStyle w:val="Compact"/>
              <w:jc w:val="left"/>
            </w:pPr>
            <w:r>
              <w:rPr>
                <w:sz w:val="17"/>
              </w:rPr>
              <w:t xml:space="preserve">PM+CM</w:t>
            </w:r>
          </w:p>
        </w:tc>
        <w:tc>
          <w:tcPr>
            <w:tcW w:type="dxa" w:w="420"/>
            <w:tcMar>
              <w:top w:w="20" w:type="dxa"/>
              <w:bottom w:w="20" w:type="dxa"/>
              <w:left w:w="40" w:type="dxa"/>
              <w:right w:w="40" w:type="dxa"/>
            </w:tcMar>
          </w:tcPr>
          <w:p>
            <w:pPr>
              <w:pStyle w:val="Compact"/>
              <w:jc w:val="left"/>
            </w:pPr>
            <w:r>
              <w:rPr>
                <w:sz w:val="17"/>
              </w:rPr>
              <w:t xml:space="preserve">P1</w:t>
            </w:r>
          </w:p>
        </w:tc>
        <w:tc>
          <w:tcPr>
            <w:tcW w:type="dxa" w:w="735"/>
            <w:tcMar>
              <w:top w:w="20" w:type="dxa"/>
              <w:bottom w:w="20" w:type="dxa"/>
              <w:left w:w="40" w:type="dxa"/>
              <w:right w:w="40" w:type="dxa"/>
            </w:tcMar>
          </w:tcPr>
          <w:p>
            <w:pPr>
              <w:pStyle w:val="Compact"/>
              <w:jc w:val="left"/>
            </w:pPr>
            <w:r>
              <w:rPr>
                <w:sz w:val="17"/>
              </w:rPr>
              <w:t xml:space="preserve">W2–4</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P1-T1-S1</w:t>
            </w:r>
          </w:p>
        </w:tc>
        <w:tc>
          <w:tcPr>
            <w:tcW w:type="dxa" w:w="3363"/>
            <w:tcMar>
              <w:top w:w="20" w:type="dxa"/>
              <w:bottom w:w="20" w:type="dxa"/>
              <w:left w:w="40" w:type="dxa"/>
              <w:right w:w="40" w:type="dxa"/>
            </w:tcMar>
          </w:tcPr>
          <w:p>
            <w:pPr>
              <w:pStyle w:val="Compact"/>
              <w:jc w:val="left"/>
            </w:pPr>
            <w:r>
              <w:rPr>
                <w:sz w:val="17"/>
              </w:rPr>
              <w:t xml:space="preserve">↳ [PM] Facilitate 3 Discovery Workshops, All Sites</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P1</w:t>
            </w:r>
          </w:p>
        </w:tc>
        <w:tc>
          <w:tcPr>
            <w:tcW w:type="dxa" w:w="735"/>
            <w:tcMar>
              <w:top w:w="20" w:type="dxa"/>
              <w:bottom w:w="20" w:type="dxa"/>
              <w:left w:w="40" w:type="dxa"/>
              <w:right w:w="40" w:type="dxa"/>
            </w:tcMar>
          </w:tcPr>
          <w:p>
            <w:pPr>
              <w:pStyle w:val="Compact"/>
              <w:jc w:val="left"/>
            </w:pPr>
            <w:r>
              <w:rPr>
                <w:sz w:val="17"/>
              </w:rPr>
              <w:t xml:space="preserve">W2–4</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P1-T1-S2</w:t>
            </w:r>
          </w:p>
        </w:tc>
        <w:tc>
          <w:tcPr>
            <w:tcW w:type="dxa" w:w="3363"/>
            <w:tcMar>
              <w:top w:w="20" w:type="dxa"/>
              <w:bottom w:w="20" w:type="dxa"/>
              <w:left w:w="40" w:type="dxa"/>
              <w:right w:w="40" w:type="dxa"/>
            </w:tcMar>
          </w:tcPr>
          <w:p>
            <w:pPr>
              <w:pStyle w:val="Compact"/>
              <w:jc w:val="left"/>
            </w:pPr>
            <w:r>
              <w:rPr>
                <w:sz w:val="17"/>
              </w:rPr>
              <w:t xml:space="preserve">↳ [CM] Compile Workaround Inventory</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P1</w:t>
            </w:r>
          </w:p>
        </w:tc>
        <w:tc>
          <w:tcPr>
            <w:tcW w:type="dxa" w:w="735"/>
            <w:tcMar>
              <w:top w:w="20" w:type="dxa"/>
              <w:bottom w:w="20" w:type="dxa"/>
              <w:left w:w="40" w:type="dxa"/>
              <w:right w:w="40" w:type="dxa"/>
            </w:tcMar>
          </w:tcPr>
          <w:p>
            <w:pPr>
              <w:pStyle w:val="Compact"/>
              <w:jc w:val="left"/>
            </w:pPr>
            <w:r>
              <w:rPr>
                <w:sz w:val="17"/>
              </w:rPr>
              <w:t xml:space="preserve">W4</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P1-T2</w:t>
            </w:r>
          </w:p>
        </w:tc>
        <w:tc>
          <w:tcPr>
            <w:tcW w:type="dxa" w:w="3363"/>
            <w:tcMar>
              <w:top w:w="20" w:type="dxa"/>
              <w:bottom w:w="20" w:type="dxa"/>
              <w:left w:w="40" w:type="dxa"/>
              <w:right w:w="40" w:type="dxa"/>
            </w:tcMar>
          </w:tcPr>
          <w:p>
            <w:pPr>
              <w:pStyle w:val="Compact"/>
              <w:jc w:val="left"/>
            </w:pPr>
            <w:r>
              <w:rPr>
                <w:bCs/>
                <w:b/>
                <w:sz w:val="17"/>
              </w:rPr>
              <w:t xml:space="preserve">Business Case Quantification</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P1</w:t>
            </w:r>
          </w:p>
        </w:tc>
        <w:tc>
          <w:tcPr>
            <w:tcW w:type="dxa" w:w="735"/>
            <w:tcMar>
              <w:top w:w="20" w:type="dxa"/>
              <w:bottom w:w="20" w:type="dxa"/>
              <w:left w:w="40" w:type="dxa"/>
              <w:right w:w="40" w:type="dxa"/>
            </w:tcMar>
          </w:tcPr>
          <w:p>
            <w:pPr>
              <w:pStyle w:val="Compact"/>
              <w:jc w:val="left"/>
            </w:pPr>
            <w:r>
              <w:rPr>
                <w:sz w:val="17"/>
              </w:rPr>
              <w:t xml:space="preserve">W5–6</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P1-T2-S1</w:t>
            </w:r>
          </w:p>
        </w:tc>
        <w:tc>
          <w:tcPr>
            <w:tcW w:type="dxa" w:w="3363"/>
            <w:tcMar>
              <w:top w:w="20" w:type="dxa"/>
              <w:bottom w:w="20" w:type="dxa"/>
              <w:left w:w="40" w:type="dxa"/>
              <w:right w:w="40" w:type="dxa"/>
            </w:tcMar>
          </w:tcPr>
          <w:p>
            <w:pPr>
              <w:pStyle w:val="Compact"/>
              <w:jc w:val="left"/>
            </w:pPr>
            <w:r>
              <w:rPr>
                <w:sz w:val="17"/>
              </w:rPr>
              <w:t xml:space="preserve">↳ [PM] Pull Reconciliation Time Logs per Site</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P1</w:t>
            </w:r>
          </w:p>
        </w:tc>
        <w:tc>
          <w:tcPr>
            <w:tcW w:type="dxa" w:w="735"/>
            <w:tcMar>
              <w:top w:w="20" w:type="dxa"/>
              <w:bottom w:w="20" w:type="dxa"/>
              <w:left w:w="40" w:type="dxa"/>
              <w:right w:w="40" w:type="dxa"/>
            </w:tcMar>
          </w:tcPr>
          <w:p>
            <w:pPr>
              <w:pStyle w:val="Compact"/>
              <w:jc w:val="left"/>
            </w:pPr>
            <w:r>
              <w:rPr>
                <w:sz w:val="17"/>
              </w:rPr>
              <w:t xml:space="preserve">W5</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P1-T2-S2</w:t>
            </w:r>
          </w:p>
        </w:tc>
        <w:tc>
          <w:tcPr>
            <w:tcW w:type="dxa" w:w="3363"/>
            <w:tcMar>
              <w:top w:w="20" w:type="dxa"/>
              <w:bottom w:w="20" w:type="dxa"/>
              <w:left w:w="40" w:type="dxa"/>
              <w:right w:w="40" w:type="dxa"/>
            </w:tcMar>
          </w:tcPr>
          <w:p>
            <w:pPr>
              <w:pStyle w:val="Compact"/>
              <w:jc w:val="left"/>
            </w:pPr>
            <w:r>
              <w:rPr>
                <w:sz w:val="17"/>
              </w:rPr>
              <w:t xml:space="preserve">↳ [PM] Compute Fully-Loaded Cost</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P1</w:t>
            </w:r>
          </w:p>
        </w:tc>
        <w:tc>
          <w:tcPr>
            <w:tcW w:type="dxa" w:w="735"/>
            <w:tcMar>
              <w:top w:w="20" w:type="dxa"/>
              <w:bottom w:w="20" w:type="dxa"/>
              <w:left w:w="40" w:type="dxa"/>
              <w:right w:w="40" w:type="dxa"/>
            </w:tcMar>
          </w:tcPr>
          <w:p>
            <w:pPr>
              <w:pStyle w:val="Compact"/>
              <w:jc w:val="left"/>
            </w:pPr>
            <w:r>
              <w:rPr>
                <w:sz w:val="17"/>
              </w:rPr>
              <w:t xml:space="preserve">W6</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P1-T3</w:t>
            </w:r>
          </w:p>
        </w:tc>
        <w:tc>
          <w:tcPr>
            <w:tcW w:type="dxa" w:w="3363"/>
            <w:tcMar>
              <w:top w:w="20" w:type="dxa"/>
              <w:bottom w:w="20" w:type="dxa"/>
              <w:left w:w="40" w:type="dxa"/>
              <w:right w:w="40" w:type="dxa"/>
            </w:tcMar>
          </w:tcPr>
          <w:p>
            <w:pPr>
              <w:pStyle w:val="Compact"/>
              <w:jc w:val="left"/>
            </w:pPr>
            <w:r>
              <w:rPr>
                <w:bCs/>
                <w:b/>
                <w:sz w:val="17"/>
              </w:rPr>
              <w:t xml:space="preserve">Stakeholder Map &amp; Impact Severity</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P1</w:t>
            </w:r>
          </w:p>
        </w:tc>
        <w:tc>
          <w:tcPr>
            <w:tcW w:type="dxa" w:w="735"/>
            <w:tcMar>
              <w:top w:w="20" w:type="dxa"/>
              <w:bottom w:w="20" w:type="dxa"/>
              <w:left w:w="40" w:type="dxa"/>
              <w:right w:w="40" w:type="dxa"/>
            </w:tcMar>
          </w:tcPr>
          <w:p>
            <w:pPr>
              <w:pStyle w:val="Compact"/>
              <w:jc w:val="left"/>
            </w:pPr>
            <w:r>
              <w:rPr>
                <w:sz w:val="17"/>
              </w:rPr>
              <w:t xml:space="preserve">W6–7</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P1-T3-S1</w:t>
            </w:r>
          </w:p>
        </w:tc>
        <w:tc>
          <w:tcPr>
            <w:tcW w:type="dxa" w:w="3363"/>
            <w:tcMar>
              <w:top w:w="20" w:type="dxa"/>
              <w:bottom w:w="20" w:type="dxa"/>
              <w:left w:w="40" w:type="dxa"/>
              <w:right w:w="40" w:type="dxa"/>
            </w:tcMar>
          </w:tcPr>
          <w:p>
            <w:pPr>
              <w:pStyle w:val="Compact"/>
              <w:jc w:val="left"/>
            </w:pPr>
            <w:r>
              <w:rPr>
                <w:sz w:val="17"/>
              </w:rPr>
              <w:t xml:space="preserve">↳ [CM] Open Stakeholder Map, Enter Cohorts</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P1</w:t>
            </w:r>
          </w:p>
        </w:tc>
        <w:tc>
          <w:tcPr>
            <w:tcW w:type="dxa" w:w="735"/>
            <w:tcMar>
              <w:top w:w="20" w:type="dxa"/>
              <w:bottom w:w="20" w:type="dxa"/>
              <w:left w:w="40" w:type="dxa"/>
              <w:right w:w="40" w:type="dxa"/>
            </w:tcMar>
          </w:tcPr>
          <w:p>
            <w:pPr>
              <w:pStyle w:val="Compact"/>
              <w:jc w:val="left"/>
            </w:pPr>
            <w:r>
              <w:rPr>
                <w:sz w:val="17"/>
              </w:rPr>
              <w:t xml:space="preserve">W6</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P1-T3-S2</w:t>
            </w:r>
          </w:p>
        </w:tc>
        <w:tc>
          <w:tcPr>
            <w:tcW w:type="dxa" w:w="3363"/>
            <w:tcMar>
              <w:top w:w="20" w:type="dxa"/>
              <w:bottom w:w="20" w:type="dxa"/>
              <w:left w:w="40" w:type="dxa"/>
              <w:right w:w="40" w:type="dxa"/>
            </w:tcMar>
          </w:tcPr>
          <w:p>
            <w:pPr>
              <w:pStyle w:val="Compact"/>
              <w:jc w:val="left"/>
            </w:pPr>
            <w:r>
              <w:rPr>
                <w:sz w:val="17"/>
              </w:rPr>
              <w:t xml:space="preserve">↳ [CM] Flag High-Impact Cohorts, Finalize Severity</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P1</w:t>
            </w:r>
          </w:p>
        </w:tc>
        <w:tc>
          <w:tcPr>
            <w:tcW w:type="dxa" w:w="735"/>
            <w:tcMar>
              <w:top w:w="20" w:type="dxa"/>
              <w:bottom w:w="20" w:type="dxa"/>
              <w:left w:w="40" w:type="dxa"/>
              <w:right w:w="40" w:type="dxa"/>
            </w:tcMar>
          </w:tcPr>
          <w:p>
            <w:pPr>
              <w:pStyle w:val="Compact"/>
              <w:jc w:val="left"/>
            </w:pPr>
            <w:r>
              <w:rPr>
                <w:sz w:val="17"/>
              </w:rPr>
              <w:t xml:space="preserve">W7</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P1-T4</w:t>
            </w:r>
          </w:p>
        </w:tc>
        <w:tc>
          <w:tcPr>
            <w:tcW w:type="dxa" w:w="3363"/>
            <w:tcMar>
              <w:top w:w="20" w:type="dxa"/>
              <w:bottom w:w="20" w:type="dxa"/>
              <w:left w:w="40" w:type="dxa"/>
              <w:right w:w="40" w:type="dxa"/>
            </w:tcMar>
          </w:tcPr>
          <w:p>
            <w:pPr>
              <w:pStyle w:val="Compact"/>
              <w:jc w:val="left"/>
            </w:pPr>
            <w:r>
              <w:rPr>
                <w:bCs/>
                <w:b/>
                <w:sz w:val="17"/>
              </w:rPr>
              <w:t xml:space="preserve">Business Case Sign-Off &amp; Lewin Baseline</w:t>
            </w:r>
          </w:p>
        </w:tc>
        <w:tc>
          <w:tcPr>
            <w:tcW w:type="dxa" w:w="630"/>
            <w:tcMar>
              <w:top w:w="20" w:type="dxa"/>
              <w:bottom w:w="20" w:type="dxa"/>
              <w:left w:w="40" w:type="dxa"/>
              <w:right w:w="40" w:type="dxa"/>
            </w:tcMar>
          </w:tcPr>
          <w:p>
            <w:pPr>
              <w:pStyle w:val="Compact"/>
              <w:jc w:val="left"/>
            </w:pPr>
            <w:r>
              <w:rPr>
                <w:sz w:val="17"/>
              </w:rPr>
              <w:t xml:space="preserve">PM+CM</w:t>
            </w:r>
          </w:p>
        </w:tc>
        <w:tc>
          <w:tcPr>
            <w:tcW w:type="dxa" w:w="420"/>
            <w:tcMar>
              <w:top w:w="20" w:type="dxa"/>
              <w:bottom w:w="20" w:type="dxa"/>
              <w:left w:w="40" w:type="dxa"/>
              <w:right w:w="40" w:type="dxa"/>
            </w:tcMar>
          </w:tcPr>
          <w:p>
            <w:pPr>
              <w:pStyle w:val="Compact"/>
              <w:jc w:val="left"/>
            </w:pPr>
            <w:r>
              <w:rPr>
                <w:sz w:val="17"/>
              </w:rPr>
              <w:t xml:space="preserve">P1</w:t>
            </w:r>
          </w:p>
        </w:tc>
        <w:tc>
          <w:tcPr>
            <w:tcW w:type="dxa" w:w="735"/>
            <w:tcMar>
              <w:top w:w="20" w:type="dxa"/>
              <w:bottom w:w="20" w:type="dxa"/>
              <w:left w:w="40" w:type="dxa"/>
              <w:right w:w="40" w:type="dxa"/>
            </w:tcMar>
          </w:tcPr>
          <w:p>
            <w:pPr>
              <w:pStyle w:val="Compact"/>
              <w:jc w:val="left"/>
            </w:pPr>
            <w:r>
              <w:rPr>
                <w:sz w:val="17"/>
              </w:rPr>
              <w:t xml:space="preserve">W7–8</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P1-T4-S1</w:t>
            </w:r>
          </w:p>
        </w:tc>
        <w:tc>
          <w:tcPr>
            <w:tcW w:type="dxa" w:w="3363"/>
            <w:tcMar>
              <w:top w:w="20" w:type="dxa"/>
              <w:bottom w:w="20" w:type="dxa"/>
              <w:left w:w="40" w:type="dxa"/>
              <w:right w:w="40" w:type="dxa"/>
            </w:tcMar>
          </w:tcPr>
          <w:p>
            <w:pPr>
              <w:pStyle w:val="Compact"/>
              <w:jc w:val="left"/>
            </w:pPr>
            <w:r>
              <w:rPr>
                <w:sz w:val="17"/>
              </w:rPr>
              <w:t xml:space="preserve">↳ [PM] Review Business Case &amp; Stakeholder Map with Steering Committee</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P1</w:t>
            </w:r>
          </w:p>
        </w:tc>
        <w:tc>
          <w:tcPr>
            <w:tcW w:type="dxa" w:w="735"/>
            <w:tcMar>
              <w:top w:w="20" w:type="dxa"/>
              <w:bottom w:w="20" w:type="dxa"/>
              <w:left w:w="40" w:type="dxa"/>
              <w:right w:w="40" w:type="dxa"/>
            </w:tcMar>
          </w:tcPr>
          <w:p>
            <w:pPr>
              <w:pStyle w:val="Compact"/>
              <w:jc w:val="left"/>
            </w:pPr>
            <w:r>
              <w:rPr>
                <w:sz w:val="17"/>
              </w:rPr>
              <w:t xml:space="preserve">W7</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P1-T4-S2</w:t>
            </w:r>
          </w:p>
        </w:tc>
        <w:tc>
          <w:tcPr>
            <w:tcW w:type="dxa" w:w="3363"/>
            <w:tcMar>
              <w:top w:w="20" w:type="dxa"/>
              <w:bottom w:w="20" w:type="dxa"/>
              <w:left w:w="40" w:type="dxa"/>
              <w:right w:w="40" w:type="dxa"/>
            </w:tcMar>
          </w:tcPr>
          <w:p>
            <w:pPr>
              <w:pStyle w:val="Compact"/>
              <w:jc w:val="left"/>
            </w:pPr>
            <w:r>
              <w:rPr>
                <w:sz w:val="17"/>
              </w:rPr>
              <w:t xml:space="preserve">↳ [CM] Set Lewin = Unfreeze, with Justification</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P1</w:t>
            </w:r>
          </w:p>
        </w:tc>
        <w:tc>
          <w:tcPr>
            <w:tcW w:type="dxa" w:w="735"/>
            <w:tcMar>
              <w:top w:w="20" w:type="dxa"/>
              <w:bottom w:w="20" w:type="dxa"/>
              <w:left w:w="40" w:type="dxa"/>
              <w:right w:w="40" w:type="dxa"/>
            </w:tcMar>
          </w:tcPr>
          <w:p>
            <w:pPr>
              <w:pStyle w:val="Compact"/>
              <w:jc w:val="left"/>
            </w:pPr>
            <w:r>
              <w:rPr>
                <w:sz w:val="17"/>
              </w:rPr>
              <w:t xml:space="preserve">W8</w:t>
            </w:r>
          </w:p>
        </w:tc>
        <w:tc>
          <w:tcPr>
            <w:tcW w:type="dxa" w:w="840"/>
            <w:tcMar>
              <w:top w:w="20" w:type="dxa"/>
              <w:bottom w:w="20" w:type="dxa"/>
              <w:left w:w="40" w:type="dxa"/>
              <w:right w:w="40" w:type="dxa"/>
            </w:tcMar>
          </w:tcPr>
          <w:p>
            <w:pPr>
              <w:pStyle w:val="Compact"/>
              <w:jc w:val="left"/>
            </w:pPr>
            <w:r>
              <w:rPr>
                <w:sz w:val="17"/>
              </w:rPr>
              <w:t xml:space="preserve">Unfreeze (baseline)</w:t>
            </w: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jc w:val="left"/>
            </w:pPr>
            <w:r>
              <w:rPr>
                <w:sz w:val="17"/>
              </w:rPr>
              <w:t xml:space="preserve">Denial (baseline)</w:t>
            </w:r>
          </w:p>
        </w:tc>
      </w:tr>
      <w:tr>
        <w:trPr>
          <w:cantSplit/>
        </w:trPr>
        <w:tc>
          <w:tcPr>
            <w:tcW w:type="dxa" w:w="1156"/>
            <w:tcMar>
              <w:top w:w="20" w:type="dxa"/>
              <w:bottom w:w="20" w:type="dxa"/>
              <w:left w:w="40" w:type="dxa"/>
              <w:right w:w="40" w:type="dxa"/>
            </w:tcMar>
          </w:tcPr>
          <w:p>
            <w:pPr>
              <w:pStyle w:val="Compact"/>
              <w:jc w:val="left"/>
            </w:pPr>
            <w:r>
              <w:rPr>
                <w:bCs/>
                <w:b/>
                <w:sz w:val="17"/>
              </w:rPr>
              <w:t xml:space="preserve">P2-T1</w:t>
            </w:r>
          </w:p>
        </w:tc>
        <w:tc>
          <w:tcPr>
            <w:tcW w:type="dxa" w:w="3363"/>
            <w:tcMar>
              <w:top w:w="20" w:type="dxa"/>
              <w:bottom w:w="20" w:type="dxa"/>
              <w:left w:w="40" w:type="dxa"/>
              <w:right w:w="40" w:type="dxa"/>
            </w:tcMar>
          </w:tcPr>
          <w:p>
            <w:pPr>
              <w:pStyle w:val="Compact"/>
              <w:jc w:val="left"/>
            </w:pPr>
            <w:r>
              <w:rPr>
                <w:bCs/>
                <w:b/>
                <w:sz w:val="17"/>
              </w:rPr>
              <w:t xml:space="preserve">Design Principles &amp; Future-State Process Mapping</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P2</w:t>
            </w:r>
          </w:p>
        </w:tc>
        <w:tc>
          <w:tcPr>
            <w:tcW w:type="dxa" w:w="735"/>
            <w:tcMar>
              <w:top w:w="20" w:type="dxa"/>
              <w:bottom w:w="20" w:type="dxa"/>
              <w:left w:w="40" w:type="dxa"/>
              <w:right w:w="40" w:type="dxa"/>
            </w:tcMar>
          </w:tcPr>
          <w:p>
            <w:pPr>
              <w:pStyle w:val="Compact"/>
              <w:jc w:val="left"/>
            </w:pPr>
            <w:r>
              <w:rPr>
                <w:sz w:val="17"/>
              </w:rPr>
              <w:t xml:space="preserve">W6–8</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P2-T1-S1</w:t>
            </w:r>
          </w:p>
        </w:tc>
        <w:tc>
          <w:tcPr>
            <w:tcW w:type="dxa" w:w="3363"/>
            <w:tcMar>
              <w:top w:w="20" w:type="dxa"/>
              <w:bottom w:w="20" w:type="dxa"/>
              <w:left w:w="40" w:type="dxa"/>
              <w:right w:w="40" w:type="dxa"/>
            </w:tcMar>
          </w:tcPr>
          <w:p>
            <w:pPr>
              <w:pStyle w:val="Compact"/>
              <w:jc w:val="left"/>
            </w:pPr>
            <w:r>
              <w:rPr>
                <w:sz w:val="17"/>
              </w:rPr>
              <w:t xml:space="preserve">↳ [PM] Draft Design Principles Workshop</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P2</w:t>
            </w:r>
          </w:p>
        </w:tc>
        <w:tc>
          <w:tcPr>
            <w:tcW w:type="dxa" w:w="735"/>
            <w:tcMar>
              <w:top w:w="20" w:type="dxa"/>
              <w:bottom w:w="20" w:type="dxa"/>
              <w:left w:w="40" w:type="dxa"/>
              <w:right w:w="40" w:type="dxa"/>
            </w:tcMar>
          </w:tcPr>
          <w:p>
            <w:pPr>
              <w:pStyle w:val="Compact"/>
              <w:jc w:val="left"/>
            </w:pPr>
            <w:r>
              <w:rPr>
                <w:sz w:val="17"/>
              </w:rPr>
              <w:t xml:space="preserve">W6</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P2-T1-S2</w:t>
            </w:r>
          </w:p>
        </w:tc>
        <w:tc>
          <w:tcPr>
            <w:tcW w:type="dxa" w:w="3363"/>
            <w:tcMar>
              <w:top w:w="20" w:type="dxa"/>
              <w:bottom w:w="20" w:type="dxa"/>
              <w:left w:w="40" w:type="dxa"/>
              <w:right w:w="40" w:type="dxa"/>
            </w:tcMar>
          </w:tcPr>
          <w:p>
            <w:pPr>
              <w:pStyle w:val="Compact"/>
              <w:jc w:val="left"/>
            </w:pPr>
            <w:r>
              <w:rPr>
                <w:sz w:val="17"/>
              </w:rPr>
              <w:t xml:space="preserve">↳ [PM] Consolidate Principles; Draft Future-State Process Maps</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P2</w:t>
            </w:r>
          </w:p>
        </w:tc>
        <w:tc>
          <w:tcPr>
            <w:tcW w:type="dxa" w:w="735"/>
            <w:tcMar>
              <w:top w:w="20" w:type="dxa"/>
              <w:bottom w:w="20" w:type="dxa"/>
              <w:left w:w="40" w:type="dxa"/>
              <w:right w:w="40" w:type="dxa"/>
            </w:tcMar>
          </w:tcPr>
          <w:p>
            <w:pPr>
              <w:pStyle w:val="Compact"/>
              <w:jc w:val="left"/>
            </w:pPr>
            <w:r>
              <w:rPr>
                <w:sz w:val="17"/>
              </w:rPr>
              <w:t xml:space="preserve">W7</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P2-T1-S3</w:t>
            </w:r>
          </w:p>
        </w:tc>
        <w:tc>
          <w:tcPr>
            <w:tcW w:type="dxa" w:w="3363"/>
            <w:tcMar>
              <w:top w:w="20" w:type="dxa"/>
              <w:bottom w:w="20" w:type="dxa"/>
              <w:left w:w="40" w:type="dxa"/>
              <w:right w:w="40" w:type="dxa"/>
            </w:tcMar>
          </w:tcPr>
          <w:p>
            <w:pPr>
              <w:pStyle w:val="Compact"/>
              <w:jc w:val="left"/>
            </w:pPr>
            <w:r>
              <w:rPr>
                <w:sz w:val="17"/>
              </w:rPr>
              <w:t xml:space="preserve">↳ [PM] Circulate Principles &amp; Maps for Steering Committee Sign-Off</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P2</w:t>
            </w:r>
          </w:p>
        </w:tc>
        <w:tc>
          <w:tcPr>
            <w:tcW w:type="dxa" w:w="735"/>
            <w:tcMar>
              <w:top w:w="20" w:type="dxa"/>
              <w:bottom w:w="20" w:type="dxa"/>
              <w:left w:w="40" w:type="dxa"/>
              <w:right w:w="40" w:type="dxa"/>
            </w:tcMar>
          </w:tcPr>
          <w:p>
            <w:pPr>
              <w:pStyle w:val="Compact"/>
              <w:jc w:val="left"/>
            </w:pPr>
            <w:r>
              <w:rPr>
                <w:sz w:val="17"/>
              </w:rPr>
              <w:t xml:space="preserve">W8</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P2-T2</w:t>
            </w:r>
          </w:p>
        </w:tc>
        <w:tc>
          <w:tcPr>
            <w:tcW w:type="dxa" w:w="3363"/>
            <w:tcMar>
              <w:top w:w="20" w:type="dxa"/>
              <w:bottom w:w="20" w:type="dxa"/>
              <w:left w:w="40" w:type="dxa"/>
              <w:right w:w="40" w:type="dxa"/>
            </w:tcMar>
          </w:tcPr>
          <w:p>
            <w:pPr>
              <w:pStyle w:val="Compact"/>
              <w:jc w:val="left"/>
            </w:pPr>
            <w:r>
              <w:rPr>
                <w:bCs/>
                <w:b/>
                <w:sz w:val="17"/>
              </w:rPr>
              <w:t xml:space="preserve">Kickoff Communications &amp; FAQ</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P2</w:t>
            </w:r>
          </w:p>
        </w:tc>
        <w:tc>
          <w:tcPr>
            <w:tcW w:type="dxa" w:w="735"/>
            <w:tcMar>
              <w:top w:w="20" w:type="dxa"/>
              <w:bottom w:w="20" w:type="dxa"/>
              <w:left w:w="40" w:type="dxa"/>
              <w:right w:w="40" w:type="dxa"/>
            </w:tcMar>
          </w:tcPr>
          <w:p>
            <w:pPr>
              <w:pStyle w:val="Compact"/>
              <w:jc w:val="left"/>
            </w:pPr>
            <w:r>
              <w:rPr>
                <w:sz w:val="17"/>
              </w:rPr>
              <w:t xml:space="preserve">W9–10</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P2-T2-S1</w:t>
            </w:r>
          </w:p>
        </w:tc>
        <w:tc>
          <w:tcPr>
            <w:tcW w:type="dxa" w:w="3363"/>
            <w:tcMar>
              <w:top w:w="20" w:type="dxa"/>
              <w:bottom w:w="20" w:type="dxa"/>
              <w:left w:w="40" w:type="dxa"/>
              <w:right w:w="40" w:type="dxa"/>
            </w:tcMar>
          </w:tcPr>
          <w:p>
            <w:pPr>
              <w:pStyle w:val="Compact"/>
              <w:jc w:val="left"/>
            </w:pPr>
            <w:r>
              <w:rPr>
                <w:sz w:val="17"/>
              </w:rPr>
              <w:t xml:space="preserve">↳ [CM] Deliver Kickoff Town Hall, All 3 Sites</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P2</w:t>
            </w:r>
          </w:p>
        </w:tc>
        <w:tc>
          <w:tcPr>
            <w:tcW w:type="dxa" w:w="735"/>
            <w:tcMar>
              <w:top w:w="20" w:type="dxa"/>
              <w:bottom w:w="20" w:type="dxa"/>
              <w:left w:w="40" w:type="dxa"/>
              <w:right w:w="40" w:type="dxa"/>
            </w:tcMar>
          </w:tcPr>
          <w:p>
            <w:pPr>
              <w:pStyle w:val="Compact"/>
              <w:jc w:val="left"/>
            </w:pPr>
            <w:r>
              <w:rPr>
                <w:sz w:val="17"/>
              </w:rPr>
              <w:t xml:space="preserve">W9</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P2-T2-S2</w:t>
            </w:r>
          </w:p>
        </w:tc>
        <w:tc>
          <w:tcPr>
            <w:tcW w:type="dxa" w:w="3363"/>
            <w:tcMar>
              <w:top w:w="20" w:type="dxa"/>
              <w:bottom w:w="20" w:type="dxa"/>
              <w:left w:w="40" w:type="dxa"/>
              <w:right w:w="40" w:type="dxa"/>
            </w:tcMar>
          </w:tcPr>
          <w:p>
            <w:pPr>
              <w:pStyle w:val="Compact"/>
              <w:jc w:val="left"/>
            </w:pPr>
            <w:r>
              <w:rPr>
                <w:sz w:val="17"/>
              </w:rPr>
              <w:t xml:space="preserve">↳ [CM] Open &amp; Monitor FAQ Channel</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P2</w:t>
            </w:r>
          </w:p>
        </w:tc>
        <w:tc>
          <w:tcPr>
            <w:tcW w:type="dxa" w:w="735"/>
            <w:tcMar>
              <w:top w:w="20" w:type="dxa"/>
              <w:bottom w:w="20" w:type="dxa"/>
              <w:left w:w="40" w:type="dxa"/>
              <w:right w:w="40" w:type="dxa"/>
            </w:tcMar>
          </w:tcPr>
          <w:p>
            <w:pPr>
              <w:pStyle w:val="Compact"/>
              <w:jc w:val="left"/>
            </w:pPr>
            <w:r>
              <w:rPr>
                <w:sz w:val="17"/>
              </w:rPr>
              <w:t xml:space="preserve">W10</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P2-T3</w:t>
            </w:r>
          </w:p>
        </w:tc>
        <w:tc>
          <w:tcPr>
            <w:tcW w:type="dxa" w:w="3363"/>
            <w:tcMar>
              <w:top w:w="20" w:type="dxa"/>
              <w:bottom w:w="20" w:type="dxa"/>
              <w:left w:w="40" w:type="dxa"/>
              <w:right w:w="40" w:type="dxa"/>
            </w:tcMar>
          </w:tcPr>
          <w:p>
            <w:pPr>
              <w:pStyle w:val="Compact"/>
              <w:jc w:val="left"/>
            </w:pPr>
            <w:r>
              <w:rPr>
                <w:bCs/>
                <w:b/>
                <w:sz w:val="17"/>
              </w:rPr>
              <w:t xml:space="preserve">Baseline Awareness Pulse</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P2</w:t>
            </w:r>
          </w:p>
        </w:tc>
        <w:tc>
          <w:tcPr>
            <w:tcW w:type="dxa" w:w="735"/>
            <w:tcMar>
              <w:top w:w="20" w:type="dxa"/>
              <w:bottom w:w="20" w:type="dxa"/>
              <w:left w:w="40" w:type="dxa"/>
              <w:right w:w="40" w:type="dxa"/>
            </w:tcMar>
          </w:tcPr>
          <w:p>
            <w:pPr>
              <w:pStyle w:val="Compact"/>
              <w:jc w:val="left"/>
            </w:pPr>
            <w:r>
              <w:rPr>
                <w:sz w:val="17"/>
              </w:rPr>
              <w:t xml:space="preserve">W11–12</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P2-T3-S1</w:t>
            </w:r>
          </w:p>
        </w:tc>
        <w:tc>
          <w:tcPr>
            <w:tcW w:type="dxa" w:w="3363"/>
            <w:tcMar>
              <w:top w:w="20" w:type="dxa"/>
              <w:bottom w:w="20" w:type="dxa"/>
              <w:left w:w="40" w:type="dxa"/>
              <w:right w:w="40" w:type="dxa"/>
            </w:tcMar>
          </w:tcPr>
          <w:p>
            <w:pPr>
              <w:pStyle w:val="Compact"/>
              <w:jc w:val="left"/>
            </w:pPr>
            <w:r>
              <w:rPr>
                <w:sz w:val="17"/>
              </w:rPr>
              <w:t xml:space="preserve">↳ [CM] Run Baseline Awareness Pulse per Cohort</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P2</w:t>
            </w:r>
          </w:p>
        </w:tc>
        <w:tc>
          <w:tcPr>
            <w:tcW w:type="dxa" w:w="735"/>
            <w:tcMar>
              <w:top w:w="20" w:type="dxa"/>
              <w:bottom w:w="20" w:type="dxa"/>
              <w:left w:w="40" w:type="dxa"/>
              <w:right w:w="40" w:type="dxa"/>
            </w:tcMar>
          </w:tcPr>
          <w:p>
            <w:pPr>
              <w:pStyle w:val="Compact"/>
              <w:jc w:val="left"/>
            </w:pPr>
            <w:r>
              <w:rPr>
                <w:sz w:val="17"/>
              </w:rPr>
              <w:t xml:space="preserve">W11</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jc w:val="left"/>
            </w:pPr>
            <w:r>
              <w:rPr>
                <w:sz w:val="17"/>
              </w:rPr>
              <w:t xml:space="preserve">Awareness = 3/2/2/4 (baseline, by cohort)</w:t>
            </w: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P2-T3-S2</w:t>
            </w:r>
          </w:p>
        </w:tc>
        <w:tc>
          <w:tcPr>
            <w:tcW w:type="dxa" w:w="3363"/>
            <w:tcMar>
              <w:top w:w="20" w:type="dxa"/>
              <w:bottom w:w="20" w:type="dxa"/>
              <w:left w:w="40" w:type="dxa"/>
              <w:right w:w="40" w:type="dxa"/>
            </w:tcMar>
          </w:tcPr>
          <w:p>
            <w:pPr>
              <w:pStyle w:val="Compact"/>
              <w:jc w:val="left"/>
            </w:pPr>
            <w:r>
              <w:rPr>
                <w:sz w:val="17"/>
              </w:rPr>
              <w:t xml:space="preserve">↳ [CM] Log Barrier-Reason Notes, Auto-Escalated Cohorts</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P2</w:t>
            </w:r>
          </w:p>
        </w:tc>
        <w:tc>
          <w:tcPr>
            <w:tcW w:type="dxa" w:w="735"/>
            <w:tcMar>
              <w:top w:w="20" w:type="dxa"/>
              <w:bottom w:w="20" w:type="dxa"/>
              <w:left w:w="40" w:type="dxa"/>
              <w:right w:w="40" w:type="dxa"/>
            </w:tcMar>
          </w:tcPr>
          <w:p>
            <w:pPr>
              <w:pStyle w:val="Compact"/>
              <w:jc w:val="left"/>
            </w:pPr>
            <w:r>
              <w:rPr>
                <w:sz w:val="17"/>
              </w:rPr>
              <w:t xml:space="preserve">W12</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P2-T4</w:t>
            </w:r>
          </w:p>
        </w:tc>
        <w:tc>
          <w:tcPr>
            <w:tcW w:type="dxa" w:w="3363"/>
            <w:tcMar>
              <w:top w:w="20" w:type="dxa"/>
              <w:bottom w:w="20" w:type="dxa"/>
              <w:left w:w="40" w:type="dxa"/>
              <w:right w:w="40" w:type="dxa"/>
            </w:tcMar>
          </w:tcPr>
          <w:p>
            <w:pPr>
              <w:pStyle w:val="Compact"/>
              <w:jc w:val="left"/>
            </w:pPr>
            <w:r>
              <w:rPr>
                <w:bCs/>
                <w:b/>
                <w:sz w:val="17"/>
              </w:rPr>
              <w:t xml:space="preserve">Champion Recruitment</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P2</w:t>
            </w:r>
          </w:p>
        </w:tc>
        <w:tc>
          <w:tcPr>
            <w:tcW w:type="dxa" w:w="735"/>
            <w:tcMar>
              <w:top w:w="20" w:type="dxa"/>
              <w:bottom w:w="20" w:type="dxa"/>
              <w:left w:w="40" w:type="dxa"/>
              <w:right w:w="40" w:type="dxa"/>
            </w:tcMar>
          </w:tcPr>
          <w:p>
            <w:pPr>
              <w:pStyle w:val="Compact"/>
              <w:jc w:val="left"/>
            </w:pPr>
            <w:r>
              <w:rPr>
                <w:sz w:val="17"/>
              </w:rPr>
              <w:t xml:space="preserve">W13–14</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P2-T4-S1</w:t>
            </w:r>
          </w:p>
        </w:tc>
        <w:tc>
          <w:tcPr>
            <w:tcW w:type="dxa" w:w="3363"/>
            <w:tcMar>
              <w:top w:w="20" w:type="dxa"/>
              <w:bottom w:w="20" w:type="dxa"/>
              <w:left w:w="40" w:type="dxa"/>
              <w:right w:w="40" w:type="dxa"/>
            </w:tcMar>
          </w:tcPr>
          <w:p>
            <w:pPr>
              <w:pStyle w:val="Compact"/>
              <w:jc w:val="left"/>
            </w:pPr>
            <w:r>
              <w:rPr>
                <w:sz w:val="17"/>
              </w:rPr>
              <w:t xml:space="preserve">↳ [CM] Identify Candidate Champions per Site</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P2</w:t>
            </w:r>
          </w:p>
        </w:tc>
        <w:tc>
          <w:tcPr>
            <w:tcW w:type="dxa" w:w="735"/>
            <w:tcMar>
              <w:top w:w="20" w:type="dxa"/>
              <w:bottom w:w="20" w:type="dxa"/>
              <w:left w:w="40" w:type="dxa"/>
              <w:right w:w="40" w:type="dxa"/>
            </w:tcMar>
          </w:tcPr>
          <w:p>
            <w:pPr>
              <w:pStyle w:val="Compact"/>
              <w:jc w:val="left"/>
            </w:pPr>
            <w:r>
              <w:rPr>
                <w:sz w:val="17"/>
              </w:rPr>
              <w:t xml:space="preserve">W13</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P2-T4-S2</w:t>
            </w:r>
          </w:p>
        </w:tc>
        <w:tc>
          <w:tcPr>
            <w:tcW w:type="dxa" w:w="3363"/>
            <w:tcMar>
              <w:top w:w="20" w:type="dxa"/>
              <w:bottom w:w="20" w:type="dxa"/>
              <w:left w:w="40" w:type="dxa"/>
              <w:right w:w="40" w:type="dxa"/>
            </w:tcMar>
          </w:tcPr>
          <w:p>
            <w:pPr>
              <w:pStyle w:val="Compact"/>
              <w:jc w:val="left"/>
            </w:pPr>
            <w:r>
              <w:rPr>
                <w:sz w:val="17"/>
              </w:rPr>
              <w:t xml:space="preserve">↳ [CM] Log Champion Roster Against Stakeholder Map</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P2</w:t>
            </w:r>
          </w:p>
        </w:tc>
        <w:tc>
          <w:tcPr>
            <w:tcW w:type="dxa" w:w="735"/>
            <w:tcMar>
              <w:top w:w="20" w:type="dxa"/>
              <w:bottom w:w="20" w:type="dxa"/>
              <w:left w:w="40" w:type="dxa"/>
              <w:right w:w="40" w:type="dxa"/>
            </w:tcMar>
          </w:tcPr>
          <w:p>
            <w:pPr>
              <w:pStyle w:val="Compact"/>
              <w:jc w:val="left"/>
            </w:pPr>
            <w:r>
              <w:rPr>
                <w:sz w:val="17"/>
              </w:rPr>
              <w:t xml:space="preserve">W14</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P3-T1</w:t>
            </w:r>
          </w:p>
        </w:tc>
        <w:tc>
          <w:tcPr>
            <w:tcW w:type="dxa" w:w="3363"/>
            <w:tcMar>
              <w:top w:w="20" w:type="dxa"/>
              <w:bottom w:w="20" w:type="dxa"/>
              <w:left w:w="40" w:type="dxa"/>
              <w:right w:w="40" w:type="dxa"/>
            </w:tcMar>
          </w:tcPr>
          <w:p>
            <w:pPr>
              <w:pStyle w:val="Compact"/>
              <w:jc w:val="left"/>
            </w:pPr>
            <w:r>
              <w:rPr>
                <w:bCs/>
                <w:b/>
                <w:sz w:val="17"/>
              </w:rPr>
              <w:t xml:space="preserve">Configuration Sprint 1 &amp; Principle Traceability</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P3</w:t>
            </w:r>
          </w:p>
        </w:tc>
        <w:tc>
          <w:tcPr>
            <w:tcW w:type="dxa" w:w="735"/>
            <w:tcMar>
              <w:top w:w="20" w:type="dxa"/>
              <w:bottom w:w="20" w:type="dxa"/>
              <w:left w:w="40" w:type="dxa"/>
              <w:right w:w="40" w:type="dxa"/>
            </w:tcMar>
          </w:tcPr>
          <w:p>
            <w:pPr>
              <w:pStyle w:val="Compact"/>
              <w:jc w:val="left"/>
            </w:pPr>
            <w:r>
              <w:rPr>
                <w:sz w:val="17"/>
              </w:rPr>
              <w:t xml:space="preserve">W12–14</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P3-T1-S1</w:t>
            </w:r>
          </w:p>
        </w:tc>
        <w:tc>
          <w:tcPr>
            <w:tcW w:type="dxa" w:w="3363"/>
            <w:tcMar>
              <w:top w:w="20" w:type="dxa"/>
              <w:bottom w:w="20" w:type="dxa"/>
              <w:left w:w="40" w:type="dxa"/>
              <w:right w:w="40" w:type="dxa"/>
            </w:tcMar>
          </w:tcPr>
          <w:p>
            <w:pPr>
              <w:pStyle w:val="Compact"/>
              <w:jc w:val="left"/>
            </w:pPr>
            <w:r>
              <w:rPr>
                <w:sz w:val="17"/>
              </w:rPr>
              <w:t xml:space="preserve">↳ [PM] Stand Up Config Environment; Begin Sprint 1</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P3</w:t>
            </w:r>
          </w:p>
        </w:tc>
        <w:tc>
          <w:tcPr>
            <w:tcW w:type="dxa" w:w="735"/>
            <w:tcMar>
              <w:top w:w="20" w:type="dxa"/>
              <w:bottom w:w="20" w:type="dxa"/>
              <w:left w:w="40" w:type="dxa"/>
              <w:right w:w="40" w:type="dxa"/>
            </w:tcMar>
          </w:tcPr>
          <w:p>
            <w:pPr>
              <w:pStyle w:val="Compact"/>
              <w:jc w:val="left"/>
            </w:pPr>
            <w:r>
              <w:rPr>
                <w:sz w:val="17"/>
              </w:rPr>
              <w:t xml:space="preserve">W12</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P3-T1-S2</w:t>
            </w:r>
          </w:p>
        </w:tc>
        <w:tc>
          <w:tcPr>
            <w:tcW w:type="dxa" w:w="3363"/>
            <w:tcMar>
              <w:top w:w="20" w:type="dxa"/>
              <w:bottom w:w="20" w:type="dxa"/>
              <w:left w:w="40" w:type="dxa"/>
              <w:right w:w="40" w:type="dxa"/>
            </w:tcMar>
          </w:tcPr>
          <w:p>
            <w:pPr>
              <w:pStyle w:val="Compact"/>
              <w:jc w:val="left"/>
            </w:pPr>
            <w:r>
              <w:rPr>
                <w:sz w:val="17"/>
              </w:rPr>
              <w:t xml:space="preserve">↳ [PM] Close Sprint 1; Log Decisions vs. Principles</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P3</w:t>
            </w:r>
          </w:p>
        </w:tc>
        <w:tc>
          <w:tcPr>
            <w:tcW w:type="dxa" w:w="735"/>
            <w:tcMar>
              <w:top w:w="20" w:type="dxa"/>
              <w:bottom w:w="20" w:type="dxa"/>
              <w:left w:w="40" w:type="dxa"/>
              <w:right w:w="40" w:type="dxa"/>
            </w:tcMar>
          </w:tcPr>
          <w:p>
            <w:pPr>
              <w:pStyle w:val="Compact"/>
              <w:jc w:val="left"/>
            </w:pPr>
            <w:r>
              <w:rPr>
                <w:sz w:val="17"/>
              </w:rPr>
              <w:t xml:space="preserve">W14</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P3-T2</w:t>
            </w:r>
          </w:p>
        </w:tc>
        <w:tc>
          <w:tcPr>
            <w:tcW w:type="dxa" w:w="3363"/>
            <w:tcMar>
              <w:top w:w="20" w:type="dxa"/>
              <w:bottom w:w="20" w:type="dxa"/>
              <w:left w:w="40" w:type="dxa"/>
              <w:right w:w="40" w:type="dxa"/>
            </w:tcMar>
          </w:tcPr>
          <w:p>
            <w:pPr>
              <w:pStyle w:val="Compact"/>
              <w:jc w:val="left"/>
            </w:pPr>
            <w:r>
              <w:rPr>
                <w:bCs/>
                <w:b/>
                <w:sz w:val="17"/>
              </w:rPr>
              <w:t xml:space="preserve">Champion Briefing &amp; Observation-Logging Path</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P3</w:t>
            </w:r>
          </w:p>
        </w:tc>
        <w:tc>
          <w:tcPr>
            <w:tcW w:type="dxa" w:w="735"/>
            <w:tcMar>
              <w:top w:w="20" w:type="dxa"/>
              <w:bottom w:w="20" w:type="dxa"/>
              <w:left w:w="40" w:type="dxa"/>
              <w:right w:w="40" w:type="dxa"/>
            </w:tcMar>
          </w:tcPr>
          <w:p>
            <w:pPr>
              <w:pStyle w:val="Compact"/>
              <w:jc w:val="left"/>
            </w:pPr>
            <w:r>
              <w:rPr>
                <w:sz w:val="17"/>
              </w:rPr>
              <w:t xml:space="preserve">W16–17</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P3-T2-S1</w:t>
            </w:r>
          </w:p>
        </w:tc>
        <w:tc>
          <w:tcPr>
            <w:tcW w:type="dxa" w:w="3363"/>
            <w:tcMar>
              <w:top w:w="20" w:type="dxa"/>
              <w:bottom w:w="20" w:type="dxa"/>
              <w:left w:w="40" w:type="dxa"/>
              <w:right w:w="40" w:type="dxa"/>
            </w:tcMar>
          </w:tcPr>
          <w:p>
            <w:pPr>
              <w:pStyle w:val="Compact"/>
              <w:jc w:val="left"/>
            </w:pPr>
            <w:r>
              <w:rPr>
                <w:sz w:val="17"/>
              </w:rPr>
              <w:t xml:space="preserve">↳ [CM] Run Champion Briefing per Site</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P3</w:t>
            </w:r>
          </w:p>
        </w:tc>
        <w:tc>
          <w:tcPr>
            <w:tcW w:type="dxa" w:w="735"/>
            <w:tcMar>
              <w:top w:w="20" w:type="dxa"/>
              <w:bottom w:w="20" w:type="dxa"/>
              <w:left w:w="40" w:type="dxa"/>
              <w:right w:w="40" w:type="dxa"/>
            </w:tcMar>
          </w:tcPr>
          <w:p>
            <w:pPr>
              <w:pStyle w:val="Compact"/>
              <w:jc w:val="left"/>
            </w:pPr>
            <w:r>
              <w:rPr>
                <w:sz w:val="17"/>
              </w:rPr>
              <w:t xml:space="preserve">W16</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P3-T2-S2</w:t>
            </w:r>
          </w:p>
        </w:tc>
        <w:tc>
          <w:tcPr>
            <w:tcW w:type="dxa" w:w="3363"/>
            <w:tcMar>
              <w:top w:w="20" w:type="dxa"/>
              <w:bottom w:w="20" w:type="dxa"/>
              <w:left w:w="40" w:type="dxa"/>
              <w:right w:w="40" w:type="dxa"/>
            </w:tcMar>
          </w:tcPr>
          <w:p>
            <w:pPr>
              <w:pStyle w:val="Compact"/>
              <w:jc w:val="left"/>
            </w:pPr>
            <w:r>
              <w:rPr>
                <w:sz w:val="17"/>
              </w:rPr>
              <w:t xml:space="preserve">↳ [CM] Confirm Observation-Logging Path per Champion</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P3</w:t>
            </w:r>
          </w:p>
        </w:tc>
        <w:tc>
          <w:tcPr>
            <w:tcW w:type="dxa" w:w="735"/>
            <w:tcMar>
              <w:top w:w="20" w:type="dxa"/>
              <w:bottom w:w="20" w:type="dxa"/>
              <w:left w:w="40" w:type="dxa"/>
              <w:right w:w="40" w:type="dxa"/>
            </w:tcMar>
          </w:tcPr>
          <w:p>
            <w:pPr>
              <w:pStyle w:val="Compact"/>
              <w:jc w:val="left"/>
            </w:pPr>
            <w:r>
              <w:rPr>
                <w:sz w:val="17"/>
              </w:rPr>
              <w:t xml:space="preserve">W17</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P3-T3</w:t>
            </w:r>
          </w:p>
        </w:tc>
        <w:tc>
          <w:tcPr>
            <w:tcW w:type="dxa" w:w="3363"/>
            <w:tcMar>
              <w:top w:w="20" w:type="dxa"/>
              <w:bottom w:w="20" w:type="dxa"/>
              <w:left w:w="40" w:type="dxa"/>
              <w:right w:w="40" w:type="dxa"/>
            </w:tcMar>
          </w:tcPr>
          <w:p>
            <w:pPr>
              <w:pStyle w:val="Compact"/>
              <w:jc w:val="left"/>
            </w:pPr>
            <w:r>
              <w:rPr>
                <w:bCs/>
                <w:b/>
                <w:sz w:val="17"/>
              </w:rPr>
              <w:t xml:space="preserve">Desire Re-Scoring &amp; Barrier Response (E1)</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P3</w:t>
            </w:r>
          </w:p>
        </w:tc>
        <w:tc>
          <w:tcPr>
            <w:tcW w:type="dxa" w:w="735"/>
            <w:tcMar>
              <w:top w:w="20" w:type="dxa"/>
              <w:bottom w:w="20" w:type="dxa"/>
              <w:left w:w="40" w:type="dxa"/>
              <w:right w:w="40" w:type="dxa"/>
            </w:tcMar>
          </w:tcPr>
          <w:p>
            <w:pPr>
              <w:pStyle w:val="Compact"/>
              <w:jc w:val="left"/>
            </w:pPr>
            <w:r>
              <w:rPr>
                <w:sz w:val="17"/>
              </w:rPr>
              <w:t xml:space="preserve">W18–24</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P3-T3-S1</w:t>
            </w:r>
          </w:p>
        </w:tc>
        <w:tc>
          <w:tcPr>
            <w:tcW w:type="dxa" w:w="3363"/>
            <w:tcMar>
              <w:top w:w="20" w:type="dxa"/>
              <w:bottom w:w="20" w:type="dxa"/>
              <w:left w:w="40" w:type="dxa"/>
              <w:right w:w="40" w:type="dxa"/>
            </w:tcMar>
          </w:tcPr>
          <w:p>
            <w:pPr>
              <w:pStyle w:val="Compact"/>
              <w:jc w:val="left"/>
            </w:pPr>
            <w:r>
              <w:rPr>
                <w:sz w:val="17"/>
              </w:rPr>
              <w:t xml:space="preserve">↳ [CM] Re-Score Desire per Cohort</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P3</w:t>
            </w:r>
          </w:p>
        </w:tc>
        <w:tc>
          <w:tcPr>
            <w:tcW w:type="dxa" w:w="735"/>
            <w:tcMar>
              <w:top w:w="20" w:type="dxa"/>
              <w:bottom w:w="20" w:type="dxa"/>
              <w:left w:w="40" w:type="dxa"/>
              <w:right w:w="40" w:type="dxa"/>
            </w:tcMar>
          </w:tcPr>
          <w:p>
            <w:pPr>
              <w:pStyle w:val="Compact"/>
              <w:jc w:val="left"/>
            </w:pPr>
            <w:r>
              <w:rPr>
                <w:sz w:val="17"/>
              </w:rPr>
              <w:t xml:space="preserve">W18</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jc w:val="left"/>
            </w:pPr>
            <w:r>
              <w:rPr>
                <w:sz w:val="17"/>
              </w:rPr>
              <w:t xml:space="preserve">Desire = 3/3/2 (Settat auto-escalates)</w:t>
            </w: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P3-T3-S2</w:t>
            </w:r>
          </w:p>
        </w:tc>
        <w:tc>
          <w:tcPr>
            <w:tcW w:type="dxa" w:w="3363"/>
            <w:tcMar>
              <w:top w:w="20" w:type="dxa"/>
              <w:bottom w:w="20" w:type="dxa"/>
              <w:left w:w="40" w:type="dxa"/>
              <w:right w:w="40" w:type="dxa"/>
            </w:tcMar>
          </w:tcPr>
          <w:p>
            <w:pPr>
              <w:pStyle w:val="Compact"/>
              <w:jc w:val="left"/>
            </w:pPr>
            <w:r>
              <w:rPr>
                <w:sz w:val="17"/>
              </w:rPr>
              <w:t xml:space="preserve">↳ [CM] Log Mandatory Barrier-Reason Note, Settat — opens E1 (Recovery Tasks 1–5, 1B.4)</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P3</w:t>
            </w:r>
          </w:p>
        </w:tc>
        <w:tc>
          <w:tcPr>
            <w:tcW w:type="dxa" w:w="735"/>
            <w:tcMar>
              <w:top w:w="20" w:type="dxa"/>
              <w:bottom w:w="20" w:type="dxa"/>
              <w:left w:w="40" w:type="dxa"/>
              <w:right w:w="40" w:type="dxa"/>
            </w:tcMar>
          </w:tcPr>
          <w:p>
            <w:pPr>
              <w:pStyle w:val="Compact"/>
              <w:jc w:val="left"/>
            </w:pPr>
            <w:r>
              <w:rPr>
                <w:sz w:val="17"/>
              </w:rPr>
              <w:t xml:space="preserve">W19–24</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jc w:val="left"/>
            </w:pPr>
            <w:r>
              <w:rPr>
                <w:sz w:val="17"/>
              </w:rPr>
              <w:t xml:space="preserve">Desire Settat 2 → 3 (W24, post-E1)</w:t>
            </w: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jc w:val="left"/>
            </w:pPr>
            <w:r>
              <w:rPr>
                <w:sz w:val="17"/>
              </w:rPr>
              <w:t xml:space="preserve">Settat Denial → Resistance/Anger (W24)</w:t>
            </w:r>
          </w:p>
        </w:tc>
      </w:tr>
      <w:tr>
        <w:trPr>
          <w:cantSplit/>
        </w:trPr>
        <w:tc>
          <w:tcPr>
            <w:tcW w:type="dxa" w:w="1156"/>
            <w:tcMar>
              <w:top w:w="20" w:type="dxa"/>
              <w:bottom w:w="20" w:type="dxa"/>
              <w:left w:w="40" w:type="dxa"/>
              <w:right w:w="40" w:type="dxa"/>
            </w:tcMar>
          </w:tcPr>
          <w:p>
            <w:pPr>
              <w:pStyle w:val="Compact"/>
              <w:jc w:val="left"/>
            </w:pPr>
            <w:r>
              <w:rPr>
                <w:bCs/>
                <w:b/>
                <w:sz w:val="17"/>
              </w:rPr>
              <w:t xml:space="preserve">P3-T4</w:t>
            </w:r>
          </w:p>
        </w:tc>
        <w:tc>
          <w:tcPr>
            <w:tcW w:type="dxa" w:w="3363"/>
            <w:tcMar>
              <w:top w:w="20" w:type="dxa"/>
              <w:bottom w:w="20" w:type="dxa"/>
              <w:left w:w="40" w:type="dxa"/>
              <w:right w:w="40" w:type="dxa"/>
            </w:tcMar>
          </w:tcPr>
          <w:p>
            <w:pPr>
              <w:pStyle w:val="Compact"/>
              <w:jc w:val="left"/>
            </w:pPr>
            <w:r>
              <w:rPr>
                <w:bCs/>
                <w:b/>
                <w:sz w:val="17"/>
              </w:rPr>
              <w:t xml:space="preserve">Evidence Review &amp; Lewin = Change Call</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P3</w:t>
            </w:r>
          </w:p>
        </w:tc>
        <w:tc>
          <w:tcPr>
            <w:tcW w:type="dxa" w:w="735"/>
            <w:tcMar>
              <w:top w:w="20" w:type="dxa"/>
              <w:bottom w:w="20" w:type="dxa"/>
              <w:left w:w="40" w:type="dxa"/>
              <w:right w:w="40" w:type="dxa"/>
            </w:tcMar>
          </w:tcPr>
          <w:p>
            <w:pPr>
              <w:pStyle w:val="Compact"/>
              <w:jc w:val="left"/>
            </w:pPr>
            <w:r>
              <w:rPr>
                <w:sz w:val="17"/>
              </w:rPr>
              <w:t xml:space="preserve">W28–29</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P3-T4-S1</w:t>
            </w:r>
          </w:p>
        </w:tc>
        <w:tc>
          <w:tcPr>
            <w:tcW w:type="dxa" w:w="3363"/>
            <w:tcMar>
              <w:top w:w="20" w:type="dxa"/>
              <w:bottom w:w="20" w:type="dxa"/>
              <w:left w:w="40" w:type="dxa"/>
              <w:right w:w="40" w:type="dxa"/>
            </w:tcMar>
          </w:tcPr>
          <w:p>
            <w:pPr>
              <w:pStyle w:val="Compact"/>
              <w:jc w:val="left"/>
            </w:pPr>
            <w:r>
              <w:rPr>
                <w:sz w:val="17"/>
              </w:rPr>
              <w:t xml:space="preserve">↳ [CM] Review Evidence Against Signal Catalogue</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P3</w:t>
            </w:r>
          </w:p>
        </w:tc>
        <w:tc>
          <w:tcPr>
            <w:tcW w:type="dxa" w:w="735"/>
            <w:tcMar>
              <w:top w:w="20" w:type="dxa"/>
              <w:bottom w:w="20" w:type="dxa"/>
              <w:left w:w="40" w:type="dxa"/>
              <w:right w:w="40" w:type="dxa"/>
            </w:tcMar>
          </w:tcPr>
          <w:p>
            <w:pPr>
              <w:pStyle w:val="Compact"/>
              <w:jc w:val="left"/>
            </w:pPr>
            <w:r>
              <w:rPr>
                <w:sz w:val="17"/>
              </w:rPr>
              <w:t xml:space="preserve">W28</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P3-T4-S2</w:t>
            </w:r>
          </w:p>
        </w:tc>
        <w:tc>
          <w:tcPr>
            <w:tcW w:type="dxa" w:w="3363"/>
            <w:tcMar>
              <w:top w:w="20" w:type="dxa"/>
              <w:bottom w:w="20" w:type="dxa"/>
              <w:left w:w="40" w:type="dxa"/>
              <w:right w:w="40" w:type="dxa"/>
            </w:tcMar>
          </w:tcPr>
          <w:p>
            <w:pPr>
              <w:pStyle w:val="Compact"/>
              <w:jc w:val="left"/>
            </w:pPr>
            <w:r>
              <w:rPr>
                <w:sz w:val="17"/>
              </w:rPr>
              <w:t xml:space="preserve">↳ [CM] Set Lewin = Change, with Justification</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P3</w:t>
            </w:r>
          </w:p>
        </w:tc>
        <w:tc>
          <w:tcPr>
            <w:tcW w:type="dxa" w:w="735"/>
            <w:tcMar>
              <w:top w:w="20" w:type="dxa"/>
              <w:bottom w:w="20" w:type="dxa"/>
              <w:left w:w="40" w:type="dxa"/>
              <w:right w:w="40" w:type="dxa"/>
            </w:tcMar>
          </w:tcPr>
          <w:p>
            <w:pPr>
              <w:pStyle w:val="Compact"/>
              <w:jc w:val="left"/>
            </w:pPr>
            <w:r>
              <w:rPr>
                <w:sz w:val="17"/>
              </w:rPr>
              <w:t xml:space="preserve">W29</w:t>
            </w:r>
          </w:p>
        </w:tc>
        <w:tc>
          <w:tcPr>
            <w:tcW w:type="dxa" w:w="840"/>
            <w:tcMar>
              <w:top w:w="20" w:type="dxa"/>
              <w:bottom w:w="20" w:type="dxa"/>
              <w:left w:w="40" w:type="dxa"/>
              <w:right w:w="40" w:type="dxa"/>
            </w:tcMar>
          </w:tcPr>
          <w:p>
            <w:pPr>
              <w:pStyle w:val="Compact"/>
              <w:jc w:val="left"/>
            </w:pPr>
            <w:r>
              <w:rPr>
                <w:sz w:val="17"/>
              </w:rPr>
              <w:t xml:space="preserve">Unfreeze → Change</w:t>
            </w: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P4-T1</w:t>
            </w:r>
          </w:p>
        </w:tc>
        <w:tc>
          <w:tcPr>
            <w:tcW w:type="dxa" w:w="3363"/>
            <w:tcMar>
              <w:top w:w="20" w:type="dxa"/>
              <w:bottom w:w="20" w:type="dxa"/>
              <w:left w:w="40" w:type="dxa"/>
              <w:right w:w="40" w:type="dxa"/>
            </w:tcMar>
          </w:tcPr>
          <w:p>
            <w:pPr>
              <w:pStyle w:val="Compact"/>
              <w:jc w:val="left"/>
            </w:pPr>
            <w:r>
              <w:rPr>
                <w:bCs/>
                <w:b/>
                <w:sz w:val="17"/>
              </w:rPr>
              <w:t xml:space="preserve">SIT Execution &amp; Defect Triage</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P4</w:t>
            </w:r>
          </w:p>
        </w:tc>
        <w:tc>
          <w:tcPr>
            <w:tcW w:type="dxa" w:w="735"/>
            <w:tcMar>
              <w:top w:w="20" w:type="dxa"/>
              <w:bottom w:w="20" w:type="dxa"/>
              <w:left w:w="40" w:type="dxa"/>
              <w:right w:w="40" w:type="dxa"/>
            </w:tcMar>
          </w:tcPr>
          <w:p>
            <w:pPr>
              <w:pStyle w:val="Compact"/>
              <w:jc w:val="left"/>
            </w:pPr>
            <w:r>
              <w:rPr>
                <w:sz w:val="17"/>
              </w:rPr>
              <w:t xml:space="preserve">W28–29</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P4-T1-S1</w:t>
            </w:r>
          </w:p>
        </w:tc>
        <w:tc>
          <w:tcPr>
            <w:tcW w:type="dxa" w:w="3363"/>
            <w:tcMar>
              <w:top w:w="20" w:type="dxa"/>
              <w:bottom w:w="20" w:type="dxa"/>
              <w:left w:w="40" w:type="dxa"/>
              <w:right w:w="40" w:type="dxa"/>
            </w:tcMar>
          </w:tcPr>
          <w:p>
            <w:pPr>
              <w:pStyle w:val="Compact"/>
              <w:jc w:val="left"/>
            </w:pPr>
            <w:r>
              <w:rPr>
                <w:sz w:val="17"/>
              </w:rPr>
              <w:t xml:space="preserve">↳ [PM] Run SIT Test Script, 40 Scenarios</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P4</w:t>
            </w:r>
          </w:p>
        </w:tc>
        <w:tc>
          <w:tcPr>
            <w:tcW w:type="dxa" w:w="735"/>
            <w:tcMar>
              <w:top w:w="20" w:type="dxa"/>
              <w:bottom w:w="20" w:type="dxa"/>
              <w:left w:w="40" w:type="dxa"/>
              <w:right w:w="40" w:type="dxa"/>
            </w:tcMar>
          </w:tcPr>
          <w:p>
            <w:pPr>
              <w:pStyle w:val="Compact"/>
              <w:jc w:val="left"/>
            </w:pPr>
            <w:r>
              <w:rPr>
                <w:sz w:val="17"/>
              </w:rPr>
              <w:t xml:space="preserve">W28</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P4-T1-S2</w:t>
            </w:r>
          </w:p>
        </w:tc>
        <w:tc>
          <w:tcPr>
            <w:tcW w:type="dxa" w:w="3363"/>
            <w:tcMar>
              <w:top w:w="20" w:type="dxa"/>
              <w:bottom w:w="20" w:type="dxa"/>
              <w:left w:w="40" w:type="dxa"/>
              <w:right w:w="40" w:type="dxa"/>
            </w:tcMar>
          </w:tcPr>
          <w:p>
            <w:pPr>
              <w:pStyle w:val="Compact"/>
              <w:jc w:val="left"/>
            </w:pPr>
            <w:r>
              <w:rPr>
                <w:sz w:val="17"/>
              </w:rPr>
              <w:t xml:space="preserve">↳ [PM] Triage &amp; Close SIT Defects by Severity</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P4</w:t>
            </w:r>
          </w:p>
        </w:tc>
        <w:tc>
          <w:tcPr>
            <w:tcW w:type="dxa" w:w="735"/>
            <w:tcMar>
              <w:top w:w="20" w:type="dxa"/>
              <w:bottom w:w="20" w:type="dxa"/>
              <w:left w:w="40" w:type="dxa"/>
              <w:right w:w="40" w:type="dxa"/>
            </w:tcMar>
          </w:tcPr>
          <w:p>
            <w:pPr>
              <w:pStyle w:val="Compact"/>
              <w:jc w:val="left"/>
            </w:pPr>
            <w:r>
              <w:rPr>
                <w:sz w:val="17"/>
              </w:rPr>
              <w:t xml:space="preserve">W29</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P4-T2</w:t>
            </w:r>
          </w:p>
        </w:tc>
        <w:tc>
          <w:tcPr>
            <w:tcW w:type="dxa" w:w="3363"/>
            <w:tcMar>
              <w:top w:w="20" w:type="dxa"/>
              <w:bottom w:w="20" w:type="dxa"/>
              <w:left w:w="40" w:type="dxa"/>
              <w:right w:w="40" w:type="dxa"/>
            </w:tcMar>
          </w:tcPr>
          <w:p>
            <w:pPr>
              <w:pStyle w:val="Compact"/>
              <w:jc w:val="left"/>
            </w:pPr>
            <w:r>
              <w:rPr>
                <w:bCs/>
                <w:b/>
                <w:sz w:val="17"/>
              </w:rPr>
              <w:t xml:space="preserve">UAT Recruitment &amp; Roster</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P4</w:t>
            </w:r>
          </w:p>
        </w:tc>
        <w:tc>
          <w:tcPr>
            <w:tcW w:type="dxa" w:w="735"/>
            <w:tcMar>
              <w:top w:w="20" w:type="dxa"/>
              <w:bottom w:w="20" w:type="dxa"/>
              <w:left w:w="40" w:type="dxa"/>
              <w:right w:w="40" w:type="dxa"/>
            </w:tcMar>
          </w:tcPr>
          <w:p>
            <w:pPr>
              <w:pStyle w:val="Compact"/>
              <w:jc w:val="left"/>
            </w:pPr>
            <w:r>
              <w:rPr>
                <w:sz w:val="17"/>
              </w:rPr>
              <w:t xml:space="preserve">W30–31</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P4-T2-S1</w:t>
            </w:r>
          </w:p>
        </w:tc>
        <w:tc>
          <w:tcPr>
            <w:tcW w:type="dxa" w:w="3363"/>
            <w:tcMar>
              <w:top w:w="20" w:type="dxa"/>
              <w:bottom w:w="20" w:type="dxa"/>
              <w:left w:w="40" w:type="dxa"/>
              <w:right w:w="40" w:type="dxa"/>
            </w:tcMar>
          </w:tcPr>
          <w:p>
            <w:pPr>
              <w:pStyle w:val="Compact"/>
              <w:jc w:val="left"/>
            </w:pPr>
            <w:r>
              <w:rPr>
                <w:sz w:val="17"/>
              </w:rPr>
              <w:t xml:space="preserve">↳ [CM] Select UAT Participants, Proportionate to Site</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P4</w:t>
            </w:r>
          </w:p>
        </w:tc>
        <w:tc>
          <w:tcPr>
            <w:tcW w:type="dxa" w:w="735"/>
            <w:tcMar>
              <w:top w:w="20" w:type="dxa"/>
              <w:bottom w:w="20" w:type="dxa"/>
              <w:left w:w="40" w:type="dxa"/>
              <w:right w:w="40" w:type="dxa"/>
            </w:tcMar>
          </w:tcPr>
          <w:p>
            <w:pPr>
              <w:pStyle w:val="Compact"/>
              <w:jc w:val="left"/>
            </w:pPr>
            <w:r>
              <w:rPr>
                <w:sz w:val="17"/>
              </w:rPr>
              <w:t xml:space="preserve">W30</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P4-T2-S2</w:t>
            </w:r>
          </w:p>
        </w:tc>
        <w:tc>
          <w:tcPr>
            <w:tcW w:type="dxa" w:w="3363"/>
            <w:tcMar>
              <w:top w:w="20" w:type="dxa"/>
              <w:bottom w:w="20" w:type="dxa"/>
              <w:left w:w="40" w:type="dxa"/>
              <w:right w:w="40" w:type="dxa"/>
            </w:tcMar>
          </w:tcPr>
          <w:p>
            <w:pPr>
              <w:pStyle w:val="Compact"/>
              <w:jc w:val="left"/>
            </w:pPr>
            <w:r>
              <w:rPr>
                <w:sz w:val="17"/>
              </w:rPr>
              <w:t xml:space="preserve">↳ [CM] Log UAT Roster &amp; Acceptance Criteria</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P4</w:t>
            </w:r>
          </w:p>
        </w:tc>
        <w:tc>
          <w:tcPr>
            <w:tcW w:type="dxa" w:w="735"/>
            <w:tcMar>
              <w:top w:w="20" w:type="dxa"/>
              <w:bottom w:w="20" w:type="dxa"/>
              <w:left w:w="40" w:type="dxa"/>
              <w:right w:w="40" w:type="dxa"/>
            </w:tcMar>
          </w:tcPr>
          <w:p>
            <w:pPr>
              <w:pStyle w:val="Compact"/>
              <w:jc w:val="left"/>
            </w:pPr>
            <w:r>
              <w:rPr>
                <w:sz w:val="17"/>
              </w:rPr>
              <w:t xml:space="preserve">W31</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P4-T3</w:t>
            </w:r>
          </w:p>
        </w:tc>
        <w:tc>
          <w:tcPr>
            <w:tcW w:type="dxa" w:w="3363"/>
            <w:tcMar>
              <w:top w:w="20" w:type="dxa"/>
              <w:bottom w:w="20" w:type="dxa"/>
              <w:left w:w="40" w:type="dxa"/>
              <w:right w:w="40" w:type="dxa"/>
            </w:tcMar>
          </w:tcPr>
          <w:p>
            <w:pPr>
              <w:pStyle w:val="Compact"/>
              <w:jc w:val="left"/>
            </w:pPr>
            <w:r>
              <w:rPr>
                <w:bCs/>
                <w:b/>
                <w:sz w:val="17"/>
              </w:rPr>
              <w:t xml:space="preserve">UAT Execution &amp; Knowledge Scoring</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P4</w:t>
            </w:r>
          </w:p>
        </w:tc>
        <w:tc>
          <w:tcPr>
            <w:tcW w:type="dxa" w:w="735"/>
            <w:tcMar>
              <w:top w:w="20" w:type="dxa"/>
              <w:bottom w:w="20" w:type="dxa"/>
              <w:left w:w="40" w:type="dxa"/>
              <w:right w:w="40" w:type="dxa"/>
            </w:tcMar>
          </w:tcPr>
          <w:p>
            <w:pPr>
              <w:pStyle w:val="Compact"/>
              <w:jc w:val="left"/>
            </w:pPr>
            <w:r>
              <w:rPr>
                <w:sz w:val="17"/>
              </w:rPr>
              <w:t xml:space="preserve">W32–33</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P4-T3-S1</w:t>
            </w:r>
          </w:p>
        </w:tc>
        <w:tc>
          <w:tcPr>
            <w:tcW w:type="dxa" w:w="3363"/>
            <w:tcMar>
              <w:top w:w="20" w:type="dxa"/>
              <w:bottom w:w="20" w:type="dxa"/>
              <w:left w:w="40" w:type="dxa"/>
              <w:right w:w="40" w:type="dxa"/>
            </w:tcMar>
          </w:tcPr>
          <w:p>
            <w:pPr>
              <w:pStyle w:val="Compact"/>
              <w:jc w:val="left"/>
            </w:pPr>
            <w:r>
              <w:rPr>
                <w:sz w:val="17"/>
              </w:rPr>
              <w:t xml:space="preserve">↳ [CM] Run UAT Scenarios, Casablanca Finance</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P4</w:t>
            </w:r>
          </w:p>
        </w:tc>
        <w:tc>
          <w:tcPr>
            <w:tcW w:type="dxa" w:w="735"/>
            <w:tcMar>
              <w:top w:w="20" w:type="dxa"/>
              <w:bottom w:w="20" w:type="dxa"/>
              <w:left w:w="40" w:type="dxa"/>
              <w:right w:w="40" w:type="dxa"/>
            </w:tcMar>
          </w:tcPr>
          <w:p>
            <w:pPr>
              <w:pStyle w:val="Compact"/>
              <w:jc w:val="left"/>
            </w:pPr>
            <w:r>
              <w:rPr>
                <w:sz w:val="17"/>
              </w:rPr>
              <w:t xml:space="preserve">W32</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jc w:val="left"/>
            </w:pPr>
            <w:r>
              <w:rPr>
                <w:sz w:val="17"/>
              </w:rPr>
              <w:t xml:space="preserve">Knowledge = 4 (Casablanca)</w:t>
            </w: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P4-T3-S2</w:t>
            </w:r>
          </w:p>
        </w:tc>
        <w:tc>
          <w:tcPr>
            <w:tcW w:type="dxa" w:w="3363"/>
            <w:tcMar>
              <w:top w:w="20" w:type="dxa"/>
              <w:bottom w:w="20" w:type="dxa"/>
              <w:left w:w="40" w:type="dxa"/>
              <w:right w:w="40" w:type="dxa"/>
            </w:tcMar>
          </w:tcPr>
          <w:p>
            <w:pPr>
              <w:pStyle w:val="Compact"/>
              <w:jc w:val="left"/>
            </w:pPr>
            <w:r>
              <w:rPr>
                <w:sz w:val="17"/>
              </w:rPr>
              <w:t xml:space="preserve">↳ [CM] Run UAT Scenarios, Kenitra/Settat; Log Defects vs. Friction</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P4</w:t>
            </w:r>
          </w:p>
        </w:tc>
        <w:tc>
          <w:tcPr>
            <w:tcW w:type="dxa" w:w="735"/>
            <w:tcMar>
              <w:top w:w="20" w:type="dxa"/>
              <w:bottom w:w="20" w:type="dxa"/>
              <w:left w:w="40" w:type="dxa"/>
              <w:right w:w="40" w:type="dxa"/>
            </w:tcMar>
          </w:tcPr>
          <w:p>
            <w:pPr>
              <w:pStyle w:val="Compact"/>
              <w:jc w:val="left"/>
            </w:pPr>
            <w:r>
              <w:rPr>
                <w:sz w:val="17"/>
              </w:rPr>
              <w:t xml:space="preserve">W33</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jc w:val="left"/>
            </w:pPr>
            <w:r>
              <w:rPr>
                <w:sz w:val="17"/>
              </w:rPr>
              <w:t xml:space="preserve">Knowledge = 4 (Kenitra), 3 (Settat)</w:t>
            </w: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P4-T4</w:t>
            </w:r>
          </w:p>
        </w:tc>
        <w:tc>
          <w:tcPr>
            <w:tcW w:type="dxa" w:w="3363"/>
            <w:tcMar>
              <w:top w:w="20" w:type="dxa"/>
              <w:bottom w:w="20" w:type="dxa"/>
              <w:left w:w="40" w:type="dxa"/>
              <w:right w:w="40" w:type="dxa"/>
            </w:tcMar>
          </w:tcPr>
          <w:p>
            <w:pPr>
              <w:pStyle w:val="Compact"/>
              <w:jc w:val="left"/>
            </w:pPr>
            <w:r>
              <w:rPr>
                <w:bCs/>
                <w:b/>
                <w:sz w:val="17"/>
              </w:rPr>
              <w:t xml:space="preserve">Divergence Pattern Review (E2)</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P4</w:t>
            </w:r>
          </w:p>
        </w:tc>
        <w:tc>
          <w:tcPr>
            <w:tcW w:type="dxa" w:w="735"/>
            <w:tcMar>
              <w:top w:w="20" w:type="dxa"/>
              <w:bottom w:w="20" w:type="dxa"/>
              <w:left w:w="40" w:type="dxa"/>
              <w:right w:w="40" w:type="dxa"/>
            </w:tcMar>
          </w:tcPr>
          <w:p>
            <w:pPr>
              <w:pStyle w:val="Compact"/>
              <w:jc w:val="left"/>
            </w:pPr>
            <w:r>
              <w:rPr>
                <w:sz w:val="17"/>
              </w:rPr>
              <w:t xml:space="preserve">W34–36</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P4-T4-S1</w:t>
            </w:r>
          </w:p>
        </w:tc>
        <w:tc>
          <w:tcPr>
            <w:tcW w:type="dxa" w:w="3363"/>
            <w:tcMar>
              <w:top w:w="20" w:type="dxa"/>
              <w:bottom w:w="20" w:type="dxa"/>
              <w:left w:w="40" w:type="dxa"/>
              <w:right w:w="40" w:type="dxa"/>
            </w:tcMar>
          </w:tcPr>
          <w:p>
            <w:pPr>
              <w:pStyle w:val="Compact"/>
              <w:jc w:val="left"/>
            </w:pPr>
            <w:r>
              <w:rPr>
                <w:sz w:val="17"/>
              </w:rPr>
              <w:t xml:space="preserve">↳ [CM] Run Divergence Pattern Review vs. Bridges — ALT-001 fires, opens E2</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P4</w:t>
            </w:r>
          </w:p>
        </w:tc>
        <w:tc>
          <w:tcPr>
            <w:tcW w:type="dxa" w:w="735"/>
            <w:tcMar>
              <w:top w:w="20" w:type="dxa"/>
              <w:bottom w:w="20" w:type="dxa"/>
              <w:left w:w="40" w:type="dxa"/>
              <w:right w:w="40" w:type="dxa"/>
            </w:tcMar>
          </w:tcPr>
          <w:p>
            <w:pPr>
              <w:pStyle w:val="Compact"/>
              <w:jc w:val="left"/>
            </w:pPr>
            <w:r>
              <w:rPr>
                <w:sz w:val="17"/>
              </w:rPr>
              <w:t xml:space="preserve">W34</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jc w:val="left"/>
            </w:pPr>
            <w:r>
              <w:rPr>
                <w:sz w:val="17"/>
              </w:rPr>
              <w:t xml:space="preserve">Ending (flagged participant, Knowledge/Ability ≥ 4)</w:t>
            </w: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P4-T4-S2</w:t>
            </w:r>
          </w:p>
        </w:tc>
        <w:tc>
          <w:tcPr>
            <w:tcW w:type="dxa" w:w="3363"/>
            <w:tcMar>
              <w:top w:w="20" w:type="dxa"/>
              <w:bottom w:w="20" w:type="dxa"/>
              <w:left w:w="40" w:type="dxa"/>
              <w:right w:w="40" w:type="dxa"/>
            </w:tcMar>
          </w:tcPr>
          <w:p>
            <w:pPr>
              <w:pStyle w:val="Compact"/>
              <w:jc w:val="left"/>
            </w:pPr>
            <w:r>
              <w:rPr>
                <w:sz w:val="17"/>
              </w:rPr>
              <w:t xml:space="preserve">↳ [CM] Route Flagged Case into E2 Recovery Tasks 1–5 (1B.4)</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P4</w:t>
            </w:r>
          </w:p>
        </w:tc>
        <w:tc>
          <w:tcPr>
            <w:tcW w:type="dxa" w:w="735"/>
            <w:tcMar>
              <w:top w:w="20" w:type="dxa"/>
              <w:bottom w:w="20" w:type="dxa"/>
              <w:left w:w="40" w:type="dxa"/>
              <w:right w:w="40" w:type="dxa"/>
            </w:tcMar>
          </w:tcPr>
          <w:p>
            <w:pPr>
              <w:pStyle w:val="Compact"/>
              <w:jc w:val="left"/>
            </w:pPr>
            <w:r>
              <w:rPr>
                <w:sz w:val="17"/>
              </w:rPr>
              <w:t xml:space="preserve">W35–36</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jc w:val="left"/>
            </w:pPr>
            <w:r>
              <w:rPr>
                <w:sz w:val="17"/>
              </w:rPr>
              <w:t xml:space="preserve">Ending → Neutral Zone (W36, post-E2)</w:t>
            </w: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P5-T1</w:t>
            </w:r>
          </w:p>
        </w:tc>
        <w:tc>
          <w:tcPr>
            <w:tcW w:type="dxa" w:w="3363"/>
            <w:tcMar>
              <w:top w:w="20" w:type="dxa"/>
              <w:bottom w:w="20" w:type="dxa"/>
              <w:left w:w="40" w:type="dxa"/>
              <w:right w:w="40" w:type="dxa"/>
            </w:tcMar>
          </w:tcPr>
          <w:p>
            <w:pPr>
              <w:pStyle w:val="Compact"/>
              <w:jc w:val="left"/>
            </w:pPr>
            <w:r>
              <w:rPr>
                <w:bCs/>
                <w:b/>
                <w:sz w:val="17"/>
              </w:rPr>
              <w:t xml:space="preserve">Curriculum Enrollment &amp; Wave-1 Delivery</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P5</w:t>
            </w:r>
          </w:p>
        </w:tc>
        <w:tc>
          <w:tcPr>
            <w:tcW w:type="dxa" w:w="735"/>
            <w:tcMar>
              <w:top w:w="20" w:type="dxa"/>
              <w:bottom w:w="20" w:type="dxa"/>
              <w:left w:w="40" w:type="dxa"/>
              <w:right w:w="40" w:type="dxa"/>
            </w:tcMar>
          </w:tcPr>
          <w:p>
            <w:pPr>
              <w:pStyle w:val="Compact"/>
              <w:jc w:val="left"/>
            </w:pPr>
            <w:r>
              <w:rPr>
                <w:sz w:val="17"/>
              </w:rPr>
              <w:t xml:space="preserve">W30–33</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P5-T1-S1</w:t>
            </w:r>
          </w:p>
        </w:tc>
        <w:tc>
          <w:tcPr>
            <w:tcW w:type="dxa" w:w="3363"/>
            <w:tcMar>
              <w:top w:w="20" w:type="dxa"/>
              <w:bottom w:w="20" w:type="dxa"/>
              <w:left w:w="40" w:type="dxa"/>
              <w:right w:w="40" w:type="dxa"/>
            </w:tcMar>
          </w:tcPr>
          <w:p>
            <w:pPr>
              <w:pStyle w:val="Compact"/>
              <w:jc w:val="left"/>
            </w:pPr>
            <w:r>
              <w:rPr>
                <w:sz w:val="17"/>
              </w:rPr>
              <w:t xml:space="preserve">↳ [CM] Enroll Cohorts Against Role-Based Curriculum</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P5</w:t>
            </w:r>
          </w:p>
        </w:tc>
        <w:tc>
          <w:tcPr>
            <w:tcW w:type="dxa" w:w="735"/>
            <w:tcMar>
              <w:top w:w="20" w:type="dxa"/>
              <w:bottom w:w="20" w:type="dxa"/>
              <w:left w:w="40" w:type="dxa"/>
              <w:right w:w="40" w:type="dxa"/>
            </w:tcMar>
          </w:tcPr>
          <w:p>
            <w:pPr>
              <w:pStyle w:val="Compact"/>
              <w:jc w:val="left"/>
            </w:pPr>
            <w:r>
              <w:rPr>
                <w:sz w:val="17"/>
              </w:rPr>
              <w:t xml:space="preserve">W30</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P5-T1-S2</w:t>
            </w:r>
          </w:p>
        </w:tc>
        <w:tc>
          <w:tcPr>
            <w:tcW w:type="dxa" w:w="3363"/>
            <w:tcMar>
              <w:top w:w="20" w:type="dxa"/>
              <w:bottom w:w="20" w:type="dxa"/>
              <w:left w:w="40" w:type="dxa"/>
              <w:right w:w="40" w:type="dxa"/>
            </w:tcMar>
          </w:tcPr>
          <w:p>
            <w:pPr>
              <w:pStyle w:val="Compact"/>
              <w:jc w:val="left"/>
            </w:pPr>
            <w:r>
              <w:rPr>
                <w:sz w:val="17"/>
              </w:rPr>
              <w:t xml:space="preserve">↳ [CM] Deliver Training Wave 1, All 3 Sites</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P5</w:t>
            </w:r>
          </w:p>
        </w:tc>
        <w:tc>
          <w:tcPr>
            <w:tcW w:type="dxa" w:w="735"/>
            <w:tcMar>
              <w:top w:w="20" w:type="dxa"/>
              <w:bottom w:w="20" w:type="dxa"/>
              <w:left w:w="40" w:type="dxa"/>
              <w:right w:w="40" w:type="dxa"/>
            </w:tcMar>
          </w:tcPr>
          <w:p>
            <w:pPr>
              <w:pStyle w:val="Compact"/>
              <w:jc w:val="left"/>
            </w:pPr>
            <w:r>
              <w:rPr>
                <w:sz w:val="17"/>
              </w:rPr>
              <w:t xml:space="preserve">W31–33</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P5-T2</w:t>
            </w:r>
          </w:p>
        </w:tc>
        <w:tc>
          <w:tcPr>
            <w:tcW w:type="dxa" w:w="3363"/>
            <w:tcMar>
              <w:top w:w="20" w:type="dxa"/>
              <w:bottom w:w="20" w:type="dxa"/>
              <w:left w:w="40" w:type="dxa"/>
              <w:right w:w="40" w:type="dxa"/>
            </w:tcMar>
          </w:tcPr>
          <w:p>
            <w:pPr>
              <w:pStyle w:val="Compact"/>
              <w:jc w:val="left"/>
            </w:pPr>
            <w:r>
              <w:rPr>
                <w:bCs/>
                <w:b/>
                <w:sz w:val="17"/>
              </w:rPr>
              <w:t xml:space="preserve">Job Aids &amp; Sandbox Practice</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P5</w:t>
            </w:r>
          </w:p>
        </w:tc>
        <w:tc>
          <w:tcPr>
            <w:tcW w:type="dxa" w:w="735"/>
            <w:tcMar>
              <w:top w:w="20" w:type="dxa"/>
              <w:bottom w:w="20" w:type="dxa"/>
              <w:left w:w="40" w:type="dxa"/>
              <w:right w:w="40" w:type="dxa"/>
            </w:tcMar>
          </w:tcPr>
          <w:p>
            <w:pPr>
              <w:pStyle w:val="Compact"/>
              <w:jc w:val="left"/>
            </w:pPr>
            <w:r>
              <w:rPr>
                <w:sz w:val="17"/>
              </w:rPr>
              <w:t xml:space="preserve">W34–35</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P5-T2-S1</w:t>
            </w:r>
          </w:p>
        </w:tc>
        <w:tc>
          <w:tcPr>
            <w:tcW w:type="dxa" w:w="3363"/>
            <w:tcMar>
              <w:top w:w="20" w:type="dxa"/>
              <w:bottom w:w="20" w:type="dxa"/>
              <w:left w:w="40" w:type="dxa"/>
              <w:right w:w="40" w:type="dxa"/>
            </w:tcMar>
          </w:tcPr>
          <w:p>
            <w:pPr>
              <w:pStyle w:val="Compact"/>
              <w:jc w:val="left"/>
            </w:pPr>
            <w:r>
              <w:rPr>
                <w:sz w:val="17"/>
              </w:rPr>
              <w:t xml:space="preserve">↳ [PM] Publish Job Aids per Role</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P5</w:t>
            </w:r>
          </w:p>
        </w:tc>
        <w:tc>
          <w:tcPr>
            <w:tcW w:type="dxa" w:w="735"/>
            <w:tcMar>
              <w:top w:w="20" w:type="dxa"/>
              <w:bottom w:w="20" w:type="dxa"/>
              <w:left w:w="40" w:type="dxa"/>
              <w:right w:w="40" w:type="dxa"/>
            </w:tcMar>
          </w:tcPr>
          <w:p>
            <w:pPr>
              <w:pStyle w:val="Compact"/>
              <w:jc w:val="left"/>
            </w:pPr>
            <w:r>
              <w:rPr>
                <w:sz w:val="17"/>
              </w:rPr>
              <w:t xml:space="preserve">W34</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P5-T2-S2</w:t>
            </w:r>
          </w:p>
        </w:tc>
        <w:tc>
          <w:tcPr>
            <w:tcW w:type="dxa" w:w="3363"/>
            <w:tcMar>
              <w:top w:w="20" w:type="dxa"/>
              <w:bottom w:w="20" w:type="dxa"/>
              <w:left w:w="40" w:type="dxa"/>
              <w:right w:w="40" w:type="dxa"/>
            </w:tcMar>
          </w:tcPr>
          <w:p>
            <w:pPr>
              <w:pStyle w:val="Compact"/>
              <w:jc w:val="left"/>
            </w:pPr>
            <w:r>
              <w:rPr>
                <w:sz w:val="17"/>
              </w:rPr>
              <w:t xml:space="preserve">↳ [PM] Open Sandbox for Supervised Practice</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P5</w:t>
            </w:r>
          </w:p>
        </w:tc>
        <w:tc>
          <w:tcPr>
            <w:tcW w:type="dxa" w:w="735"/>
            <w:tcMar>
              <w:top w:w="20" w:type="dxa"/>
              <w:bottom w:w="20" w:type="dxa"/>
              <w:left w:w="40" w:type="dxa"/>
              <w:right w:w="40" w:type="dxa"/>
            </w:tcMar>
          </w:tcPr>
          <w:p>
            <w:pPr>
              <w:pStyle w:val="Compact"/>
              <w:jc w:val="left"/>
            </w:pPr>
            <w:r>
              <w:rPr>
                <w:sz w:val="17"/>
              </w:rPr>
              <w:t xml:space="preserve">W35</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P5-T3</w:t>
            </w:r>
          </w:p>
        </w:tc>
        <w:tc>
          <w:tcPr>
            <w:tcW w:type="dxa" w:w="3363"/>
            <w:tcMar>
              <w:top w:w="20" w:type="dxa"/>
              <w:bottom w:w="20" w:type="dxa"/>
              <w:left w:w="40" w:type="dxa"/>
              <w:right w:w="40" w:type="dxa"/>
            </w:tcMar>
          </w:tcPr>
          <w:p>
            <w:pPr>
              <w:pStyle w:val="Compact"/>
              <w:jc w:val="left"/>
            </w:pPr>
            <w:r>
              <w:rPr>
                <w:bCs/>
                <w:b/>
                <w:sz w:val="17"/>
              </w:rPr>
              <w:t xml:space="preserve">Knowledge/Ability Scoring &amp; Divergence Flag (E6)</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P5</w:t>
            </w:r>
          </w:p>
        </w:tc>
        <w:tc>
          <w:tcPr>
            <w:tcW w:type="dxa" w:w="735"/>
            <w:tcMar>
              <w:top w:w="20" w:type="dxa"/>
              <w:bottom w:w="20" w:type="dxa"/>
              <w:left w:w="40" w:type="dxa"/>
              <w:right w:w="40" w:type="dxa"/>
            </w:tcMar>
          </w:tcPr>
          <w:p>
            <w:pPr>
              <w:pStyle w:val="Compact"/>
              <w:jc w:val="left"/>
            </w:pPr>
            <w:r>
              <w:rPr>
                <w:sz w:val="17"/>
              </w:rPr>
              <w:t xml:space="preserve">W36–39</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P5-T3-S1</w:t>
            </w:r>
          </w:p>
        </w:tc>
        <w:tc>
          <w:tcPr>
            <w:tcW w:type="dxa" w:w="3363"/>
            <w:tcMar>
              <w:top w:w="20" w:type="dxa"/>
              <w:bottom w:w="20" w:type="dxa"/>
              <w:left w:w="40" w:type="dxa"/>
              <w:right w:w="40" w:type="dxa"/>
            </w:tcMar>
          </w:tcPr>
          <w:p>
            <w:pPr>
              <w:pStyle w:val="Compact"/>
              <w:jc w:val="left"/>
            </w:pPr>
            <w:r>
              <w:rPr>
                <w:sz w:val="17"/>
              </w:rPr>
              <w:t xml:space="preserve">↳ [CM] Score Knowledge &amp; Ability per Cohort — opens E6</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P5</w:t>
            </w:r>
          </w:p>
        </w:tc>
        <w:tc>
          <w:tcPr>
            <w:tcW w:type="dxa" w:w="735"/>
            <w:tcMar>
              <w:top w:w="20" w:type="dxa"/>
              <w:bottom w:w="20" w:type="dxa"/>
              <w:left w:w="40" w:type="dxa"/>
              <w:right w:w="40" w:type="dxa"/>
            </w:tcMar>
          </w:tcPr>
          <w:p>
            <w:pPr>
              <w:pStyle w:val="Compact"/>
              <w:jc w:val="left"/>
            </w:pPr>
            <w:r>
              <w:rPr>
                <w:sz w:val="17"/>
              </w:rPr>
              <w:t xml:space="preserve">W36</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jc w:val="left"/>
            </w:pPr>
            <w:r>
              <w:rPr>
                <w:sz w:val="17"/>
              </w:rPr>
              <w:t xml:space="preserve">Knowledge/Ability = 4/4 (Casa), 4/3 (Kenitra), 3/2 (Settat)</w:t>
            </w: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P5-T3-S2</w:t>
            </w:r>
          </w:p>
        </w:tc>
        <w:tc>
          <w:tcPr>
            <w:tcW w:type="dxa" w:w="3363"/>
            <w:tcMar>
              <w:top w:w="20" w:type="dxa"/>
              <w:bottom w:w="20" w:type="dxa"/>
              <w:left w:w="40" w:type="dxa"/>
              <w:right w:w="40" w:type="dxa"/>
            </w:tcMar>
          </w:tcPr>
          <w:p>
            <w:pPr>
              <w:pStyle w:val="Compact"/>
              <w:jc w:val="left"/>
            </w:pPr>
            <w:r>
              <w:rPr>
                <w:sz w:val="17"/>
              </w:rPr>
              <w:t xml:space="preserve">↳ [CM] Flag Settat Below Benchmark for Wave 2 — E6 Recovery Tasks 1–4 (1B.4)</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P5</w:t>
            </w:r>
          </w:p>
        </w:tc>
        <w:tc>
          <w:tcPr>
            <w:tcW w:type="dxa" w:w="735"/>
            <w:tcMar>
              <w:top w:w="20" w:type="dxa"/>
              <w:bottom w:w="20" w:type="dxa"/>
              <w:left w:w="40" w:type="dxa"/>
              <w:right w:w="40" w:type="dxa"/>
            </w:tcMar>
          </w:tcPr>
          <w:p>
            <w:pPr>
              <w:pStyle w:val="Compact"/>
              <w:jc w:val="left"/>
            </w:pPr>
            <w:r>
              <w:rPr>
                <w:sz w:val="17"/>
              </w:rPr>
              <w:t xml:space="preserve">W37–39</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jc w:val="left"/>
            </w:pPr>
            <w:r>
              <w:rPr>
                <w:sz w:val="17"/>
              </w:rPr>
              <w:t xml:space="preserve">Settat Knowledge/Ability 3/2 → 4/3 (W39, post-E6 Recovery Task 4)</w:t>
            </w: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P5-T4</w:t>
            </w:r>
          </w:p>
        </w:tc>
        <w:tc>
          <w:tcPr>
            <w:tcW w:type="dxa" w:w="3363"/>
            <w:tcMar>
              <w:top w:w="20" w:type="dxa"/>
              <w:bottom w:w="20" w:type="dxa"/>
              <w:left w:w="40" w:type="dxa"/>
              <w:right w:w="40" w:type="dxa"/>
            </w:tcMar>
          </w:tcPr>
          <w:p>
            <w:pPr>
              <w:pStyle w:val="Compact"/>
              <w:jc w:val="left"/>
            </w:pPr>
            <w:r>
              <w:rPr>
                <w:bCs/>
                <w:b/>
                <w:sz w:val="17"/>
              </w:rPr>
              <w:t xml:space="preserve">Coach Readiness &amp; Go/No-Go</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P5</w:t>
            </w:r>
          </w:p>
        </w:tc>
        <w:tc>
          <w:tcPr>
            <w:tcW w:type="dxa" w:w="735"/>
            <w:tcMar>
              <w:top w:w="20" w:type="dxa"/>
              <w:bottom w:w="20" w:type="dxa"/>
              <w:left w:w="40" w:type="dxa"/>
              <w:right w:w="40" w:type="dxa"/>
            </w:tcMar>
          </w:tcPr>
          <w:p>
            <w:pPr>
              <w:pStyle w:val="Compact"/>
              <w:jc w:val="left"/>
            </w:pPr>
            <w:r>
              <w:rPr>
                <w:sz w:val="17"/>
              </w:rPr>
              <w:t xml:space="preserve">W40–42</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P5-T4-S1</w:t>
            </w:r>
          </w:p>
        </w:tc>
        <w:tc>
          <w:tcPr>
            <w:tcW w:type="dxa" w:w="3363"/>
            <w:tcMar>
              <w:top w:w="20" w:type="dxa"/>
              <w:bottom w:w="20" w:type="dxa"/>
              <w:left w:w="40" w:type="dxa"/>
              <w:right w:w="40" w:type="dxa"/>
            </w:tcMar>
          </w:tcPr>
          <w:p>
            <w:pPr>
              <w:pStyle w:val="Compact"/>
              <w:jc w:val="left"/>
            </w:pPr>
            <w:r>
              <w:rPr>
                <w:sz w:val="17"/>
              </w:rPr>
              <w:t xml:space="preserve">↳ [CM] Walk People Managers Through M11 Heatmap</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P5</w:t>
            </w:r>
          </w:p>
        </w:tc>
        <w:tc>
          <w:tcPr>
            <w:tcW w:type="dxa" w:w="735"/>
            <w:tcMar>
              <w:top w:w="20" w:type="dxa"/>
              <w:bottom w:w="20" w:type="dxa"/>
              <w:left w:w="40" w:type="dxa"/>
              <w:right w:w="40" w:type="dxa"/>
            </w:tcMar>
          </w:tcPr>
          <w:p>
            <w:pPr>
              <w:pStyle w:val="Compact"/>
              <w:jc w:val="left"/>
            </w:pPr>
            <w:r>
              <w:rPr>
                <w:sz w:val="17"/>
              </w:rPr>
              <w:t xml:space="preserve">W40</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P5-T4-S2</w:t>
            </w:r>
          </w:p>
        </w:tc>
        <w:tc>
          <w:tcPr>
            <w:tcW w:type="dxa" w:w="3363"/>
            <w:tcMar>
              <w:top w:w="20" w:type="dxa"/>
              <w:bottom w:w="20" w:type="dxa"/>
              <w:left w:w="40" w:type="dxa"/>
              <w:right w:w="40" w:type="dxa"/>
            </w:tcMar>
          </w:tcPr>
          <w:p>
            <w:pPr>
              <w:pStyle w:val="Compact"/>
              <w:jc w:val="left"/>
            </w:pPr>
            <w:r>
              <w:rPr>
                <w:sz w:val="17"/>
              </w:rPr>
              <w:t xml:space="preserve">↳ [CM] Confirm Supervisor Go-Live Coaching Plans</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P5</w:t>
            </w:r>
          </w:p>
        </w:tc>
        <w:tc>
          <w:tcPr>
            <w:tcW w:type="dxa" w:w="735"/>
            <w:tcMar>
              <w:top w:w="20" w:type="dxa"/>
              <w:bottom w:w="20" w:type="dxa"/>
              <w:left w:w="40" w:type="dxa"/>
              <w:right w:w="40" w:type="dxa"/>
            </w:tcMar>
          </w:tcPr>
          <w:p>
            <w:pPr>
              <w:pStyle w:val="Compact"/>
              <w:jc w:val="left"/>
            </w:pPr>
            <w:r>
              <w:rPr>
                <w:sz w:val="17"/>
              </w:rPr>
              <w:t xml:space="preserve">W41</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P6-T1</w:t>
            </w:r>
          </w:p>
        </w:tc>
        <w:tc>
          <w:tcPr>
            <w:tcW w:type="dxa" w:w="3363"/>
            <w:tcMar>
              <w:top w:w="20" w:type="dxa"/>
              <w:bottom w:w="20" w:type="dxa"/>
              <w:left w:w="40" w:type="dxa"/>
              <w:right w:w="40" w:type="dxa"/>
            </w:tcMar>
          </w:tcPr>
          <w:p>
            <w:pPr>
              <w:pStyle w:val="Compact"/>
              <w:jc w:val="left"/>
            </w:pPr>
            <w:r>
              <w:rPr>
                <w:bCs/>
                <w:b/>
                <w:sz w:val="17"/>
              </w:rPr>
              <w:t xml:space="preserve">Data Freeze &amp; Migration</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P6</w:t>
            </w:r>
          </w:p>
        </w:tc>
        <w:tc>
          <w:tcPr>
            <w:tcW w:type="dxa" w:w="735"/>
            <w:tcMar>
              <w:top w:w="20" w:type="dxa"/>
              <w:bottom w:w="20" w:type="dxa"/>
              <w:left w:w="40" w:type="dxa"/>
              <w:right w:w="40" w:type="dxa"/>
            </w:tcMar>
          </w:tcPr>
          <w:p>
            <w:pPr>
              <w:pStyle w:val="Compact"/>
              <w:jc w:val="left"/>
            </w:pPr>
            <w:r>
              <w:rPr>
                <w:sz w:val="17"/>
              </w:rPr>
              <w:t xml:space="preserve">D1–2</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P6-T1-S1</w:t>
            </w:r>
          </w:p>
        </w:tc>
        <w:tc>
          <w:tcPr>
            <w:tcW w:type="dxa" w:w="3363"/>
            <w:tcMar>
              <w:top w:w="20" w:type="dxa"/>
              <w:bottom w:w="20" w:type="dxa"/>
              <w:left w:w="40" w:type="dxa"/>
              <w:right w:w="40" w:type="dxa"/>
            </w:tcMar>
          </w:tcPr>
          <w:p>
            <w:pPr>
              <w:pStyle w:val="Compact"/>
              <w:jc w:val="left"/>
            </w:pPr>
            <w:r>
              <w:rPr>
                <w:sz w:val="17"/>
              </w:rPr>
              <w:t xml:space="preserve">↳ [PM] Freeze Legacy-System Data Entry</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P6</w:t>
            </w:r>
          </w:p>
        </w:tc>
        <w:tc>
          <w:tcPr>
            <w:tcW w:type="dxa" w:w="735"/>
            <w:tcMar>
              <w:top w:w="20" w:type="dxa"/>
              <w:bottom w:w="20" w:type="dxa"/>
              <w:left w:w="40" w:type="dxa"/>
              <w:right w:w="40" w:type="dxa"/>
            </w:tcMar>
          </w:tcPr>
          <w:p>
            <w:pPr>
              <w:pStyle w:val="Compact"/>
              <w:jc w:val="left"/>
            </w:pPr>
            <w:r>
              <w:rPr>
                <w:sz w:val="17"/>
              </w:rPr>
              <w:t xml:space="preserve">D1</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P6-T1-S2</w:t>
            </w:r>
          </w:p>
        </w:tc>
        <w:tc>
          <w:tcPr>
            <w:tcW w:type="dxa" w:w="3363"/>
            <w:tcMar>
              <w:top w:w="20" w:type="dxa"/>
              <w:bottom w:w="20" w:type="dxa"/>
              <w:left w:w="40" w:type="dxa"/>
              <w:right w:w="40" w:type="dxa"/>
            </w:tcMar>
          </w:tcPr>
          <w:p>
            <w:pPr>
              <w:pStyle w:val="Compact"/>
              <w:jc w:val="left"/>
            </w:pPr>
            <w:r>
              <w:rPr>
                <w:sz w:val="17"/>
              </w:rPr>
              <w:t xml:space="preserve">↳ [PM] Run Final Migration &amp; Reconcile</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P6</w:t>
            </w:r>
          </w:p>
        </w:tc>
        <w:tc>
          <w:tcPr>
            <w:tcW w:type="dxa" w:w="735"/>
            <w:tcMar>
              <w:top w:w="20" w:type="dxa"/>
              <w:bottom w:w="20" w:type="dxa"/>
              <w:left w:w="40" w:type="dxa"/>
              <w:right w:w="40" w:type="dxa"/>
            </w:tcMar>
          </w:tcPr>
          <w:p>
            <w:pPr>
              <w:pStyle w:val="Compact"/>
              <w:jc w:val="left"/>
            </w:pPr>
            <w:r>
              <w:rPr>
                <w:sz w:val="17"/>
              </w:rPr>
              <w:t xml:space="preserve">D2</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P6-T2</w:t>
            </w:r>
          </w:p>
        </w:tc>
        <w:tc>
          <w:tcPr>
            <w:tcW w:type="dxa" w:w="3363"/>
            <w:tcMar>
              <w:top w:w="20" w:type="dxa"/>
              <w:bottom w:w="20" w:type="dxa"/>
              <w:left w:w="40" w:type="dxa"/>
              <w:right w:w="40" w:type="dxa"/>
            </w:tcMar>
          </w:tcPr>
          <w:p>
            <w:pPr>
              <w:pStyle w:val="Compact"/>
              <w:jc w:val="left"/>
            </w:pPr>
            <w:r>
              <w:rPr>
                <w:bCs/>
                <w:b/>
                <w:sz w:val="17"/>
              </w:rPr>
              <w:t xml:space="preserve">Cutover &amp; Technical Validation</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P6</w:t>
            </w:r>
          </w:p>
        </w:tc>
        <w:tc>
          <w:tcPr>
            <w:tcW w:type="dxa" w:w="735"/>
            <w:tcMar>
              <w:top w:w="20" w:type="dxa"/>
              <w:bottom w:w="20" w:type="dxa"/>
              <w:left w:w="40" w:type="dxa"/>
              <w:right w:w="40" w:type="dxa"/>
            </w:tcMar>
          </w:tcPr>
          <w:p>
            <w:pPr>
              <w:pStyle w:val="Compact"/>
              <w:jc w:val="left"/>
            </w:pPr>
            <w:r>
              <w:rPr>
                <w:sz w:val="17"/>
              </w:rPr>
              <w:t xml:space="preserve">D3</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P6-T2-S1</w:t>
            </w:r>
          </w:p>
        </w:tc>
        <w:tc>
          <w:tcPr>
            <w:tcW w:type="dxa" w:w="3363"/>
            <w:tcMar>
              <w:top w:w="20" w:type="dxa"/>
              <w:bottom w:w="20" w:type="dxa"/>
              <w:left w:w="40" w:type="dxa"/>
              <w:right w:w="40" w:type="dxa"/>
            </w:tcMar>
          </w:tcPr>
          <w:p>
            <w:pPr>
              <w:pStyle w:val="Compact"/>
              <w:jc w:val="left"/>
            </w:pPr>
            <w:r>
              <w:rPr>
                <w:sz w:val="17"/>
              </w:rPr>
              <w:t xml:space="preserve">↳ [PM] Execute Cutover Runbook</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P6</w:t>
            </w:r>
          </w:p>
        </w:tc>
        <w:tc>
          <w:tcPr>
            <w:tcW w:type="dxa" w:w="735"/>
            <w:tcMar>
              <w:top w:w="20" w:type="dxa"/>
              <w:bottom w:w="20" w:type="dxa"/>
              <w:left w:w="40" w:type="dxa"/>
              <w:right w:w="40" w:type="dxa"/>
            </w:tcMar>
          </w:tcPr>
          <w:p>
            <w:pPr>
              <w:pStyle w:val="Compact"/>
              <w:jc w:val="left"/>
            </w:pPr>
            <w:r>
              <w:rPr>
                <w:sz w:val="17"/>
              </w:rPr>
              <w:t xml:space="preserve">D3</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P6-T2-S2</w:t>
            </w:r>
          </w:p>
        </w:tc>
        <w:tc>
          <w:tcPr>
            <w:tcW w:type="dxa" w:w="3363"/>
            <w:tcMar>
              <w:top w:w="20" w:type="dxa"/>
              <w:bottom w:w="20" w:type="dxa"/>
              <w:left w:w="40" w:type="dxa"/>
              <w:right w:w="40" w:type="dxa"/>
            </w:tcMar>
          </w:tcPr>
          <w:p>
            <w:pPr>
              <w:pStyle w:val="Compact"/>
              <w:jc w:val="left"/>
            </w:pPr>
            <w:r>
              <w:rPr>
                <w:sz w:val="17"/>
              </w:rPr>
              <w:t xml:space="preserve">↳ [PM] Validate Live Platform vs. Acceptance Criteria</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P6</w:t>
            </w:r>
          </w:p>
        </w:tc>
        <w:tc>
          <w:tcPr>
            <w:tcW w:type="dxa" w:w="735"/>
            <w:tcMar>
              <w:top w:w="20" w:type="dxa"/>
              <w:bottom w:w="20" w:type="dxa"/>
              <w:left w:w="40" w:type="dxa"/>
              <w:right w:w="40" w:type="dxa"/>
            </w:tcMar>
          </w:tcPr>
          <w:p>
            <w:pPr>
              <w:pStyle w:val="Compact"/>
              <w:jc w:val="left"/>
            </w:pPr>
            <w:r>
              <w:rPr>
                <w:sz w:val="17"/>
              </w:rPr>
              <w:t xml:space="preserve">D3</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P6-T3</w:t>
            </w:r>
          </w:p>
        </w:tc>
        <w:tc>
          <w:tcPr>
            <w:tcW w:type="dxa" w:w="3363"/>
            <w:tcMar>
              <w:top w:w="20" w:type="dxa"/>
              <w:bottom w:w="20" w:type="dxa"/>
              <w:left w:w="40" w:type="dxa"/>
              <w:right w:w="40" w:type="dxa"/>
            </w:tcMar>
          </w:tcPr>
          <w:p>
            <w:pPr>
              <w:pStyle w:val="Compact"/>
              <w:jc w:val="left"/>
            </w:pPr>
            <w:r>
              <w:rPr>
                <w:bCs/>
                <w:b/>
                <w:sz w:val="17"/>
              </w:rPr>
              <w:t xml:space="preserve">Go-Live Communication</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P6</w:t>
            </w:r>
          </w:p>
        </w:tc>
        <w:tc>
          <w:tcPr>
            <w:tcW w:type="dxa" w:w="735"/>
            <w:tcMar>
              <w:top w:w="20" w:type="dxa"/>
              <w:bottom w:w="20" w:type="dxa"/>
              <w:left w:w="40" w:type="dxa"/>
              <w:right w:w="40" w:type="dxa"/>
            </w:tcMar>
          </w:tcPr>
          <w:p>
            <w:pPr>
              <w:pStyle w:val="Compact"/>
              <w:jc w:val="left"/>
            </w:pPr>
            <w:r>
              <w:rPr>
                <w:sz w:val="17"/>
              </w:rPr>
              <w:t xml:space="preserve">D4</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P6-T3-S1</w:t>
            </w:r>
          </w:p>
        </w:tc>
        <w:tc>
          <w:tcPr>
            <w:tcW w:type="dxa" w:w="3363"/>
            <w:tcMar>
              <w:top w:w="20" w:type="dxa"/>
              <w:bottom w:w="20" w:type="dxa"/>
              <w:left w:w="40" w:type="dxa"/>
              <w:right w:w="40" w:type="dxa"/>
            </w:tcMar>
          </w:tcPr>
          <w:p>
            <w:pPr>
              <w:pStyle w:val="Compact"/>
              <w:jc w:val="left"/>
            </w:pPr>
            <w:r>
              <w:rPr>
                <w:sz w:val="17"/>
              </w:rPr>
              <w:t xml:space="preserve">↳ [CM] Draft &amp; Send Go-Live Confirmation, All Sites</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P6</w:t>
            </w:r>
          </w:p>
        </w:tc>
        <w:tc>
          <w:tcPr>
            <w:tcW w:type="dxa" w:w="735"/>
            <w:tcMar>
              <w:top w:w="20" w:type="dxa"/>
              <w:bottom w:w="20" w:type="dxa"/>
              <w:left w:w="40" w:type="dxa"/>
              <w:right w:w="40" w:type="dxa"/>
            </w:tcMar>
          </w:tcPr>
          <w:p>
            <w:pPr>
              <w:pStyle w:val="Compact"/>
              <w:jc w:val="left"/>
            </w:pPr>
            <w:r>
              <w:rPr>
                <w:sz w:val="17"/>
              </w:rPr>
              <w:t xml:space="preserve">D4</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P6-T4</w:t>
            </w:r>
          </w:p>
        </w:tc>
        <w:tc>
          <w:tcPr>
            <w:tcW w:type="dxa" w:w="3363"/>
            <w:tcMar>
              <w:top w:w="20" w:type="dxa"/>
              <w:bottom w:w="20" w:type="dxa"/>
              <w:left w:w="40" w:type="dxa"/>
              <w:right w:w="40" w:type="dxa"/>
            </w:tcMar>
          </w:tcPr>
          <w:p>
            <w:pPr>
              <w:pStyle w:val="Compact"/>
              <w:jc w:val="left"/>
            </w:pPr>
            <w:r>
              <w:rPr>
                <w:bCs/>
                <w:b/>
                <w:sz w:val="17"/>
              </w:rPr>
              <w:t xml:space="preserve">Hypercare Activation &amp; Provisional Lewin (opens E3)</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P6</w:t>
            </w:r>
          </w:p>
        </w:tc>
        <w:tc>
          <w:tcPr>
            <w:tcW w:type="dxa" w:w="735"/>
            <w:tcMar>
              <w:top w:w="20" w:type="dxa"/>
              <w:bottom w:w="20" w:type="dxa"/>
              <w:left w:w="40" w:type="dxa"/>
              <w:right w:w="40" w:type="dxa"/>
            </w:tcMar>
          </w:tcPr>
          <w:p>
            <w:pPr>
              <w:pStyle w:val="Compact"/>
              <w:jc w:val="left"/>
            </w:pPr>
            <w:r>
              <w:rPr>
                <w:sz w:val="17"/>
              </w:rPr>
              <w:t xml:space="preserve">D5</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P6-T4-S1</w:t>
            </w:r>
          </w:p>
        </w:tc>
        <w:tc>
          <w:tcPr>
            <w:tcW w:type="dxa" w:w="3363"/>
            <w:tcMar>
              <w:top w:w="20" w:type="dxa"/>
              <w:bottom w:w="20" w:type="dxa"/>
              <w:left w:w="40" w:type="dxa"/>
              <w:right w:w="40" w:type="dxa"/>
            </w:tcMar>
          </w:tcPr>
          <w:p>
            <w:pPr>
              <w:pStyle w:val="Compact"/>
              <w:jc w:val="left"/>
            </w:pPr>
            <w:r>
              <w:rPr>
                <w:sz w:val="17"/>
              </w:rPr>
              <w:t xml:space="preserve">↳ [CM] Activate Hypercare Support Model</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P6</w:t>
            </w:r>
          </w:p>
        </w:tc>
        <w:tc>
          <w:tcPr>
            <w:tcW w:type="dxa" w:w="735"/>
            <w:tcMar>
              <w:top w:w="20" w:type="dxa"/>
              <w:bottom w:w="20" w:type="dxa"/>
              <w:left w:w="40" w:type="dxa"/>
              <w:right w:w="40" w:type="dxa"/>
            </w:tcMar>
          </w:tcPr>
          <w:p>
            <w:pPr>
              <w:pStyle w:val="Compact"/>
              <w:jc w:val="left"/>
            </w:pPr>
            <w:r>
              <w:rPr>
                <w:sz w:val="17"/>
              </w:rPr>
              <w:t xml:space="preserve">D5</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P6-T4-S2</w:t>
            </w:r>
          </w:p>
        </w:tc>
        <w:tc>
          <w:tcPr>
            <w:tcW w:type="dxa" w:w="3363"/>
            <w:tcMar>
              <w:top w:w="20" w:type="dxa"/>
              <w:bottom w:w="20" w:type="dxa"/>
              <w:left w:w="40" w:type="dxa"/>
              <w:right w:w="40" w:type="dxa"/>
            </w:tcMar>
          </w:tcPr>
          <w:p>
            <w:pPr>
              <w:pStyle w:val="Compact"/>
              <w:jc w:val="left"/>
            </w:pPr>
            <w:r>
              <w:rPr>
                <w:sz w:val="17"/>
              </w:rPr>
              <w:t xml:space="preserve">↳ [CM] Mark Lewin Provisional — opens E3</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P6</w:t>
            </w:r>
          </w:p>
        </w:tc>
        <w:tc>
          <w:tcPr>
            <w:tcW w:type="dxa" w:w="735"/>
            <w:tcMar>
              <w:top w:w="20" w:type="dxa"/>
              <w:bottom w:w="20" w:type="dxa"/>
              <w:left w:w="40" w:type="dxa"/>
              <w:right w:w="40" w:type="dxa"/>
            </w:tcMar>
          </w:tcPr>
          <w:p>
            <w:pPr>
              <w:pStyle w:val="Compact"/>
              <w:jc w:val="left"/>
            </w:pPr>
            <w:r>
              <w:rPr>
                <w:sz w:val="17"/>
              </w:rPr>
              <w:t xml:space="preserve">D5</w:t>
            </w:r>
          </w:p>
        </w:tc>
        <w:tc>
          <w:tcPr>
            <w:tcW w:type="dxa" w:w="840"/>
            <w:tcMar>
              <w:top w:w="20" w:type="dxa"/>
              <w:bottom w:w="20" w:type="dxa"/>
              <w:left w:w="40" w:type="dxa"/>
              <w:right w:w="40" w:type="dxa"/>
            </w:tcMar>
          </w:tcPr>
          <w:p>
            <w:pPr>
              <w:pStyle w:val="Compact"/>
              <w:jc w:val="left"/>
            </w:pPr>
            <w:r>
              <w:rPr>
                <w:sz w:val="17"/>
              </w:rPr>
              <w:t xml:space="preserve">Change → Refreeze (provisional)</w:t>
            </w: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P7-T1</w:t>
            </w:r>
          </w:p>
        </w:tc>
        <w:tc>
          <w:tcPr>
            <w:tcW w:type="dxa" w:w="3363"/>
            <w:tcMar>
              <w:top w:w="20" w:type="dxa"/>
              <w:bottom w:w="20" w:type="dxa"/>
              <w:left w:w="40" w:type="dxa"/>
              <w:right w:w="40" w:type="dxa"/>
            </w:tcMar>
          </w:tcPr>
          <w:p>
            <w:pPr>
              <w:pStyle w:val="Compact"/>
              <w:jc w:val="left"/>
            </w:pPr>
            <w:r>
              <w:rPr>
                <w:bCs/>
                <w:b/>
                <w:sz w:val="17"/>
              </w:rPr>
              <w:t xml:space="preserve">Elevated Support &amp; Escalation Path</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P7</w:t>
            </w:r>
          </w:p>
        </w:tc>
        <w:tc>
          <w:tcPr>
            <w:tcW w:type="dxa" w:w="735"/>
            <w:tcMar>
              <w:top w:w="20" w:type="dxa"/>
              <w:bottom w:w="20" w:type="dxa"/>
              <w:left w:w="40" w:type="dxa"/>
              <w:right w:w="40" w:type="dxa"/>
            </w:tcMar>
          </w:tcPr>
          <w:p>
            <w:pPr>
              <w:pStyle w:val="Compact"/>
              <w:jc w:val="left"/>
            </w:pPr>
            <w:r>
              <w:rPr>
                <w:sz w:val="17"/>
              </w:rPr>
              <w:t xml:space="preserve">W44</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P7-T1-S1</w:t>
            </w:r>
          </w:p>
        </w:tc>
        <w:tc>
          <w:tcPr>
            <w:tcW w:type="dxa" w:w="3363"/>
            <w:tcMar>
              <w:top w:w="20" w:type="dxa"/>
              <w:bottom w:w="20" w:type="dxa"/>
              <w:left w:w="40" w:type="dxa"/>
              <w:right w:w="40" w:type="dxa"/>
            </w:tcMar>
          </w:tcPr>
          <w:p>
            <w:pPr>
              <w:pStyle w:val="Compact"/>
              <w:jc w:val="left"/>
            </w:pPr>
            <w:r>
              <w:rPr>
                <w:sz w:val="17"/>
              </w:rPr>
              <w:t xml:space="preserve">↳ [CM] Continue Elevated Support Desk Staffing</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P7</w:t>
            </w:r>
          </w:p>
        </w:tc>
        <w:tc>
          <w:tcPr>
            <w:tcW w:type="dxa" w:w="735"/>
            <w:tcMar>
              <w:top w:w="20" w:type="dxa"/>
              <w:bottom w:w="20" w:type="dxa"/>
              <w:left w:w="40" w:type="dxa"/>
              <w:right w:w="40" w:type="dxa"/>
            </w:tcMar>
          </w:tcPr>
          <w:p>
            <w:pPr>
              <w:pStyle w:val="Compact"/>
              <w:jc w:val="left"/>
            </w:pPr>
            <w:r>
              <w:rPr>
                <w:sz w:val="17"/>
              </w:rPr>
              <w:t xml:space="preserve">W44</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P7-T1-S2</w:t>
            </w:r>
          </w:p>
        </w:tc>
        <w:tc>
          <w:tcPr>
            <w:tcW w:type="dxa" w:w="3363"/>
            <w:tcMar>
              <w:top w:w="20" w:type="dxa"/>
              <w:bottom w:w="20" w:type="dxa"/>
              <w:left w:w="40" w:type="dxa"/>
              <w:right w:w="40" w:type="dxa"/>
            </w:tcMar>
          </w:tcPr>
          <w:p>
            <w:pPr>
              <w:pStyle w:val="Compact"/>
              <w:jc w:val="left"/>
            </w:pPr>
            <w:r>
              <w:rPr>
                <w:sz w:val="17"/>
              </w:rPr>
              <w:t xml:space="preserve">↳ [CM] Publish Escalation Path, All Sites</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P7</w:t>
            </w:r>
          </w:p>
        </w:tc>
        <w:tc>
          <w:tcPr>
            <w:tcW w:type="dxa" w:w="735"/>
            <w:tcMar>
              <w:top w:w="20" w:type="dxa"/>
              <w:bottom w:w="20" w:type="dxa"/>
              <w:left w:w="40" w:type="dxa"/>
              <w:right w:w="40" w:type="dxa"/>
            </w:tcMar>
          </w:tcPr>
          <w:p>
            <w:pPr>
              <w:pStyle w:val="Compact"/>
              <w:jc w:val="left"/>
            </w:pPr>
            <w:r>
              <w:rPr>
                <w:sz w:val="17"/>
              </w:rPr>
              <w:t xml:space="preserve">W44</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P7-T2</w:t>
            </w:r>
          </w:p>
        </w:tc>
        <w:tc>
          <w:tcPr>
            <w:tcW w:type="dxa" w:w="3363"/>
            <w:tcMar>
              <w:top w:w="20" w:type="dxa"/>
              <w:bottom w:w="20" w:type="dxa"/>
              <w:left w:w="40" w:type="dxa"/>
              <w:right w:w="40" w:type="dxa"/>
            </w:tcMar>
          </w:tcPr>
          <w:p>
            <w:pPr>
              <w:pStyle w:val="Compact"/>
              <w:jc w:val="left"/>
            </w:pPr>
            <w:r>
              <w:rPr>
                <w:bCs/>
                <w:b/>
                <w:sz w:val="17"/>
              </w:rPr>
              <w:t xml:space="preserve">Adoption Dashboard &amp; Defect Triage</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P7</w:t>
            </w:r>
          </w:p>
        </w:tc>
        <w:tc>
          <w:tcPr>
            <w:tcW w:type="dxa" w:w="735"/>
            <w:tcMar>
              <w:top w:w="20" w:type="dxa"/>
              <w:bottom w:w="20" w:type="dxa"/>
              <w:left w:w="40" w:type="dxa"/>
              <w:right w:w="40" w:type="dxa"/>
            </w:tcMar>
          </w:tcPr>
          <w:p>
            <w:pPr>
              <w:pStyle w:val="Compact"/>
              <w:jc w:val="left"/>
            </w:pPr>
            <w:r>
              <w:rPr>
                <w:sz w:val="17"/>
              </w:rPr>
              <w:t xml:space="preserve">W44–45</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P7-T2-S1</w:t>
            </w:r>
          </w:p>
        </w:tc>
        <w:tc>
          <w:tcPr>
            <w:tcW w:type="dxa" w:w="3363"/>
            <w:tcMar>
              <w:top w:w="20" w:type="dxa"/>
              <w:bottom w:w="20" w:type="dxa"/>
              <w:left w:w="40" w:type="dxa"/>
              <w:right w:w="40" w:type="dxa"/>
            </w:tcMar>
          </w:tcPr>
          <w:p>
            <w:pPr>
              <w:pStyle w:val="Compact"/>
              <w:jc w:val="left"/>
            </w:pPr>
            <w:r>
              <w:rPr>
                <w:sz w:val="17"/>
              </w:rPr>
              <w:t xml:space="preserve">↳ [PM] Review M14 Adoption Dashboard Daily</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P7</w:t>
            </w:r>
          </w:p>
        </w:tc>
        <w:tc>
          <w:tcPr>
            <w:tcW w:type="dxa" w:w="735"/>
            <w:tcMar>
              <w:top w:w="20" w:type="dxa"/>
              <w:bottom w:w="20" w:type="dxa"/>
              <w:left w:w="40" w:type="dxa"/>
              <w:right w:w="40" w:type="dxa"/>
            </w:tcMar>
          </w:tcPr>
          <w:p>
            <w:pPr>
              <w:pStyle w:val="Compact"/>
              <w:jc w:val="left"/>
            </w:pPr>
            <w:r>
              <w:rPr>
                <w:sz w:val="17"/>
              </w:rPr>
              <w:t xml:space="preserve">W44</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P7-T2-S2</w:t>
            </w:r>
          </w:p>
        </w:tc>
        <w:tc>
          <w:tcPr>
            <w:tcW w:type="dxa" w:w="3363"/>
            <w:tcMar>
              <w:top w:w="20" w:type="dxa"/>
              <w:bottom w:w="20" w:type="dxa"/>
              <w:left w:w="40" w:type="dxa"/>
              <w:right w:w="40" w:type="dxa"/>
            </w:tcMar>
          </w:tcPr>
          <w:p>
            <w:pPr>
              <w:pStyle w:val="Compact"/>
              <w:jc w:val="left"/>
            </w:pPr>
            <w:r>
              <w:rPr>
                <w:sz w:val="17"/>
              </w:rPr>
              <w:t xml:space="preserve">↳ [PM] Triage &amp; Route Defects by Severity</w:t>
            </w:r>
          </w:p>
        </w:tc>
        <w:tc>
          <w:tcPr>
            <w:tcW w:type="dxa" w:w="630"/>
            <w:tcMar>
              <w:top w:w="20" w:type="dxa"/>
              <w:bottom w:w="20" w:type="dxa"/>
              <w:left w:w="40" w:type="dxa"/>
              <w:right w:w="40" w:type="dxa"/>
            </w:tcMar>
          </w:tcPr>
          <w:p>
            <w:pPr>
              <w:pStyle w:val="Compact"/>
              <w:jc w:val="left"/>
            </w:pPr>
            <w:r>
              <w:rPr>
                <w:sz w:val="17"/>
              </w:rPr>
              <w:t xml:space="preserve">PM</w:t>
            </w:r>
          </w:p>
        </w:tc>
        <w:tc>
          <w:tcPr>
            <w:tcW w:type="dxa" w:w="420"/>
            <w:tcMar>
              <w:top w:w="20" w:type="dxa"/>
              <w:bottom w:w="20" w:type="dxa"/>
              <w:left w:w="40" w:type="dxa"/>
              <w:right w:w="40" w:type="dxa"/>
            </w:tcMar>
          </w:tcPr>
          <w:p>
            <w:pPr>
              <w:pStyle w:val="Compact"/>
              <w:jc w:val="left"/>
            </w:pPr>
            <w:r>
              <w:rPr>
                <w:sz w:val="17"/>
              </w:rPr>
              <w:t xml:space="preserve">P7</w:t>
            </w:r>
          </w:p>
        </w:tc>
        <w:tc>
          <w:tcPr>
            <w:tcW w:type="dxa" w:w="735"/>
            <w:tcMar>
              <w:top w:w="20" w:type="dxa"/>
              <w:bottom w:w="20" w:type="dxa"/>
              <w:left w:w="40" w:type="dxa"/>
              <w:right w:w="40" w:type="dxa"/>
            </w:tcMar>
          </w:tcPr>
          <w:p>
            <w:pPr>
              <w:pStyle w:val="Compact"/>
              <w:jc w:val="left"/>
            </w:pPr>
            <w:r>
              <w:rPr>
                <w:sz w:val="17"/>
              </w:rPr>
              <w:t xml:space="preserve">W45</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P7-T3</w:t>
            </w:r>
          </w:p>
        </w:tc>
        <w:tc>
          <w:tcPr>
            <w:tcW w:type="dxa" w:w="3363"/>
            <w:tcMar>
              <w:top w:w="20" w:type="dxa"/>
              <w:bottom w:w="20" w:type="dxa"/>
              <w:left w:w="40" w:type="dxa"/>
              <w:right w:w="40" w:type="dxa"/>
            </w:tcMar>
          </w:tcPr>
          <w:p>
            <w:pPr>
              <w:pStyle w:val="Compact"/>
              <w:jc w:val="left"/>
            </w:pPr>
            <w:r>
              <w:rPr>
                <w:bCs/>
                <w:b/>
                <w:sz w:val="17"/>
              </w:rPr>
              <w:t xml:space="preserve">Bridges/Kübler-Ross Re-Pulse (E4)</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P7</w:t>
            </w:r>
          </w:p>
        </w:tc>
        <w:tc>
          <w:tcPr>
            <w:tcW w:type="dxa" w:w="735"/>
            <w:tcMar>
              <w:top w:w="20" w:type="dxa"/>
              <w:bottom w:w="20" w:type="dxa"/>
              <w:left w:w="40" w:type="dxa"/>
              <w:right w:w="40" w:type="dxa"/>
            </w:tcMar>
          </w:tcPr>
          <w:p>
            <w:pPr>
              <w:pStyle w:val="Compact"/>
              <w:jc w:val="left"/>
            </w:pPr>
            <w:r>
              <w:rPr>
                <w:sz w:val="17"/>
              </w:rPr>
              <w:t xml:space="preserve">W45–47</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P7-T3-S1</w:t>
            </w:r>
          </w:p>
        </w:tc>
        <w:tc>
          <w:tcPr>
            <w:tcW w:type="dxa" w:w="3363"/>
            <w:tcMar>
              <w:top w:w="20" w:type="dxa"/>
              <w:bottom w:w="20" w:type="dxa"/>
              <w:left w:w="40" w:type="dxa"/>
              <w:right w:w="40" w:type="dxa"/>
            </w:tcMar>
          </w:tcPr>
          <w:p>
            <w:pPr>
              <w:pStyle w:val="Compact"/>
              <w:jc w:val="left"/>
            </w:pPr>
            <w:r>
              <w:rPr>
                <w:sz w:val="17"/>
              </w:rPr>
              <w:t xml:space="preserve">↳ [CM] Re-Score Bridges &amp; Kübler-Ross, 2-Week Mark — opens E4</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P7</w:t>
            </w:r>
          </w:p>
        </w:tc>
        <w:tc>
          <w:tcPr>
            <w:tcW w:type="dxa" w:w="735"/>
            <w:tcMar>
              <w:top w:w="20" w:type="dxa"/>
              <w:bottom w:w="20" w:type="dxa"/>
              <w:left w:w="40" w:type="dxa"/>
              <w:right w:w="40" w:type="dxa"/>
            </w:tcMar>
          </w:tcPr>
          <w:p>
            <w:pPr>
              <w:pStyle w:val="Compact"/>
              <w:jc w:val="left"/>
            </w:pPr>
            <w:r>
              <w:rPr>
                <w:sz w:val="17"/>
              </w:rPr>
              <w:t xml:space="preserve">W45</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jc w:val="left"/>
            </w:pPr>
            <w:r>
              <w:rPr>
                <w:sz w:val="17"/>
              </w:rPr>
              <w:t xml:space="preserve">Casa/Settat New Beginning; Kenitra Neutral Zone (dip)</w:t>
            </w:r>
          </w:p>
        </w:tc>
        <w:tc>
          <w:tcPr>
            <w:tcW w:type="dxa" w:w="840"/>
            <w:tcMar>
              <w:top w:w="20" w:type="dxa"/>
              <w:bottom w:w="20" w:type="dxa"/>
              <w:left w:w="40" w:type="dxa"/>
              <w:right w:w="40" w:type="dxa"/>
            </w:tcMar>
          </w:tcPr>
          <w:p>
            <w:pPr>
              <w:pStyle w:val="Compact"/>
              <w:jc w:val="left"/>
            </w:pPr>
            <w:r>
              <w:rPr>
                <w:sz w:val="17"/>
              </w:rPr>
              <w:t xml:space="preserve">Casa/Settat Exploration; Kenitra Resistance/Anger (dip)</w:t>
            </w:r>
          </w:p>
        </w:tc>
      </w:tr>
      <w:tr>
        <w:trPr>
          <w:cantSplit/>
        </w:trPr>
        <w:tc>
          <w:tcPr>
            <w:tcW w:type="dxa" w:w="1156"/>
            <w:tcMar>
              <w:top w:w="20" w:type="dxa"/>
              <w:bottom w:w="20" w:type="dxa"/>
              <w:left w:w="40" w:type="dxa"/>
              <w:right w:w="40" w:type="dxa"/>
            </w:tcMar>
          </w:tcPr>
          <w:p>
            <w:pPr>
              <w:pStyle w:val="Compact"/>
              <w:jc w:val="left"/>
            </w:pPr>
            <w:r>
              <w:rPr>
                <w:sz w:val="17"/>
              </w:rPr>
              <w:t xml:space="preserve">P7-T3-S2</w:t>
            </w:r>
          </w:p>
        </w:tc>
        <w:tc>
          <w:tcPr>
            <w:tcW w:type="dxa" w:w="3363"/>
            <w:tcMar>
              <w:top w:w="20" w:type="dxa"/>
              <w:bottom w:w="20" w:type="dxa"/>
              <w:left w:w="40" w:type="dxa"/>
              <w:right w:w="40" w:type="dxa"/>
            </w:tcMar>
          </w:tcPr>
          <w:p>
            <w:pPr>
              <w:pStyle w:val="Compact"/>
              <w:jc w:val="left"/>
            </w:pPr>
            <w:r>
              <w:rPr>
                <w:sz w:val="17"/>
              </w:rPr>
              <w:t xml:space="preserve">↳ [CM] Repeat Re-Pulse, 4-Week Mark — E4 closes</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P7</w:t>
            </w:r>
          </w:p>
        </w:tc>
        <w:tc>
          <w:tcPr>
            <w:tcW w:type="dxa" w:w="735"/>
            <w:tcMar>
              <w:top w:w="20" w:type="dxa"/>
              <w:bottom w:w="20" w:type="dxa"/>
              <w:left w:w="40" w:type="dxa"/>
              <w:right w:w="40" w:type="dxa"/>
            </w:tcMar>
          </w:tcPr>
          <w:p>
            <w:pPr>
              <w:pStyle w:val="Compact"/>
              <w:jc w:val="left"/>
            </w:pPr>
            <w:r>
              <w:rPr>
                <w:sz w:val="17"/>
              </w:rPr>
              <w:t xml:space="preserve">W47</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jc w:val="left"/>
            </w:pPr>
            <w:r>
              <w:rPr>
                <w:sz w:val="17"/>
              </w:rPr>
              <w:t xml:space="preserve">Kenitra Neutral Zone → New Beginning</w:t>
            </w:r>
          </w:p>
        </w:tc>
        <w:tc>
          <w:tcPr>
            <w:tcW w:type="dxa" w:w="840"/>
            <w:tcMar>
              <w:top w:w="20" w:type="dxa"/>
              <w:bottom w:w="20" w:type="dxa"/>
              <w:left w:w="40" w:type="dxa"/>
              <w:right w:w="40" w:type="dxa"/>
            </w:tcMar>
          </w:tcPr>
          <w:p>
            <w:pPr>
              <w:pStyle w:val="Compact"/>
              <w:jc w:val="left"/>
            </w:pPr>
            <w:r>
              <w:rPr>
                <w:sz w:val="17"/>
              </w:rPr>
              <w:t xml:space="preserve">Kenitra Resistance/Anger → Exploration</w:t>
            </w:r>
          </w:p>
        </w:tc>
      </w:tr>
      <w:tr>
        <w:trPr>
          <w:cantSplit/>
        </w:trPr>
        <w:tc>
          <w:tcPr>
            <w:tcW w:type="dxa" w:w="1156"/>
            <w:tcMar>
              <w:top w:w="20" w:type="dxa"/>
              <w:bottom w:w="20" w:type="dxa"/>
              <w:left w:w="40" w:type="dxa"/>
              <w:right w:w="40" w:type="dxa"/>
            </w:tcMar>
          </w:tcPr>
          <w:p>
            <w:pPr>
              <w:pStyle w:val="Compact"/>
              <w:jc w:val="left"/>
            </w:pPr>
            <w:r>
              <w:rPr>
                <w:bCs/>
                <w:b/>
                <w:sz w:val="17"/>
              </w:rPr>
              <w:t xml:space="preserve">P7-T4</w:t>
            </w:r>
          </w:p>
        </w:tc>
        <w:tc>
          <w:tcPr>
            <w:tcW w:type="dxa" w:w="3363"/>
            <w:tcMar>
              <w:top w:w="20" w:type="dxa"/>
              <w:bottom w:w="20" w:type="dxa"/>
              <w:left w:w="40" w:type="dxa"/>
              <w:right w:w="40" w:type="dxa"/>
            </w:tcMar>
          </w:tcPr>
          <w:p>
            <w:pPr>
              <w:pStyle w:val="Compact"/>
              <w:jc w:val="left"/>
            </w:pPr>
            <w:r>
              <w:rPr>
                <w:bCs/>
                <w:b/>
                <w:sz w:val="17"/>
              </w:rPr>
              <w:t xml:space="preserve">Backward-Movement Check &amp; Phase Gate</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P7</w:t>
            </w:r>
          </w:p>
        </w:tc>
        <w:tc>
          <w:tcPr>
            <w:tcW w:type="dxa" w:w="735"/>
            <w:tcMar>
              <w:top w:w="20" w:type="dxa"/>
              <w:bottom w:w="20" w:type="dxa"/>
              <w:left w:w="40" w:type="dxa"/>
              <w:right w:w="40" w:type="dxa"/>
            </w:tcMar>
          </w:tcPr>
          <w:p>
            <w:pPr>
              <w:pStyle w:val="Compact"/>
              <w:jc w:val="left"/>
            </w:pPr>
            <w:r>
              <w:rPr>
                <w:sz w:val="17"/>
              </w:rPr>
              <w:t xml:space="preserve">W48–50</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P7-T4-S1</w:t>
            </w:r>
          </w:p>
        </w:tc>
        <w:tc>
          <w:tcPr>
            <w:tcW w:type="dxa" w:w="3363"/>
            <w:tcMar>
              <w:top w:w="20" w:type="dxa"/>
              <w:bottom w:w="20" w:type="dxa"/>
              <w:left w:w="40" w:type="dxa"/>
              <w:right w:w="40" w:type="dxa"/>
            </w:tcMar>
          </w:tcPr>
          <w:p>
            <w:pPr>
              <w:pStyle w:val="Compact"/>
              <w:jc w:val="left"/>
            </w:pPr>
            <w:r>
              <w:rPr>
                <w:sz w:val="17"/>
              </w:rPr>
              <w:t xml:space="preserve">↳ [CM] Identify Any Cohort Moved Backward — E6 closes</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P7</w:t>
            </w:r>
          </w:p>
        </w:tc>
        <w:tc>
          <w:tcPr>
            <w:tcW w:type="dxa" w:w="735"/>
            <w:tcMar>
              <w:top w:w="20" w:type="dxa"/>
              <w:bottom w:w="20" w:type="dxa"/>
              <w:left w:w="40" w:type="dxa"/>
              <w:right w:w="40" w:type="dxa"/>
            </w:tcMar>
          </w:tcPr>
          <w:p>
            <w:pPr>
              <w:pStyle w:val="Compact"/>
              <w:jc w:val="left"/>
            </w:pPr>
            <w:r>
              <w:rPr>
                <w:sz w:val="17"/>
              </w:rPr>
              <w:t xml:space="preserve">W48</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P7-T4-S2</w:t>
            </w:r>
          </w:p>
        </w:tc>
        <w:tc>
          <w:tcPr>
            <w:tcW w:type="dxa" w:w="3363"/>
            <w:tcMar>
              <w:top w:w="20" w:type="dxa"/>
              <w:bottom w:w="20" w:type="dxa"/>
              <w:left w:w="40" w:type="dxa"/>
              <w:right w:w="40" w:type="dxa"/>
            </w:tcMar>
          </w:tcPr>
          <w:p>
            <w:pPr>
              <w:pStyle w:val="Compact"/>
              <w:jc w:val="left"/>
            </w:pPr>
            <w:r>
              <w:rPr>
                <w:sz w:val="17"/>
              </w:rPr>
              <w:t xml:space="preserve">↳ [CM] Confirm Bridges/Kübler-Ross, All Sites — E3 evidence complete</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P7</w:t>
            </w:r>
          </w:p>
        </w:tc>
        <w:tc>
          <w:tcPr>
            <w:tcW w:type="dxa" w:w="735"/>
            <w:tcMar>
              <w:top w:w="20" w:type="dxa"/>
              <w:bottom w:w="20" w:type="dxa"/>
              <w:left w:w="40" w:type="dxa"/>
              <w:right w:w="40" w:type="dxa"/>
            </w:tcMar>
          </w:tcPr>
          <w:p>
            <w:pPr>
              <w:pStyle w:val="Compact"/>
              <w:jc w:val="left"/>
            </w:pPr>
            <w:r>
              <w:rPr>
                <w:sz w:val="17"/>
              </w:rPr>
              <w:t xml:space="preserve">W50</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jc w:val="left"/>
            </w:pPr>
            <w:r>
              <w:rPr>
                <w:sz w:val="17"/>
              </w:rPr>
              <w:t xml:space="preserve">New Beginning (all sites, confirmed)</w:t>
            </w:r>
          </w:p>
        </w:tc>
        <w:tc>
          <w:tcPr>
            <w:tcW w:type="dxa" w:w="840"/>
            <w:tcMar>
              <w:top w:w="20" w:type="dxa"/>
              <w:bottom w:w="20" w:type="dxa"/>
              <w:left w:w="40" w:type="dxa"/>
              <w:right w:w="40" w:type="dxa"/>
            </w:tcMar>
          </w:tcPr>
          <w:p>
            <w:pPr>
              <w:pStyle w:val="Compact"/>
              <w:jc w:val="left"/>
            </w:pPr>
            <w:r>
              <w:rPr>
                <w:sz w:val="17"/>
              </w:rPr>
              <w:t xml:space="preserve">Exploration or better (all sites, confirmed)</w:t>
            </w:r>
          </w:p>
        </w:tc>
      </w:tr>
      <w:tr>
        <w:trPr>
          <w:cantSplit/>
        </w:trPr>
        <w:tc>
          <w:tcPr>
            <w:tcW w:type="dxa" w:w="1156"/>
            <w:tcMar>
              <w:top w:w="20" w:type="dxa"/>
              <w:bottom w:w="20" w:type="dxa"/>
              <w:left w:w="40" w:type="dxa"/>
              <w:right w:w="40" w:type="dxa"/>
            </w:tcMar>
          </w:tcPr>
          <w:p>
            <w:pPr>
              <w:pStyle w:val="Compact"/>
              <w:jc w:val="left"/>
            </w:pPr>
            <w:r>
              <w:rPr>
                <w:bCs/>
                <w:b/>
                <w:sz w:val="17"/>
              </w:rPr>
              <w:t xml:space="preserve">P8-T1</w:t>
            </w:r>
          </w:p>
        </w:tc>
        <w:tc>
          <w:tcPr>
            <w:tcW w:type="dxa" w:w="3363"/>
            <w:tcMar>
              <w:top w:w="20" w:type="dxa"/>
              <w:bottom w:w="20" w:type="dxa"/>
              <w:left w:w="40" w:type="dxa"/>
              <w:right w:w="40" w:type="dxa"/>
            </w:tcMar>
          </w:tcPr>
          <w:p>
            <w:pPr>
              <w:pStyle w:val="Compact"/>
              <w:jc w:val="left"/>
            </w:pPr>
            <w:r>
              <w:rPr>
                <w:bCs/>
                <w:b/>
                <w:sz w:val="17"/>
              </w:rPr>
              <w:t xml:space="preserve">New-Process Metrics Agreement</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P8</w:t>
            </w:r>
          </w:p>
        </w:tc>
        <w:tc>
          <w:tcPr>
            <w:tcW w:type="dxa" w:w="735"/>
            <w:tcMar>
              <w:top w:w="20" w:type="dxa"/>
              <w:bottom w:w="20" w:type="dxa"/>
              <w:left w:w="40" w:type="dxa"/>
              <w:right w:w="40" w:type="dxa"/>
            </w:tcMar>
          </w:tcPr>
          <w:p>
            <w:pPr>
              <w:pStyle w:val="Compact"/>
              <w:jc w:val="left"/>
            </w:pPr>
            <w:r>
              <w:rPr>
                <w:sz w:val="17"/>
              </w:rPr>
              <w:t xml:space="preserve">W51–52</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P8-T1-S1</w:t>
            </w:r>
          </w:p>
        </w:tc>
        <w:tc>
          <w:tcPr>
            <w:tcW w:type="dxa" w:w="3363"/>
            <w:tcMar>
              <w:top w:w="20" w:type="dxa"/>
              <w:bottom w:w="20" w:type="dxa"/>
              <w:left w:w="40" w:type="dxa"/>
              <w:right w:w="40" w:type="dxa"/>
            </w:tcMar>
          </w:tcPr>
          <w:p>
            <w:pPr>
              <w:pStyle w:val="Compact"/>
              <w:jc w:val="left"/>
            </w:pPr>
            <w:r>
              <w:rPr>
                <w:sz w:val="17"/>
              </w:rPr>
              <w:t xml:space="preserve">↳ [CM] Agree New-Process Metrics with HR</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P8</w:t>
            </w:r>
          </w:p>
        </w:tc>
        <w:tc>
          <w:tcPr>
            <w:tcW w:type="dxa" w:w="735"/>
            <w:tcMar>
              <w:top w:w="20" w:type="dxa"/>
              <w:bottom w:w="20" w:type="dxa"/>
              <w:left w:w="40" w:type="dxa"/>
              <w:right w:w="40" w:type="dxa"/>
            </w:tcMar>
          </w:tcPr>
          <w:p>
            <w:pPr>
              <w:pStyle w:val="Compact"/>
              <w:jc w:val="left"/>
            </w:pPr>
            <w:r>
              <w:rPr>
                <w:sz w:val="17"/>
              </w:rPr>
              <w:t xml:space="preserve">W51</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P8-T1-S2</w:t>
            </w:r>
          </w:p>
        </w:tc>
        <w:tc>
          <w:tcPr>
            <w:tcW w:type="dxa" w:w="3363"/>
            <w:tcMar>
              <w:top w:w="20" w:type="dxa"/>
              <w:bottom w:w="20" w:type="dxa"/>
              <w:left w:w="40" w:type="dxa"/>
              <w:right w:w="40" w:type="dxa"/>
            </w:tcMar>
          </w:tcPr>
          <w:p>
            <w:pPr>
              <w:pStyle w:val="Compact"/>
              <w:jc w:val="left"/>
            </w:pPr>
            <w:r>
              <w:rPr>
                <w:sz w:val="17"/>
              </w:rPr>
              <w:t xml:space="preserve">↳ [CM] Confirm Metrics Live; Run 60-Day Checkpoint</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P8</w:t>
            </w:r>
          </w:p>
        </w:tc>
        <w:tc>
          <w:tcPr>
            <w:tcW w:type="dxa" w:w="735"/>
            <w:tcMar>
              <w:top w:w="20" w:type="dxa"/>
              <w:bottom w:w="20" w:type="dxa"/>
              <w:left w:w="40" w:type="dxa"/>
              <w:right w:w="40" w:type="dxa"/>
            </w:tcMar>
          </w:tcPr>
          <w:p>
            <w:pPr>
              <w:pStyle w:val="Compact"/>
              <w:jc w:val="left"/>
            </w:pPr>
            <w:r>
              <w:rPr>
                <w:sz w:val="17"/>
              </w:rPr>
              <w:t xml:space="preserve">W52</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P8-T2</w:t>
            </w:r>
          </w:p>
        </w:tc>
        <w:tc>
          <w:tcPr>
            <w:tcW w:type="dxa" w:w="3363"/>
            <w:tcMar>
              <w:top w:w="20" w:type="dxa"/>
              <w:bottom w:w="20" w:type="dxa"/>
              <w:left w:w="40" w:type="dxa"/>
              <w:right w:w="40" w:type="dxa"/>
            </w:tcMar>
          </w:tcPr>
          <w:p>
            <w:pPr>
              <w:pStyle w:val="Compact"/>
              <w:jc w:val="left"/>
            </w:pPr>
            <w:r>
              <w:rPr>
                <w:bCs/>
                <w:b/>
                <w:sz w:val="17"/>
              </w:rPr>
              <w:t xml:space="preserve">Reinforcement Mechanisms &amp; Legacy Decommission</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P8</w:t>
            </w:r>
          </w:p>
        </w:tc>
        <w:tc>
          <w:tcPr>
            <w:tcW w:type="dxa" w:w="735"/>
            <w:tcMar>
              <w:top w:w="20" w:type="dxa"/>
              <w:bottom w:w="20" w:type="dxa"/>
              <w:left w:w="40" w:type="dxa"/>
              <w:right w:w="40" w:type="dxa"/>
            </w:tcMar>
          </w:tcPr>
          <w:p>
            <w:pPr>
              <w:pStyle w:val="Compact"/>
              <w:jc w:val="left"/>
            </w:pPr>
            <w:r>
              <w:rPr>
                <w:sz w:val="17"/>
              </w:rPr>
              <w:t xml:space="preserve">W53–54</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P8-T2-S1</w:t>
            </w:r>
          </w:p>
        </w:tc>
        <w:tc>
          <w:tcPr>
            <w:tcW w:type="dxa" w:w="3363"/>
            <w:tcMar>
              <w:top w:w="20" w:type="dxa"/>
              <w:bottom w:w="20" w:type="dxa"/>
              <w:left w:w="40" w:type="dxa"/>
              <w:right w:w="40" w:type="dxa"/>
            </w:tcMar>
          </w:tcPr>
          <w:p>
            <w:pPr>
              <w:pStyle w:val="Compact"/>
              <w:jc w:val="left"/>
            </w:pPr>
            <w:r>
              <w:rPr>
                <w:sz w:val="17"/>
              </w:rPr>
              <w:t xml:space="preserve">↳ [CM] Confirm Recognition/Check-In Mechanisms Running</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P8</w:t>
            </w:r>
          </w:p>
        </w:tc>
        <w:tc>
          <w:tcPr>
            <w:tcW w:type="dxa" w:w="735"/>
            <w:tcMar>
              <w:top w:w="20" w:type="dxa"/>
              <w:bottom w:w="20" w:type="dxa"/>
              <w:left w:w="40" w:type="dxa"/>
              <w:right w:w="40" w:type="dxa"/>
            </w:tcMar>
          </w:tcPr>
          <w:p>
            <w:pPr>
              <w:pStyle w:val="Compact"/>
              <w:jc w:val="left"/>
            </w:pPr>
            <w:r>
              <w:rPr>
                <w:sz w:val="17"/>
              </w:rPr>
              <w:t xml:space="preserve">W53</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P8-T2-S2</w:t>
            </w:r>
          </w:p>
        </w:tc>
        <w:tc>
          <w:tcPr>
            <w:tcW w:type="dxa" w:w="3363"/>
            <w:tcMar>
              <w:top w:w="20" w:type="dxa"/>
              <w:bottom w:w="20" w:type="dxa"/>
              <w:left w:w="40" w:type="dxa"/>
              <w:right w:w="40" w:type="dxa"/>
            </w:tcMar>
          </w:tcPr>
          <w:p>
            <w:pPr>
              <w:pStyle w:val="Compact"/>
              <w:jc w:val="left"/>
            </w:pPr>
            <w:r>
              <w:rPr>
                <w:sz w:val="17"/>
              </w:rPr>
              <w:t xml:space="preserve">↳ [CM] Confirm Legacy Access Revoked, All Users</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P8</w:t>
            </w:r>
          </w:p>
        </w:tc>
        <w:tc>
          <w:tcPr>
            <w:tcW w:type="dxa" w:w="735"/>
            <w:tcMar>
              <w:top w:w="20" w:type="dxa"/>
              <w:bottom w:w="20" w:type="dxa"/>
              <w:left w:w="40" w:type="dxa"/>
              <w:right w:w="40" w:type="dxa"/>
            </w:tcMar>
          </w:tcPr>
          <w:p>
            <w:pPr>
              <w:pStyle w:val="Compact"/>
              <w:jc w:val="left"/>
            </w:pPr>
            <w:r>
              <w:rPr>
                <w:sz w:val="17"/>
              </w:rPr>
              <w:t xml:space="preserve">W54</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P8-T3</w:t>
            </w:r>
          </w:p>
        </w:tc>
        <w:tc>
          <w:tcPr>
            <w:tcW w:type="dxa" w:w="3363"/>
            <w:tcMar>
              <w:top w:w="20" w:type="dxa"/>
              <w:bottom w:w="20" w:type="dxa"/>
              <w:left w:w="40" w:type="dxa"/>
              <w:right w:w="40" w:type="dxa"/>
            </w:tcMar>
          </w:tcPr>
          <w:p>
            <w:pPr>
              <w:pStyle w:val="Compact"/>
              <w:jc w:val="left"/>
            </w:pPr>
            <w:r>
              <w:rPr>
                <w:bCs/>
                <w:b/>
                <w:sz w:val="17"/>
              </w:rPr>
              <w:t xml:space="preserve">90-Day Checkpoint &amp; Reinforcement Gap (E5)</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P8</w:t>
            </w:r>
          </w:p>
        </w:tc>
        <w:tc>
          <w:tcPr>
            <w:tcW w:type="dxa" w:w="735"/>
            <w:tcMar>
              <w:top w:w="20" w:type="dxa"/>
              <w:bottom w:w="20" w:type="dxa"/>
              <w:left w:w="40" w:type="dxa"/>
              <w:right w:w="40" w:type="dxa"/>
            </w:tcMar>
          </w:tcPr>
          <w:p>
            <w:pPr>
              <w:pStyle w:val="Compact"/>
              <w:jc w:val="left"/>
            </w:pPr>
            <w:r>
              <w:rPr>
                <w:sz w:val="17"/>
              </w:rPr>
              <w:t xml:space="preserve">W56–63</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P8-T3-S1</w:t>
            </w:r>
          </w:p>
        </w:tc>
        <w:tc>
          <w:tcPr>
            <w:tcW w:type="dxa" w:w="3363"/>
            <w:tcMar>
              <w:top w:w="20" w:type="dxa"/>
              <w:bottom w:w="20" w:type="dxa"/>
              <w:left w:w="40" w:type="dxa"/>
              <w:right w:w="40" w:type="dxa"/>
            </w:tcMar>
          </w:tcPr>
          <w:p>
            <w:pPr>
              <w:pStyle w:val="Compact"/>
              <w:jc w:val="left"/>
            </w:pPr>
            <w:r>
              <w:rPr>
                <w:sz w:val="17"/>
              </w:rPr>
              <w:t xml:space="preserve">↳ [CM] Run 90-Day Checkpoint Review — opens E5</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P8</w:t>
            </w:r>
          </w:p>
        </w:tc>
        <w:tc>
          <w:tcPr>
            <w:tcW w:type="dxa" w:w="735"/>
            <w:tcMar>
              <w:top w:w="20" w:type="dxa"/>
              <w:bottom w:w="20" w:type="dxa"/>
              <w:left w:w="40" w:type="dxa"/>
              <w:right w:w="40" w:type="dxa"/>
            </w:tcMar>
          </w:tcPr>
          <w:p>
            <w:pPr>
              <w:pStyle w:val="Compact"/>
              <w:jc w:val="left"/>
            </w:pPr>
            <w:r>
              <w:rPr>
                <w:sz w:val="17"/>
              </w:rPr>
              <w:t xml:space="preserve">W56</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jc w:val="left"/>
            </w:pPr>
            <w:r>
              <w:rPr>
                <w:sz w:val="17"/>
              </w:rPr>
              <w:t xml:space="preserve">Reinforcement = 2.6 (below 3.0 target)</w:t>
            </w: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P8-T3-S2</w:t>
            </w:r>
          </w:p>
        </w:tc>
        <w:tc>
          <w:tcPr>
            <w:tcW w:type="dxa" w:w="3363"/>
            <w:tcMar>
              <w:top w:w="20" w:type="dxa"/>
              <w:bottom w:w="20" w:type="dxa"/>
              <w:left w:w="40" w:type="dxa"/>
              <w:right w:w="40" w:type="dxa"/>
            </w:tcMar>
          </w:tcPr>
          <w:p>
            <w:pPr>
              <w:pStyle w:val="Compact"/>
              <w:jc w:val="left"/>
            </w:pPr>
            <w:r>
              <w:rPr>
                <w:sz w:val="17"/>
              </w:rPr>
              <w:t xml:space="preserve">↳ [CM] Second Extended Checkpoint, Evidence-Gated — via E5 Recovery Task 5 (1B.4); E5 closes</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P8</w:t>
            </w:r>
          </w:p>
        </w:tc>
        <w:tc>
          <w:tcPr>
            <w:tcW w:type="dxa" w:w="735"/>
            <w:tcMar>
              <w:top w:w="20" w:type="dxa"/>
              <w:bottom w:w="20" w:type="dxa"/>
              <w:left w:w="40" w:type="dxa"/>
              <w:right w:w="40" w:type="dxa"/>
            </w:tcMar>
          </w:tcPr>
          <w:p>
            <w:pPr>
              <w:pStyle w:val="Compact"/>
              <w:jc w:val="left"/>
            </w:pPr>
            <w:r>
              <w:rPr>
                <w:sz w:val="17"/>
              </w:rPr>
              <w:t xml:space="preserve">W63</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jc w:val="left"/>
            </w:pPr>
            <w:r>
              <w:rPr>
                <w:sz w:val="17"/>
              </w:rPr>
              <w:t xml:space="preserve">Reinforcement = 3.3</w:t>
            </w: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bCs/>
                <w:b/>
                <w:sz w:val="17"/>
              </w:rPr>
              <w:t xml:space="preserve">P8-T4</w:t>
            </w:r>
          </w:p>
        </w:tc>
        <w:tc>
          <w:tcPr>
            <w:tcW w:type="dxa" w:w="3363"/>
            <w:tcMar>
              <w:top w:w="20" w:type="dxa"/>
              <w:bottom w:w="20" w:type="dxa"/>
              <w:left w:w="40" w:type="dxa"/>
              <w:right w:w="40" w:type="dxa"/>
            </w:tcMar>
          </w:tcPr>
          <w:p>
            <w:pPr>
              <w:pStyle w:val="Compact"/>
              <w:jc w:val="left"/>
            </w:pPr>
            <w:r>
              <w:rPr>
                <w:bCs/>
                <w:b/>
                <w:sz w:val="17"/>
              </w:rPr>
              <w:t xml:space="preserve">Refreeze Confirmation &amp; Program Closure</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P8</w:t>
            </w:r>
          </w:p>
        </w:tc>
        <w:tc>
          <w:tcPr>
            <w:tcW w:type="dxa" w:w="735"/>
            <w:tcMar>
              <w:top w:w="20" w:type="dxa"/>
              <w:bottom w:w="20" w:type="dxa"/>
              <w:left w:w="40" w:type="dxa"/>
              <w:right w:w="40" w:type="dxa"/>
            </w:tcMar>
          </w:tcPr>
          <w:p>
            <w:pPr>
              <w:pStyle w:val="Compact"/>
              <w:jc w:val="left"/>
            </w:pPr>
            <w:r>
              <w:rPr>
                <w:sz w:val="17"/>
              </w:rPr>
              <w:t xml:space="preserve">W64</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P8-T4-S1</w:t>
            </w:r>
          </w:p>
        </w:tc>
        <w:tc>
          <w:tcPr>
            <w:tcW w:type="dxa" w:w="3363"/>
            <w:tcMar>
              <w:top w:w="20" w:type="dxa"/>
              <w:bottom w:w="20" w:type="dxa"/>
              <w:left w:w="40" w:type="dxa"/>
              <w:right w:w="40" w:type="dxa"/>
            </w:tcMar>
          </w:tcPr>
          <w:p>
            <w:pPr>
              <w:pStyle w:val="Compact"/>
              <w:jc w:val="left"/>
            </w:pPr>
            <w:r>
              <w:rPr>
                <w:sz w:val="17"/>
              </w:rPr>
              <w:t xml:space="preserve">↳ [CM] Review Three Consecutive Healthy Checkpoints</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P8</w:t>
            </w:r>
          </w:p>
        </w:tc>
        <w:tc>
          <w:tcPr>
            <w:tcW w:type="dxa" w:w="735"/>
            <w:tcMar>
              <w:top w:w="20" w:type="dxa"/>
              <w:bottom w:w="20" w:type="dxa"/>
              <w:left w:w="40" w:type="dxa"/>
              <w:right w:w="40" w:type="dxa"/>
            </w:tcMar>
          </w:tcPr>
          <w:p>
            <w:pPr>
              <w:pStyle w:val="Compact"/>
              <w:jc w:val="left"/>
            </w:pPr>
            <w:r>
              <w:rPr>
                <w:sz w:val="17"/>
              </w:rPr>
              <w:t xml:space="preserve">W64</w:t>
            </w:r>
          </w:p>
        </w:tc>
        <w:tc>
          <w:tcPr>
            <w:tcW w:type="dxa" w:w="840"/>
            <w:tcMar>
              <w:top w:w="20" w:type="dxa"/>
              <w:bottom w:w="20" w:type="dxa"/>
              <w:left w:w="40" w:type="dxa"/>
              <w:right w:w="40" w:type="dxa"/>
            </w:tcMar>
          </w:tcPr>
          <w:p>
            <w:pPr>
              <w:pStyle w:val="Compact"/>
            </w:pP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r>
        <w:trPr>
          <w:cantSplit/>
        </w:trPr>
        <w:tc>
          <w:tcPr>
            <w:tcW w:type="dxa" w:w="1156"/>
            <w:tcMar>
              <w:top w:w="20" w:type="dxa"/>
              <w:bottom w:w="20" w:type="dxa"/>
              <w:left w:w="40" w:type="dxa"/>
              <w:right w:w="40" w:type="dxa"/>
            </w:tcMar>
          </w:tcPr>
          <w:p>
            <w:pPr>
              <w:pStyle w:val="Compact"/>
              <w:jc w:val="left"/>
            </w:pPr>
            <w:r>
              <w:rPr>
                <w:sz w:val="17"/>
              </w:rPr>
              <w:t xml:space="preserve">P8-T4-S2</w:t>
            </w:r>
          </w:p>
        </w:tc>
        <w:tc>
          <w:tcPr>
            <w:tcW w:type="dxa" w:w="3363"/>
            <w:tcMar>
              <w:top w:w="20" w:type="dxa"/>
              <w:bottom w:w="20" w:type="dxa"/>
              <w:left w:w="40" w:type="dxa"/>
              <w:right w:w="40" w:type="dxa"/>
            </w:tcMar>
          </w:tcPr>
          <w:p>
            <w:pPr>
              <w:pStyle w:val="Compact"/>
              <w:jc w:val="left"/>
            </w:pPr>
            <w:r>
              <w:rPr>
                <w:sz w:val="17"/>
              </w:rPr>
              <w:t xml:space="preserve">↳ [CM] Log Refreeze; Toggle Sustainment Sign-Off</w:t>
            </w:r>
          </w:p>
        </w:tc>
        <w:tc>
          <w:tcPr>
            <w:tcW w:type="dxa" w:w="630"/>
            <w:tcMar>
              <w:top w:w="20" w:type="dxa"/>
              <w:bottom w:w="20" w:type="dxa"/>
              <w:left w:w="40" w:type="dxa"/>
              <w:right w:w="40" w:type="dxa"/>
            </w:tcMar>
          </w:tcPr>
          <w:p>
            <w:pPr>
              <w:pStyle w:val="Compact"/>
              <w:jc w:val="left"/>
            </w:pPr>
            <w:r>
              <w:rPr>
                <w:sz w:val="17"/>
              </w:rPr>
              <w:t xml:space="preserve">CM</w:t>
            </w:r>
          </w:p>
        </w:tc>
        <w:tc>
          <w:tcPr>
            <w:tcW w:type="dxa" w:w="420"/>
            <w:tcMar>
              <w:top w:w="20" w:type="dxa"/>
              <w:bottom w:w="20" w:type="dxa"/>
              <w:left w:w="40" w:type="dxa"/>
              <w:right w:w="40" w:type="dxa"/>
            </w:tcMar>
          </w:tcPr>
          <w:p>
            <w:pPr>
              <w:pStyle w:val="Compact"/>
              <w:jc w:val="left"/>
            </w:pPr>
            <w:r>
              <w:rPr>
                <w:sz w:val="17"/>
              </w:rPr>
              <w:t xml:space="preserve">P8</w:t>
            </w:r>
          </w:p>
        </w:tc>
        <w:tc>
          <w:tcPr>
            <w:tcW w:type="dxa" w:w="735"/>
            <w:tcMar>
              <w:top w:w="20" w:type="dxa"/>
              <w:bottom w:w="20" w:type="dxa"/>
              <w:left w:w="40" w:type="dxa"/>
              <w:right w:w="40" w:type="dxa"/>
            </w:tcMar>
          </w:tcPr>
          <w:p>
            <w:pPr>
              <w:pStyle w:val="Compact"/>
              <w:jc w:val="left"/>
            </w:pPr>
            <w:r>
              <w:rPr>
                <w:sz w:val="17"/>
              </w:rPr>
              <w:t xml:space="preserve">W64</w:t>
            </w:r>
          </w:p>
        </w:tc>
        <w:tc>
          <w:tcPr>
            <w:tcW w:type="dxa" w:w="840"/>
            <w:tcMar>
              <w:top w:w="20" w:type="dxa"/>
              <w:bottom w:w="20" w:type="dxa"/>
              <w:left w:w="40" w:type="dxa"/>
              <w:right w:w="40" w:type="dxa"/>
            </w:tcMar>
          </w:tcPr>
          <w:p>
            <w:pPr>
              <w:pStyle w:val="Compact"/>
              <w:jc w:val="left"/>
            </w:pPr>
            <w:r>
              <w:rPr>
                <w:sz w:val="17"/>
              </w:rPr>
              <w:t xml:space="preserve">Refreeze (confirmed)</w:t>
            </w:r>
          </w:p>
        </w:tc>
        <w:tc>
          <w:tcPr>
            <w:tcW w:type="dxa" w:w="1366"/>
            <w:tcMar>
              <w:top w:w="20" w:type="dxa"/>
              <w:bottom w:w="20" w:type="dxa"/>
              <w:left w:w="40" w:type="dxa"/>
              <w:right w:w="40" w:type="dxa"/>
            </w:tcMar>
          </w:tcPr>
          <w:p>
            <w:pPr>
              <w:pStyle w:val="Compact"/>
            </w:pPr>
          </w:p>
        </w:tc>
        <w:tc>
          <w:tcPr>
            <w:tcW w:type="dxa" w:w="1156"/>
            <w:tcMar>
              <w:top w:w="20" w:type="dxa"/>
              <w:bottom w:w="20" w:type="dxa"/>
              <w:left w:w="40" w:type="dxa"/>
              <w:right w:w="40" w:type="dxa"/>
            </w:tcMar>
          </w:tcPr>
          <w:p>
            <w:pPr>
              <w:pStyle w:val="Compact"/>
            </w:pPr>
          </w:p>
        </w:tc>
        <w:tc>
          <w:tcPr>
            <w:tcW w:type="dxa" w:w="840"/>
            <w:tcMar>
              <w:top w:w="20" w:type="dxa"/>
              <w:bottom w:w="20" w:type="dxa"/>
              <w:left w:w="40" w:type="dxa"/>
              <w:right w:w="40" w:type="dxa"/>
            </w:tcMar>
          </w:tcPr>
          <w:p>
            <w:pPr>
              <w:pStyle w:val="Compact"/>
            </w:pPr>
          </w:p>
        </w:tc>
      </w:tr>
    </w:tbl>
    <w:p>
      <w:pPr>
        <w:pStyle w:val="BodyText"/>
      </w:pPr>
    </w:p>
    <w:bookmarkEnd w:id="45"/>
    <w:bookmarkEnd w:id="46"/>
    <w:bookmarkStart w:id="53" w:name="b.4-six-exception-scenarios-in-detail"/>
    <w:p>
      <w:pPr>
        <w:pStyle w:val="Heading3"/>
      </w:pPr>
      <w:r>
        <w:rPr>
          <w:b/>
          <w:color w:val="3F827B"/>
          <w:sz w:val="29"/>
        </w:rPr>
        <w:t xml:space="preserve">1B.4 Six Exception Scenarios, in Detail</w:t>
      </w:r>
    </w:p>
    <w:p>
      <w:pPr>
        <w:pStyle w:val="FirstParagraph"/>
      </w:pPr>
      <w:r>
        <w:rPr>
          <w:sz w:val="25"/>
        </w:rPr>
        <w:t xml:space="preserve">Every exception below is a realistic, specific way one of the four frameworks’ normal progression (1B.1–1B.3) stalls, diverges, or reverses — not a hypothetical. Each is tied to a concrete point in Bouregreg’s 64-week timeline and a specific site, cohort, or role, with its trigger, timeline impact, recovery Tasks, and outputs stated in the same detail as the normal-flow phases above.</w:t>
      </w:r>
    </w:p>
    <w:p>
      <w:pPr>
        <w:pStyle w:val="BodyText"/>
      </w:pPr>
    </w:p>
    <w:bookmarkStart w:id="47" w:name="Xa1621b4e219ab24d722269cde7fd891fa2411a5"/>
    <w:p>
      <w:pPr>
        <w:pStyle w:val="Heading4"/>
      </w:pPr>
      <w:r>
        <w:rPr>
          <w:b/>
          <w:color w:val="5A8F89"/>
          <w:sz w:val="26"/>
        </w:rPr>
        <w:t xml:space="preserve">E1 — Desire Stall at Settat (Related to Phase 3 — Build)</w:t>
      </w:r>
    </w:p>
    <w:p>
      <w:pPr>
        <w:pStyle w:val="FirstParagraph"/>
      </w:pPr>
      <w:r>
        <w:rPr>
          <w:bCs/>
          <w:b/>
          <w:sz w:val="25"/>
        </w:rPr>
        <w:t xml:space="preserve">Trigger:</w:t>
      </w:r>
      <w:r>
        <w:rPr>
          <w:sz w:val="25"/>
        </w:rPr>
        <w:t xml:space="preserve"> </w:t>
      </w:r>
      <w:r>
        <w:rPr>
          <w:sz w:val="25"/>
        </w:rPr>
        <w:t xml:space="preserve">ADKAR Desire logged at 2 or below for the Settat plant-floor cohort on M5 (ADKAR Engine), auto-escalating; barrier-reason notes cite low visibility into what the new inventory workflow will actually look like on their specific line, and unresolved fear about whether the new system will eliminate positions.</w:t>
      </w:r>
    </w:p>
    <w:p>
      <w:pPr>
        <w:pStyle w:val="BodyText"/>
      </w:pPr>
      <w:r>
        <w:rPr>
          <w:bCs/>
          <w:b/>
          <w:sz w:val="25"/>
        </w:rPr>
        <w:t xml:space="preserve">Timeline impact:</w:t>
      </w:r>
      <w:r>
        <w:rPr>
          <w:sz w:val="25"/>
        </w:rPr>
        <w:t xml:space="preserve"> </w:t>
      </w:r>
      <w:r>
        <w:rPr>
          <w:sz w:val="25"/>
        </w:rPr>
        <w:t xml:space="preserve">Inserted as a 2–4 week parallel track within Build (around W20–24); Train’s Task 1 (role-based delivery) does not open for the Settat cohort while their Desire score remains escalated — Test’s Task 2 UAT recruitment (Part 1B.3) is affected in turn if Settat’s representative isn’t ready to participate meaningfully.</w:t>
      </w:r>
    </w:p>
    <w:p>
      <w:pPr>
        <w:pStyle w:val="BodyText"/>
      </w:pPr>
      <w:r>
        <w:rPr>
          <w:bCs/>
          <w:b/>
          <w:sz w:val="25"/>
        </w:rPr>
        <w:t xml:space="preserve">Recovery Tasks:</w:t>
      </w:r>
    </w:p>
    <w:p>
      <w:pPr>
        <w:numPr>
          <w:ilvl w:val="0"/>
          <w:numId w:val="1014"/>
        </w:numPr>
        <w:pStyle w:val="Compact"/>
      </w:pPr>
      <w:r>
        <w:rPr>
          <w:bCs/>
          <w:b/>
          <w:sz w:val="25"/>
        </w:rPr>
        <w:t xml:space="preserve">Cluster barrier-reason notes by root cause.</w:t>
      </w:r>
      <w:r>
        <w:rPr>
          <w:sz w:val="25"/>
        </w:rPr>
        <w:t xml:space="preserve"> </w:t>
      </w:r>
      <w:r>
        <w:rPr>
          <w:sz w:val="25"/>
        </w:rPr>
        <w:t xml:space="preserve">Houda Zerouali reviews Settat’s logged barrier notes and finds the two recurring themes: workflow visibility and position security, not the system itself.</w:t>
      </w:r>
      <w:r>
        <w:rPr>
          <w:sz w:val="25"/>
        </w:rPr>
        <w:t xml:space="preserve"> </w:t>
      </w:r>
      <w:r>
        <w:rPr>
          <w:iCs/>
          <w:i/>
          <w:sz w:val="25"/>
        </w:rPr>
        <w:t xml:space="preserve">journi: M5 (ADKAR Engine).</w:t>
      </w:r>
      <w:r>
        <w:rPr>
          <w:sz w:val="25"/>
        </w:rPr>
        <w:t xml:space="preserve"> </w:t>
      </w:r>
      <w:r>
        <w:rPr>
          <w:sz w:val="25"/>
        </w:rPr>
        <w:t xml:space="preserve">Technique: root-cause clustering — goal: separate the real driver from the noise before designing any response.</w:t>
      </w:r>
    </w:p>
    <w:p>
      <w:pPr>
        <w:numPr>
          <w:ilvl w:val="0"/>
          <w:numId w:val="1014"/>
        </w:numPr>
        <w:pStyle w:val="Compact"/>
      </w:pPr>
      <w:r>
        <w:rPr>
          <w:bCs/>
          <w:b/>
          <w:sz w:val="25"/>
        </w:rPr>
        <w:t xml:space="preserve">Run targeted listening sessions.</w:t>
      </w:r>
      <w:r>
        <w:rPr>
          <w:sz w:val="25"/>
        </w:rPr>
        <w:t xml:space="preserve"> </w:t>
      </w:r>
      <w:r>
        <w:rPr>
          <w:sz w:val="25"/>
        </w:rPr>
        <w:t xml:space="preserve">Small-group sessions with the Settat plant-floor cohort validate which of the two themes is actually driving the stall — in this case, position security, not workflow visibility. Technique: targeted listening session — goal: confirm the clustering with the cohort directly, not assume it.</w:t>
      </w:r>
    </w:p>
    <w:p>
      <w:pPr>
        <w:numPr>
          <w:ilvl w:val="0"/>
          <w:numId w:val="1014"/>
        </w:numPr>
        <w:pStyle w:val="Compact"/>
      </w:pPr>
      <w:r>
        <w:rPr>
          <w:bCs/>
          <w:b/>
          <w:sz w:val="25"/>
        </w:rPr>
        <w:t xml:space="preserve">Design a specific, credible response.</w:t>
      </w:r>
      <w:r>
        <w:rPr>
          <w:sz w:val="25"/>
        </w:rPr>
        <w:t xml:space="preserve"> </w:t>
      </w:r>
      <w:r>
        <w:rPr>
          <w:sz w:val="25"/>
        </w:rPr>
        <w:t xml:space="preserve">Driss El Amrani and the CFO agree a concrete, verifiable commitment on staffing levels post-go-live — not a vague reassurance. Technique: credible-response design — goal: a commitment specific and checkable enough that the cohort can hold the Sponsor to it.</w:t>
      </w:r>
    </w:p>
    <w:p>
      <w:pPr>
        <w:numPr>
          <w:ilvl w:val="0"/>
          <w:numId w:val="1014"/>
        </w:numPr>
        <w:pStyle w:val="Compact"/>
      </w:pPr>
      <w:r>
        <w:rPr>
          <w:bCs/>
          <w:b/>
          <w:sz w:val="25"/>
        </w:rPr>
        <w:t xml:space="preserve">Have the Sponsor deliver the response personally.</w:t>
      </w:r>
      <w:r>
        <w:rPr>
          <w:sz w:val="25"/>
        </w:rPr>
        <w:t xml:space="preserve"> </w:t>
      </w:r>
      <w:r>
        <w:rPr>
          <w:sz w:val="25"/>
        </w:rPr>
        <w:t xml:space="preserve">The CFO delivers the commitment directly to the Settat cohort, in person, rather than through a written communication alone — consistent with the CM Charter Sponsor standard (M19 (CM Charters)). Technique: sponsor-delivered response — goal: the weight of a personal, visible commitment, not a memo.</w:t>
      </w:r>
    </w:p>
    <w:p>
      <w:pPr>
        <w:numPr>
          <w:ilvl w:val="0"/>
          <w:numId w:val="1014"/>
        </w:numPr>
        <w:pStyle w:val="Compact"/>
      </w:pPr>
      <w:r>
        <w:rPr>
          <w:bCs/>
          <w:b/>
          <w:sz w:val="25"/>
        </w:rPr>
        <w:t xml:space="preserve">Re-score Desire and Kübler-Ross sentiment 2–4 weeks later.</w:t>
      </w:r>
      <w:r>
        <w:rPr>
          <w:sz w:val="25"/>
        </w:rPr>
        <w:t xml:space="preserve"> </w:t>
      </w:r>
      <w:r>
        <w:rPr>
          <w:sz w:val="25"/>
        </w:rPr>
        <w:t xml:space="preserve">Both scores are re-read on M5 (ADKAR Engine)/M6 (Emotional &amp; Transition Layer) to confirm the intervention actually worked, not just that it happened.</w:t>
      </w:r>
      <w:r>
        <w:rPr>
          <w:sz w:val="25"/>
        </w:rPr>
        <w:t xml:space="preserve"> </w:t>
      </w:r>
      <w:r>
        <w:rPr>
          <w:iCs/>
          <w:i/>
          <w:sz w:val="25"/>
        </w:rPr>
        <w:t xml:space="preserve">journi: M5 (ADKAR Engine)–M6 (Emotional &amp; Transition Layer).</w:t>
      </w:r>
      <w:r>
        <w:rPr>
          <w:sz w:val="25"/>
        </w:rPr>
        <w:t xml:space="preserve"> </w:t>
      </w:r>
      <w:r>
        <w:rPr>
          <w:sz w:val="25"/>
        </w:rPr>
        <w:t xml:space="preserve">Technique: post-intervention re-scoring — goal: verify the fix worked, not just that it was attempted.</w:t>
      </w:r>
    </w:p>
    <w:p>
      <w:pPr>
        <w:pStyle w:val="FirstParagraph"/>
      </w:pPr>
      <w:r>
        <w:rPr>
          <w:bCs/>
          <w:b/>
          <w:sz w:val="25"/>
        </w:rPr>
        <w:t xml:space="preserve">Outputs:</w:t>
      </w:r>
      <w:r>
        <w:rPr>
          <w:sz w:val="25"/>
        </w:rPr>
        <w:t xml:space="preserve"> </w:t>
      </w:r>
      <w:r>
        <w:rPr>
          <w:sz w:val="25"/>
        </w:rPr>
        <w:t xml:space="preserve">root-cause clustering of the Desire stall; a specific, sponsor-delivered response; updated Desire and Kübler-Ross scores; Settat cleared to enter Train’s Task 1 on schedule.</w:t>
      </w:r>
    </w:p>
    <w:p>
      <w:pPr>
        <w:pStyle w:val="BodyText"/>
      </w:pPr>
      <w:r>
        <w:rPr>
          <w:bCs/>
          <w:b/>
          <w:sz w:val="25"/>
        </w:rPr>
        <w:t xml:space="preserve">RACSI for this exception.</w:t>
      </w:r>
      <w:r>
        <w:rPr>
          <w:sz w:val="25"/>
        </w:rPr>
        <w:t xml:space="preserve"> </w:t>
      </w:r>
      <w:r>
        <w:rPr>
          <w:sz w:val="25"/>
        </w:rPr>
        <w:t xml:space="preserve">R = CM · A = CM · C = ES, SUP · S = PM · I = FPO, EU</w:t>
      </w:r>
    </w:p>
    <w:p>
      <w:pPr>
        <w:pStyle w:val="BodyText"/>
      </w:pPr>
    </w:p>
    <w:bookmarkEnd w:id="47"/>
    <w:bookmarkStart w:id="48" w:name="X15fcfc96c3e84f5dd18edf732f9ecdd378149ad"/>
    <w:p>
      <w:pPr>
        <w:pStyle w:val="Heading4"/>
      </w:pPr>
      <w:r>
        <w:rPr>
          <w:b/>
          <w:color w:val="5A8F89"/>
          <w:sz w:val="26"/>
        </w:rPr>
        <w:t xml:space="preserve">E2 — Divergence Pattern at UAT (Related to Phases 4–5 — Test, Train)</w:t>
      </w:r>
    </w:p>
    <w:p>
      <w:pPr>
        <w:pStyle w:val="FirstParagraph"/>
      </w:pPr>
      <w:r>
        <w:rPr>
          <w:bCs/>
          <w:b/>
          <w:sz w:val="25"/>
        </w:rPr>
        <w:t xml:space="preserve">Trigger:</w:t>
      </w:r>
      <w:r>
        <w:rPr>
          <w:sz w:val="25"/>
        </w:rPr>
        <w:t xml:space="preserve"> </w:t>
      </w:r>
      <w:r>
        <w:rPr>
          <w:sz w:val="25"/>
        </w:rPr>
        <w:t xml:space="preserve">ALT-001 (Divergence Pattern Detected) fires — a UAT participant or cohort logs Knowledge ≥ 4 and Ability ≥ 4 on M5 (ADKAR Engine) while Bridges still reads exactly</w:t>
      </w:r>
      <w:r>
        <w:rPr>
          <w:sz w:val="25"/>
        </w:rPr>
        <w:t xml:space="preserve"> </w:t>
      </w:r>
      <w:r>
        <w:rPr>
          <w:sz w:val="25"/>
        </w:rPr>
        <w:t xml:space="preserve">“</w:t>
      </w:r>
      <w:r>
        <w:rPr>
          <w:sz w:val="25"/>
        </w:rPr>
        <w:t xml:space="preserve">Ending</w:t>
      </w:r>
      <w:r>
        <w:rPr>
          <w:sz w:val="25"/>
        </w:rPr>
        <w:t xml:space="preserve">”</w:t>
      </w:r>
      <w:r>
        <w:rPr>
          <w:sz w:val="25"/>
        </w:rPr>
        <w:t xml:space="preserve"> </w:t>
      </w:r>
      <w:r>
        <w:rPr>
          <w:sz w:val="25"/>
        </w:rPr>
        <w:t xml:space="preserve">on M6 (Emotional &amp; Transition Layer). In Bouregreg’s timeline, this is most likely to first appear among Casablanca finance staff, who move through Knowledge/Ability quickly given their proximity to the program team but whose day-to-day work is the most disrupted by the new process.</w:t>
      </w:r>
    </w:p>
    <w:p>
      <w:pPr>
        <w:pStyle w:val="BodyText"/>
      </w:pPr>
      <w:r>
        <w:rPr>
          <w:bCs/>
          <w:b/>
          <w:sz w:val="25"/>
        </w:rPr>
        <w:t xml:space="preserve">Timeline impact:</w:t>
      </w:r>
      <w:r>
        <w:rPr>
          <w:sz w:val="25"/>
        </w:rPr>
        <w:t xml:space="preserve"> </w:t>
      </w:r>
      <w:r>
        <w:rPr>
          <w:sz w:val="25"/>
        </w:rPr>
        <w:t xml:space="preserve">A targeted, individual-level intervention runs alongside Train; the flagged individual does not count toward Train’s Task 3 cohort-readiness call until Bridges moves off Ending.</w:t>
      </w:r>
    </w:p>
    <w:p>
      <w:pPr>
        <w:pStyle w:val="BodyText"/>
      </w:pPr>
      <w:r>
        <w:rPr>
          <w:bCs/>
          <w:b/>
          <w:sz w:val="25"/>
        </w:rPr>
        <w:t xml:space="preserve">Recovery Tasks:</w:t>
      </w:r>
    </w:p>
    <w:p>
      <w:pPr>
        <w:numPr>
          <w:ilvl w:val="0"/>
          <w:numId w:val="1015"/>
        </w:numPr>
        <w:pStyle w:val="Compact"/>
      </w:pPr>
      <w:r>
        <w:rPr>
          <w:bCs/>
          <w:b/>
          <w:sz w:val="25"/>
        </w:rPr>
        <w:t xml:space="preserve">Review the alert and confirm it against supervisor observation.</w:t>
      </w:r>
      <w:r>
        <w:rPr>
          <w:sz w:val="25"/>
        </w:rPr>
        <w:t xml:space="preserve"> </w:t>
      </w:r>
      <w:r>
        <w:rPr>
          <w:sz w:val="25"/>
        </w:rPr>
        <w:t xml:space="preserve">Driss El Amrani checks whether the flagged individual’s supervisor has independently noticed anything — confirming this isn’t a false positive from a single bad Bridges reading.</w:t>
      </w:r>
      <w:r>
        <w:rPr>
          <w:sz w:val="25"/>
        </w:rPr>
        <w:t xml:space="preserve"> </w:t>
      </w:r>
      <w:r>
        <w:rPr>
          <w:iCs/>
          <w:i/>
          <w:sz w:val="25"/>
        </w:rPr>
        <w:t xml:space="preserve">journi: M6 (Emotional &amp; Transition Layer).</w:t>
      </w:r>
      <w:r>
        <w:rPr>
          <w:sz w:val="25"/>
        </w:rPr>
        <w:t xml:space="preserve"> </w:t>
      </w:r>
      <w:r>
        <w:rPr>
          <w:sz w:val="25"/>
        </w:rPr>
        <w:t xml:space="preserve">Technique: cross-source confirmation — goal: rule out a false positive before spending a 1:1 on it.</w:t>
      </w:r>
    </w:p>
    <w:p>
      <w:pPr>
        <w:numPr>
          <w:ilvl w:val="0"/>
          <w:numId w:val="1015"/>
        </w:numPr>
        <w:pStyle w:val="Compact"/>
      </w:pPr>
      <w:r>
        <w:rPr>
          <w:bCs/>
          <w:b/>
          <w:sz w:val="25"/>
        </w:rPr>
        <w:t xml:space="preserve">Hold a 1:1 focused on what is being let go of, not on skills.</w:t>
      </w:r>
      <w:r>
        <w:rPr>
          <w:sz w:val="25"/>
        </w:rPr>
        <w:t xml:space="preserve"> </w:t>
      </w:r>
      <w:r>
        <w:rPr>
          <w:sz w:val="25"/>
        </w:rPr>
        <w:t xml:space="preserve">The conversation deliberately does not revisit training content — the person already scored Knowledge ≥ 4 and Ability ≥ 4; the gap is emotional, not technical. Technique: loss-focused 1:1 — goal: address the actual gap, not the one that’s easier to talk about.</w:t>
      </w:r>
    </w:p>
    <w:p>
      <w:pPr>
        <w:numPr>
          <w:ilvl w:val="0"/>
          <w:numId w:val="1015"/>
        </w:numPr>
        <w:pStyle w:val="Compact"/>
      </w:pPr>
      <w:r>
        <w:rPr>
          <w:bCs/>
          <w:b/>
          <w:sz w:val="25"/>
        </w:rPr>
        <w:t xml:space="preserve">Distinguish a genuine loss concern from simple reluctance.</w:t>
      </w:r>
      <w:r>
        <w:rPr>
          <w:sz w:val="25"/>
        </w:rPr>
        <w:t xml:space="preserve"> </w:t>
      </w:r>
      <w:r>
        <w:rPr>
          <w:sz w:val="25"/>
        </w:rPr>
        <w:t xml:space="preserve">The 1:1 surfaces whether this is a real identity/loss concern (for example, a role that existed under the legacy system and doesn’t exist in the new one) or ordinary change reluctance. Technique: genuine-loss diagnosis — goal: don’t over-treat ordinary reluctance as a structural loss, or under-treat a real one.</w:t>
      </w:r>
    </w:p>
    <w:p>
      <w:pPr>
        <w:numPr>
          <w:ilvl w:val="0"/>
          <w:numId w:val="1015"/>
        </w:numPr>
        <w:pStyle w:val="Compact"/>
      </w:pPr>
      <w:r>
        <w:rPr>
          <w:bCs/>
          <w:b/>
          <w:sz w:val="25"/>
        </w:rPr>
        <w:t xml:space="preserve">Provide an explicit closure moment if a genuine loss is identified.</w:t>
      </w:r>
      <w:r>
        <w:rPr>
          <w:sz w:val="25"/>
        </w:rPr>
        <w:t xml:space="preserve"> </w:t>
      </w:r>
      <w:r>
        <w:rPr>
          <w:sz w:val="25"/>
        </w:rPr>
        <w:t xml:space="preserve">If real, the loss is acknowledged explicitly and directly — not talked around. Technique: explicit closure moment — goal: name the loss plainly, since an unacknowledged one lingers longer than an acknowledged one.</w:t>
      </w:r>
    </w:p>
    <w:p>
      <w:pPr>
        <w:numPr>
          <w:ilvl w:val="0"/>
          <w:numId w:val="1015"/>
        </w:numPr>
        <w:pStyle w:val="Compact"/>
      </w:pPr>
      <w:r>
        <w:rPr>
          <w:bCs/>
          <w:b/>
          <w:sz w:val="25"/>
        </w:rPr>
        <w:t xml:space="preserve">Re-check the Bridges reading only, at the next scheduled pulse.</w:t>
      </w:r>
      <w:r>
        <w:rPr>
          <w:sz w:val="25"/>
        </w:rPr>
        <w:t xml:space="preserve"> </w:t>
      </w:r>
      <w:r>
        <w:rPr>
          <w:sz w:val="25"/>
        </w:rPr>
        <w:t xml:space="preserve">Only Bridges is re-scored; Knowledge and Ability are already confirmed and do not need re-testing.</w:t>
      </w:r>
      <w:r>
        <w:rPr>
          <w:sz w:val="25"/>
        </w:rPr>
        <w:t xml:space="preserve"> </w:t>
      </w:r>
      <w:r>
        <w:rPr>
          <w:iCs/>
          <w:i/>
          <w:sz w:val="25"/>
        </w:rPr>
        <w:t xml:space="preserve">journi: M6 (Emotional &amp; Transition Layer).</w:t>
      </w:r>
      <w:r>
        <w:rPr>
          <w:sz w:val="25"/>
        </w:rPr>
        <w:t xml:space="preserve"> </w:t>
      </w:r>
      <w:r>
        <w:rPr>
          <w:sz w:val="25"/>
        </w:rPr>
        <w:t xml:space="preserve">Technique: scoped re-check — goal: confirm movement on the one dimension that was actually in question.</w:t>
      </w:r>
    </w:p>
    <w:p>
      <w:pPr>
        <w:pStyle w:val="FirstParagraph"/>
      </w:pPr>
      <w:r>
        <w:rPr>
          <w:bCs/>
          <w:b/>
          <w:sz w:val="25"/>
        </w:rPr>
        <w:t xml:space="preserve">Outputs:</w:t>
      </w:r>
      <w:r>
        <w:rPr>
          <w:sz w:val="25"/>
        </w:rPr>
        <w:t xml:space="preserve"> </w:t>
      </w:r>
      <w:r>
        <w:rPr>
          <w:sz w:val="25"/>
        </w:rPr>
        <w:t xml:space="preserve">confirmed or dismissed divergence case; documented loss concern if genuine; updated Bridges reading; the individual cleared for Train’s cohort-readiness call once resolved.</w:t>
      </w:r>
    </w:p>
    <w:p>
      <w:pPr>
        <w:pStyle w:val="BodyText"/>
      </w:pPr>
      <w:r>
        <w:rPr>
          <w:bCs/>
          <w:b/>
          <w:sz w:val="25"/>
        </w:rPr>
        <w:t xml:space="preserve">RACSI for this exception.</w:t>
      </w:r>
      <w:r>
        <w:rPr>
          <w:sz w:val="25"/>
        </w:rPr>
        <w:t xml:space="preserve"> </w:t>
      </w:r>
      <w:r>
        <w:rPr>
          <w:sz w:val="25"/>
        </w:rPr>
        <w:t xml:space="preserve">R = CM · A = CM · C = SUP · S = FPO · I = ES, EU</w:t>
      </w:r>
    </w:p>
    <w:p>
      <w:pPr>
        <w:pStyle w:val="BodyText"/>
      </w:pPr>
    </w:p>
    <w:bookmarkEnd w:id="48"/>
    <w:bookmarkStart w:id="49" w:name="X590d2c31bf013a50316d20d550c70ba2b016e68"/>
    <w:p>
      <w:pPr>
        <w:pStyle w:val="Heading4"/>
      </w:pPr>
      <w:r>
        <w:rPr>
          <w:b/>
          <w:color w:val="5A8F89"/>
          <w:sz w:val="26"/>
        </w:rPr>
        <w:t xml:space="preserve">E3 — Two-Clock Problem at Deploy (Related to Phase 6 — Deploy)</w:t>
      </w:r>
    </w:p>
    <w:p>
      <w:pPr>
        <w:pStyle w:val="FirstParagraph"/>
      </w:pPr>
      <w:r>
        <w:rPr>
          <w:bCs/>
          <w:b/>
          <w:sz w:val="25"/>
        </w:rPr>
        <w:t xml:space="preserve">Trigger:</w:t>
      </w:r>
      <w:r>
        <w:rPr>
          <w:sz w:val="25"/>
        </w:rPr>
        <w:t xml:space="preserve"> </w:t>
      </w:r>
      <w:r>
        <w:rPr>
          <w:sz w:val="25"/>
        </w:rPr>
        <w:t xml:space="preserve">Lewin is technically eligible to be called</w:t>
      </w:r>
      <w:r>
        <w:rPr>
          <w:sz w:val="25"/>
        </w:rPr>
        <w:t xml:space="preserve"> </w:t>
      </w:r>
      <w:r>
        <w:rPr>
          <w:sz w:val="25"/>
        </w:rPr>
        <w:t xml:space="preserve">“</w:t>
      </w:r>
      <w:r>
        <w:rPr>
          <w:sz w:val="25"/>
        </w:rPr>
        <w:t xml:space="preserve">Change → Refreeze</w:t>
      </w:r>
      <w:r>
        <w:rPr>
          <w:sz w:val="25"/>
        </w:rPr>
        <w:t xml:space="preserve">”</w:t>
      </w:r>
      <w:r>
        <w:rPr>
          <w:sz w:val="25"/>
        </w:rPr>
        <w:t xml:space="preserve"> </w:t>
      </w:r>
      <w:r>
        <w:rPr>
          <w:sz w:val="25"/>
        </w:rPr>
        <w:t xml:space="preserve">on the Deploy week’s calendar date, while Bridges and Kübler-Ross across most cohorts still read Neutral Zone / Resistance-Anger or lower — the organizational clock (a single go-live date) and the emotional clock (which does not move on a fixed schedule) diverging exactly as 1B.3’s Phase 6 anticipates.</w:t>
      </w:r>
    </w:p>
    <w:p>
      <w:pPr>
        <w:pStyle w:val="BodyText"/>
      </w:pPr>
      <w:r>
        <w:rPr>
          <w:bCs/>
          <w:b/>
          <w:sz w:val="25"/>
        </w:rPr>
        <w:t xml:space="preserve">Timeline impact:</w:t>
      </w:r>
      <w:r>
        <w:rPr>
          <w:sz w:val="25"/>
        </w:rPr>
        <w:t xml:space="preserve"> </w:t>
      </w:r>
      <w:r>
        <w:rPr>
          <w:sz w:val="25"/>
        </w:rPr>
        <w:t xml:space="preserve">Does not delay go-live itself; extends the hypercare and reinforcement budget and staffing window by the observed lag — commonly 2–6 weeks past the original Hypercare end date.</w:t>
      </w:r>
    </w:p>
    <w:p>
      <w:pPr>
        <w:pStyle w:val="BodyText"/>
      </w:pPr>
      <w:r>
        <w:rPr>
          <w:bCs/>
          <w:b/>
          <w:sz w:val="25"/>
        </w:rPr>
        <w:t xml:space="preserve">Recovery Tasks:</w:t>
      </w:r>
    </w:p>
    <w:p>
      <w:pPr>
        <w:numPr>
          <w:ilvl w:val="0"/>
          <w:numId w:val="1016"/>
        </w:numPr>
        <w:pStyle w:val="Compact"/>
      </w:pPr>
      <w:r>
        <w:rPr>
          <w:bCs/>
          <w:b/>
          <w:sz w:val="25"/>
        </w:rPr>
        <w:t xml:space="preserve">Separate the technical go-live milestone from the Lewin phase call.</w:t>
      </w:r>
      <w:r>
        <w:rPr>
          <w:sz w:val="25"/>
        </w:rPr>
        <w:t xml:space="preserve"> </w:t>
      </w:r>
      <w:r>
        <w:rPr>
          <w:sz w:val="25"/>
        </w:rPr>
        <w:t xml:space="preserve">Driss El Amrani and the ITL team agree explicitly: a clean technical cutover is not, by itself, evidence for Refreeze.</w:t>
      </w:r>
      <w:r>
        <w:rPr>
          <w:sz w:val="25"/>
        </w:rPr>
        <w:t xml:space="preserve"> </w:t>
      </w:r>
      <w:r>
        <w:rPr>
          <w:iCs/>
          <w:i/>
          <w:sz w:val="25"/>
        </w:rPr>
        <w:t xml:space="preserve">journi: M3 (Initiative Registry).</w:t>
      </w:r>
      <w:r>
        <w:rPr>
          <w:sz w:val="25"/>
        </w:rPr>
        <w:t xml:space="preserve"> </w:t>
      </w:r>
      <w:r>
        <w:rPr>
          <w:sz w:val="25"/>
        </w:rPr>
        <w:t xml:space="preserve">Technique: milestone/phase-call separation — goal: prevent a technical success from being mistaken for an emotional one.</w:t>
      </w:r>
    </w:p>
    <w:p>
      <w:pPr>
        <w:numPr>
          <w:ilvl w:val="0"/>
          <w:numId w:val="1016"/>
        </w:numPr>
        <w:pStyle w:val="Compact"/>
      </w:pPr>
      <w:r>
        <w:rPr>
          <w:bCs/>
          <w:b/>
          <w:sz w:val="25"/>
        </w:rPr>
        <w:t xml:space="preserve">Mark Lewin as</w:t>
      </w:r>
      <w:r>
        <w:rPr>
          <w:bCs/>
          <w:b/>
          <w:sz w:val="25"/>
        </w:rPr>
        <w:t xml:space="preserve"> </w:t>
      </w:r>
      <w:r>
        <w:rPr>
          <w:bCs/>
          <w:b/>
          <w:sz w:val="25"/>
        </w:rPr>
        <w:t xml:space="preserve">“</w:t>
      </w:r>
      <w:r>
        <w:rPr>
          <w:bCs/>
          <w:b/>
          <w:sz w:val="25"/>
        </w:rPr>
        <w:t xml:space="preserve">provisional Refreeze</w:t>
      </w:r>
      <w:r>
        <w:rPr>
          <w:bCs/>
          <w:b/>
          <w:sz w:val="25"/>
        </w:rPr>
        <w:t xml:space="preserve">”</w:t>
      </w:r>
      <w:r>
        <w:rPr>
          <w:bCs/>
          <w:b/>
          <w:sz w:val="25"/>
        </w:rPr>
        <w:t xml:space="preserve"> </w:t>
      </w:r>
      <w:r>
        <w:rPr>
          <w:bCs/>
          <w:b/>
          <w:sz w:val="25"/>
        </w:rPr>
        <w:t xml:space="preserve">pending emotional-layer evidence.</w:t>
      </w:r>
      <w:r>
        <w:rPr>
          <w:sz w:val="25"/>
        </w:rPr>
        <w:t xml:space="preserve"> </w:t>
      </w:r>
      <w:r>
        <w:rPr>
          <w:sz w:val="25"/>
        </w:rPr>
        <w:t xml:space="preserve">Exactly the Phase 6 Task 4 language — logged as provisional, with a justification stating what evidence is still pending.</w:t>
      </w:r>
      <w:r>
        <w:rPr>
          <w:sz w:val="25"/>
        </w:rPr>
        <w:t xml:space="preserve"> </w:t>
      </w:r>
      <w:r>
        <w:rPr>
          <w:iCs/>
          <w:i/>
          <w:sz w:val="25"/>
        </w:rPr>
        <w:t xml:space="preserve">journi: M3 (Initiative Registry).</w:t>
      </w:r>
      <w:r>
        <w:rPr>
          <w:sz w:val="25"/>
        </w:rPr>
        <w:t xml:space="preserve"> </w:t>
      </w:r>
      <w:r>
        <w:rPr>
          <w:sz w:val="25"/>
        </w:rPr>
        <w:t xml:space="preserve">Technique: provisional-state logging — goal: an honest, auditable holding position rather than a premature confirmed one.</w:t>
      </w:r>
    </w:p>
    <w:p>
      <w:pPr>
        <w:numPr>
          <w:ilvl w:val="0"/>
          <w:numId w:val="1016"/>
        </w:numPr>
        <w:pStyle w:val="Compact"/>
      </w:pPr>
      <w:r>
        <w:rPr>
          <w:bCs/>
          <w:b/>
          <w:sz w:val="25"/>
        </w:rPr>
        <w:t xml:space="preserve">Keep Reinforcement and hypercare fully active.</w:t>
      </w:r>
      <w:r>
        <w:rPr>
          <w:sz w:val="25"/>
        </w:rPr>
        <w:t xml:space="preserve"> </w:t>
      </w:r>
      <w:r>
        <w:rPr>
          <w:sz w:val="25"/>
        </w:rPr>
        <w:t xml:space="preserve">The hypercare support model (Phase 7 Task 1) is not tapered down just because the Lewin call is provisional rather than confirmed. Technique: sustained support funding — goal: don’t let a budget conversation force the Lewin call before the evidence is ready.</w:t>
      </w:r>
    </w:p>
    <w:p>
      <w:pPr>
        <w:numPr>
          <w:ilvl w:val="0"/>
          <w:numId w:val="1016"/>
        </w:numPr>
        <w:pStyle w:val="Compact"/>
      </w:pPr>
      <w:r>
        <w:rPr>
          <w:bCs/>
          <w:b/>
          <w:sz w:val="25"/>
        </w:rPr>
        <w:t xml:space="preserve">Re-pulse Bridges/Kübler-Ross at 2 and 4 weeks.</w:t>
      </w:r>
      <w:r>
        <w:rPr>
          <w:sz w:val="25"/>
        </w:rPr>
        <w:t xml:space="preserve"> </w:t>
      </w:r>
      <w:r>
        <w:rPr>
          <w:sz w:val="25"/>
        </w:rPr>
        <w:t xml:space="preserve">Exactly Phase 7’s Task 3, run with this exception’s resolution specifically in mind.</w:t>
      </w:r>
      <w:r>
        <w:rPr>
          <w:sz w:val="25"/>
        </w:rPr>
        <w:t xml:space="preserve"> </w:t>
      </w:r>
      <w:r>
        <w:rPr>
          <w:iCs/>
          <w:i/>
          <w:sz w:val="25"/>
        </w:rPr>
        <w:t xml:space="preserve">journi: M6 (Emotional &amp; Transition Layer).</w:t>
      </w:r>
      <w:r>
        <w:rPr>
          <w:sz w:val="25"/>
        </w:rPr>
        <w:t xml:space="preserve"> </w:t>
      </w:r>
      <w:r>
        <w:rPr>
          <w:sz w:val="25"/>
        </w:rPr>
        <w:t xml:space="preserve">Technique: exception-scoped re-pulse — goal: the same technique as the normal flow, run with this specific open question in mind.</w:t>
      </w:r>
    </w:p>
    <w:p>
      <w:pPr>
        <w:numPr>
          <w:ilvl w:val="0"/>
          <w:numId w:val="1016"/>
        </w:numPr>
        <w:pStyle w:val="Compact"/>
      </w:pPr>
      <w:r>
        <w:rPr>
          <w:bCs/>
          <w:b/>
          <w:sz w:val="25"/>
        </w:rPr>
        <w:t xml:space="preserve">Confirm or walk back the Refreeze call once evidence supports it.</w:t>
      </w:r>
      <w:r>
        <w:rPr>
          <w:sz w:val="25"/>
        </w:rPr>
        <w:t xml:space="preserve"> </w:t>
      </w:r>
      <w:r>
        <w:rPr>
          <w:sz w:val="25"/>
        </w:rPr>
        <w:t xml:space="preserve">If the re-pulse shows genuine movement, Refreeze is confirmed; if not, hypercare extends further and the cycle repeats.</w:t>
      </w:r>
      <w:r>
        <w:rPr>
          <w:sz w:val="25"/>
        </w:rPr>
        <w:t xml:space="preserve"> </w:t>
      </w:r>
      <w:r>
        <w:rPr>
          <w:iCs/>
          <w:i/>
          <w:sz w:val="25"/>
        </w:rPr>
        <w:t xml:space="preserve">journi: M3 (Initiative Registry).</w:t>
      </w:r>
      <w:r>
        <w:rPr>
          <w:sz w:val="25"/>
        </w:rPr>
        <w:t xml:space="preserve"> </w:t>
      </w:r>
      <w:r>
        <w:rPr>
          <w:sz w:val="25"/>
        </w:rPr>
        <w:t xml:space="preserve">Technique: evidence-gated confirmation — goal: no fixed number of cycles guaranteed; the evidence decides when this closes.</w:t>
      </w:r>
    </w:p>
    <w:p>
      <w:pPr>
        <w:pStyle w:val="FirstParagraph"/>
      </w:pPr>
      <w:r>
        <w:rPr>
          <w:bCs/>
          <w:b/>
          <w:sz w:val="25"/>
        </w:rPr>
        <w:t xml:space="preserve">Outputs:</w:t>
      </w:r>
      <w:r>
        <w:rPr>
          <w:sz w:val="25"/>
        </w:rPr>
        <w:t xml:space="preserve"> </w:t>
      </w:r>
      <w:r>
        <w:rPr>
          <w:sz w:val="25"/>
        </w:rPr>
        <w:t xml:space="preserve">an explicit provisional Lewin phase call rather than a premature confirmed one; sustained hypercare funding through the lag; a confirmed or corrected Lewin phase once the re-pulse lands.</w:t>
      </w:r>
    </w:p>
    <w:p>
      <w:pPr>
        <w:pStyle w:val="BodyText"/>
      </w:pPr>
      <w:r>
        <w:rPr>
          <w:bCs/>
          <w:b/>
          <w:sz w:val="25"/>
        </w:rPr>
        <w:t xml:space="preserve">RACSI for this exception.</w:t>
      </w:r>
      <w:r>
        <w:rPr>
          <w:sz w:val="25"/>
        </w:rPr>
        <w:t xml:space="preserve"> </w:t>
      </w:r>
      <w:r>
        <w:rPr>
          <w:sz w:val="25"/>
        </w:rPr>
        <w:t xml:space="preserve">R = CM, ITL · A = ES · C = PM · S = SUP · I = EU</w:t>
      </w:r>
    </w:p>
    <w:p>
      <w:pPr>
        <w:pStyle w:val="BodyText"/>
      </w:pPr>
    </w:p>
    <w:bookmarkEnd w:id="49"/>
    <w:bookmarkStart w:id="50" w:name="X04c6a77e19d61970c25498d16c22f81f68b0f5a"/>
    <w:p>
      <w:pPr>
        <w:pStyle w:val="Heading4"/>
      </w:pPr>
      <w:r>
        <w:rPr>
          <w:b/>
          <w:color w:val="5A8F89"/>
          <w:sz w:val="26"/>
        </w:rPr>
        <w:t xml:space="preserve">E4 — Sentiment Regression During Hypercare (Related to Phase 7 — Hypercare)</w:t>
      </w:r>
    </w:p>
    <w:p>
      <w:pPr>
        <w:pStyle w:val="FirstParagraph"/>
      </w:pPr>
      <w:r>
        <w:rPr>
          <w:bCs/>
          <w:b/>
          <w:sz w:val="25"/>
        </w:rPr>
        <w:t xml:space="preserve">Trigger:</w:t>
      </w:r>
      <w:r>
        <w:rPr>
          <w:sz w:val="25"/>
        </w:rPr>
        <w:t xml:space="preserve"> </w:t>
      </w:r>
      <w:r>
        <w:rPr>
          <w:sz w:val="25"/>
        </w:rPr>
        <w:t xml:space="preserve">A cohort’s Kübler-Ross reading moves backward on M6 (Emotional &amp; Transition Layer) — typically from Exploration back to Resistance/Anger — following a specific triggering event: in Bouregreg’s case, a defect in the Kenitra plant’s inventory-matching logic that caused a visible, embarrassing stock-count error in front of a cohort that had just started to trust the new system.</w:t>
      </w:r>
    </w:p>
    <w:p>
      <w:pPr>
        <w:pStyle w:val="BodyText"/>
      </w:pPr>
      <w:r>
        <w:rPr>
          <w:bCs/>
          <w:b/>
          <w:sz w:val="25"/>
        </w:rPr>
        <w:t xml:space="preserve">Timeline impact:</w:t>
      </w:r>
      <w:r>
        <w:rPr>
          <w:sz w:val="25"/>
        </w:rPr>
        <w:t xml:space="preserve"> </w:t>
      </w:r>
      <w:r>
        <w:rPr>
          <w:sz w:val="25"/>
        </w:rPr>
        <w:t xml:space="preserve">A short, contained recovery cycle of days to roughly two weeks; escalated to Steering Committee only if the pattern recurs across multiple cohorts rather than staying isolated to the one affected.</w:t>
      </w:r>
    </w:p>
    <w:p>
      <w:pPr>
        <w:pStyle w:val="BodyText"/>
      </w:pPr>
      <w:r>
        <w:rPr>
          <w:bCs/>
          <w:b/>
          <w:sz w:val="25"/>
        </w:rPr>
        <w:t xml:space="preserve">Recovery Tasks:</w:t>
      </w:r>
    </w:p>
    <w:p>
      <w:pPr>
        <w:numPr>
          <w:ilvl w:val="0"/>
          <w:numId w:val="1017"/>
        </w:numPr>
        <w:pStyle w:val="Compact"/>
      </w:pPr>
      <w:r>
        <w:rPr>
          <w:bCs/>
          <w:b/>
          <w:sz w:val="25"/>
        </w:rPr>
        <w:t xml:space="preserve">Confirm the regression is tied to a specific incident.</w:t>
      </w:r>
      <w:r>
        <w:rPr>
          <w:sz w:val="25"/>
        </w:rPr>
        <w:t xml:space="preserve"> </w:t>
      </w:r>
      <w:r>
        <w:rPr>
          <w:sz w:val="25"/>
        </w:rPr>
        <w:t xml:space="preserve">Houda Zerouali checks whether this is a one-off reaction to the Kenitra defect or a broader readiness failure — in this case, clearly the former. Technique: incident-scope confirmation — goal: don’t escalate a contained incident into a program-wide panic.</w:t>
      </w:r>
    </w:p>
    <w:p>
      <w:pPr>
        <w:numPr>
          <w:ilvl w:val="0"/>
          <w:numId w:val="1017"/>
        </w:numPr>
        <w:pStyle w:val="Compact"/>
      </w:pPr>
      <w:r>
        <w:rPr>
          <w:bCs/>
          <w:b/>
          <w:sz w:val="25"/>
        </w:rPr>
        <w:t xml:space="preserve">Resolve or clearly communicate the status of the triggering defect.</w:t>
      </w:r>
      <w:r>
        <w:rPr>
          <w:sz w:val="25"/>
        </w:rPr>
        <w:t xml:space="preserve"> </w:t>
      </w:r>
      <w:r>
        <w:rPr>
          <w:sz w:val="25"/>
        </w:rPr>
        <w:t xml:space="preserve">ITL fixes the inventory-matching defect and Driss El Amrani communicates the fix explicitly to the affected cohort, closing the loop rather than letting it fade unaddressed. Technique: closed-loop defect communication — goal: the cohort hears the fix was made, not left to assume nothing happened.</w:t>
      </w:r>
    </w:p>
    <w:p>
      <w:pPr>
        <w:numPr>
          <w:ilvl w:val="0"/>
          <w:numId w:val="1017"/>
        </w:numPr>
        <w:pStyle w:val="Compact"/>
      </w:pPr>
      <w:r>
        <w:rPr>
          <w:bCs/>
          <w:b/>
          <w:sz w:val="25"/>
        </w:rPr>
        <w:t xml:space="preserve">Have the supervisor directly acknowledge the setback.</w:t>
      </w:r>
      <w:r>
        <w:rPr>
          <w:sz w:val="25"/>
        </w:rPr>
        <w:t xml:space="preserve"> </w:t>
      </w:r>
      <w:r>
        <w:rPr>
          <w:sz w:val="25"/>
        </w:rPr>
        <w:t xml:space="preserve">The Kenitra plant supervisor acknowledges the incident with the affected team directly, rather than letting the program office’s fix announcement stand in for a floor-level conversation. Technique: supervisor-level acknowledgment — goal: a floor-level conversation carries more weight than a program-office announcement alone.</w:t>
      </w:r>
    </w:p>
    <w:p>
      <w:pPr>
        <w:numPr>
          <w:ilvl w:val="0"/>
          <w:numId w:val="1017"/>
        </w:numPr>
        <w:pStyle w:val="Compact"/>
      </w:pPr>
      <w:r>
        <w:rPr>
          <w:bCs/>
          <w:b/>
          <w:sz w:val="25"/>
        </w:rPr>
        <w:t xml:space="preserve">Provide targeted, in-context coaching on the specific process step affected.</w:t>
      </w:r>
      <w:r>
        <w:rPr>
          <w:sz w:val="25"/>
        </w:rPr>
        <w:t xml:space="preserve"> </w:t>
      </w:r>
      <w:r>
        <w:rPr>
          <w:sz w:val="25"/>
        </w:rPr>
        <w:t xml:space="preserve">Coaching is scoped narrowly to the exact inventory-matching step that failed, not a general refresher. Technique: in-context, scoped coaching — goal: rebuild confidence on the specific step, not a diluted general refresher.</w:t>
      </w:r>
    </w:p>
    <w:p>
      <w:pPr>
        <w:numPr>
          <w:ilvl w:val="0"/>
          <w:numId w:val="1017"/>
        </w:numPr>
        <w:pStyle w:val="Compact"/>
      </w:pPr>
      <w:r>
        <w:rPr>
          <w:bCs/>
          <w:b/>
          <w:sz w:val="25"/>
        </w:rPr>
        <w:t xml:space="preserve">Re-pulse the affected cohort only, at 1–2 weeks.</w:t>
      </w:r>
      <w:r>
        <w:rPr>
          <w:sz w:val="25"/>
        </w:rPr>
        <w:t xml:space="preserve"> </w:t>
      </w:r>
      <w:r>
        <w:rPr>
          <w:sz w:val="25"/>
        </w:rPr>
        <w:t xml:space="preserve">Only the Kenitra cohort is re-scored — this is a localized regression, not a program-wide one.</w:t>
      </w:r>
      <w:r>
        <w:rPr>
          <w:sz w:val="25"/>
        </w:rPr>
        <w:t xml:space="preserve"> </w:t>
      </w:r>
      <w:r>
        <w:rPr>
          <w:iCs/>
          <w:i/>
          <w:sz w:val="25"/>
        </w:rPr>
        <w:t xml:space="preserve">journi: M6 (Emotional &amp; Transition Layer).</w:t>
      </w:r>
      <w:r>
        <w:rPr>
          <w:sz w:val="25"/>
        </w:rPr>
        <w:t xml:space="preserve"> </w:t>
      </w:r>
      <w:r>
        <w:rPr>
          <w:sz w:val="25"/>
        </w:rPr>
        <w:t xml:space="preserve">Technique: localized re-pulse — goal: confirm recovery where the regression actually happened.</w:t>
      </w:r>
    </w:p>
    <w:p>
      <w:pPr>
        <w:pStyle w:val="FirstParagraph"/>
      </w:pPr>
      <w:r>
        <w:rPr>
          <w:bCs/>
          <w:b/>
          <w:sz w:val="25"/>
        </w:rPr>
        <w:t xml:space="preserve">Outputs:</w:t>
      </w:r>
      <w:r>
        <w:rPr>
          <w:sz w:val="25"/>
        </w:rPr>
        <w:t xml:space="preserve"> </w:t>
      </w:r>
      <w:r>
        <w:rPr>
          <w:sz w:val="25"/>
        </w:rPr>
        <w:t xml:space="preserve">the triggering defect resolved and communicated; the regression event and response documented; confirmed recovery, or continued monitoring if the re-pulse doesn’t yet show it.</w:t>
      </w:r>
    </w:p>
    <w:p>
      <w:pPr>
        <w:pStyle w:val="BodyText"/>
      </w:pPr>
      <w:r>
        <w:rPr>
          <w:bCs/>
          <w:b/>
          <w:sz w:val="25"/>
        </w:rPr>
        <w:t xml:space="preserve">RACSI for this exception.</w:t>
      </w:r>
      <w:r>
        <w:rPr>
          <w:sz w:val="25"/>
        </w:rPr>
        <w:t xml:space="preserve"> </w:t>
      </w:r>
      <w:r>
        <w:rPr>
          <w:sz w:val="25"/>
        </w:rPr>
        <w:t xml:space="preserve">R = SUP, ITL · A = CM · C = PM · S = FPO · I = ES, EU</w:t>
      </w:r>
    </w:p>
    <w:p>
      <w:pPr>
        <w:pStyle w:val="BodyText"/>
      </w:pPr>
    </w:p>
    <w:bookmarkEnd w:id="50"/>
    <w:bookmarkStart w:id="51" w:name="Xed5de9397d51627aede754f65620ee52ce3b9ae"/>
    <w:p>
      <w:pPr>
        <w:pStyle w:val="Heading4"/>
      </w:pPr>
      <w:r>
        <w:rPr>
          <w:b/>
          <w:color w:val="5A8F89"/>
          <w:sz w:val="26"/>
        </w:rPr>
        <w:t xml:space="preserve">E5 — Reinforcement Gap at Sustain (Related to Phase 8 — Sustain)</w:t>
      </w:r>
    </w:p>
    <w:p>
      <w:pPr>
        <w:pStyle w:val="FirstParagraph"/>
      </w:pPr>
      <w:r>
        <w:rPr>
          <w:bCs/>
          <w:b/>
          <w:sz w:val="25"/>
        </w:rPr>
        <w:t xml:space="preserve">Trigger:</w:t>
      </w:r>
      <w:r>
        <w:rPr>
          <w:sz w:val="25"/>
        </w:rPr>
        <w:t xml:space="preserve"> </w:t>
      </w:r>
      <w:r>
        <w:rPr>
          <w:sz w:val="25"/>
        </w:rPr>
        <w:t xml:space="preserve">The ADKAR Reinforcement score stalls below 3 on M5 (ADKAR Engine) as the program’s formal end date approaches, with no forcing deadline prompting continued attention — the exact risk Phase 8’s discipline (Refreeze called from evidence, never the calendar) exists to prevent.</w:t>
      </w:r>
    </w:p>
    <w:p>
      <w:pPr>
        <w:pStyle w:val="BodyText"/>
      </w:pPr>
      <w:r>
        <w:rPr>
          <w:bCs/>
          <w:b/>
          <w:sz w:val="25"/>
        </w:rPr>
        <w:t xml:space="preserve">Timeline impact:</w:t>
      </w:r>
      <w:r>
        <w:rPr>
          <w:sz w:val="25"/>
        </w:rPr>
        <w:t xml:space="preserve"> </w:t>
      </w:r>
      <w:r>
        <w:rPr>
          <w:sz w:val="25"/>
        </w:rPr>
        <w:t xml:space="preserve">Extends the formal project-closure date by however long it takes to accumulate 2–3 consecutive healthy checkpoints on M12 (Sustainment) — commonly 4–8 weeks past the original W60 close.</w:t>
      </w:r>
    </w:p>
    <w:p>
      <w:pPr>
        <w:pStyle w:val="BodyText"/>
      </w:pPr>
      <w:r>
        <w:rPr>
          <w:bCs/>
          <w:b/>
          <w:sz w:val="25"/>
        </w:rPr>
        <w:t xml:space="preserve">Recovery Tasks:</w:t>
      </w:r>
    </w:p>
    <w:p>
      <w:pPr>
        <w:numPr>
          <w:ilvl w:val="0"/>
          <w:numId w:val="1018"/>
        </w:numPr>
        <w:pStyle w:val="Compact"/>
      </w:pPr>
      <w:r>
        <w:rPr>
          <w:bCs/>
          <w:b/>
          <w:sz w:val="25"/>
        </w:rPr>
        <w:t xml:space="preserve">Flag the Reinforcement stall explicitly.</w:t>
      </w:r>
      <w:r>
        <w:rPr>
          <w:sz w:val="25"/>
        </w:rPr>
        <w:t xml:space="preserve"> </w:t>
      </w:r>
      <w:r>
        <w:rPr>
          <w:sz w:val="25"/>
        </w:rPr>
        <w:t xml:space="preserve">Driss El Amrani flags the stall on M5 (ADKAR Engine) rather than letting Sustain’s Task 4 (call Refreeze; close the project) proceed on schedule regardless.</w:t>
      </w:r>
      <w:r>
        <w:rPr>
          <w:sz w:val="25"/>
        </w:rPr>
        <w:t xml:space="preserve"> </w:t>
      </w:r>
      <w:r>
        <w:rPr>
          <w:iCs/>
          <w:i/>
          <w:sz w:val="25"/>
        </w:rPr>
        <w:t xml:space="preserve">journi: M5 (ADKAR Engine).</w:t>
      </w:r>
      <w:r>
        <w:rPr>
          <w:sz w:val="25"/>
        </w:rPr>
        <w:t xml:space="preserve"> </w:t>
      </w:r>
      <w:r>
        <w:rPr>
          <w:sz w:val="25"/>
        </w:rPr>
        <w:t xml:space="preserve">Technique: explicit stall flagging — goal: interrupt a default-to-close momentum with a documented, deliberate flag.</w:t>
      </w:r>
    </w:p>
    <w:p>
      <w:pPr>
        <w:numPr>
          <w:ilvl w:val="0"/>
          <w:numId w:val="1018"/>
        </w:numPr>
        <w:pStyle w:val="Compact"/>
      </w:pPr>
      <w:r>
        <w:rPr>
          <w:bCs/>
          <w:b/>
          <w:sz w:val="25"/>
        </w:rPr>
        <w:t xml:space="preserve">Reconvene the Sponsor to re-authorize a checkpoint cadence.</w:t>
      </w:r>
      <w:r>
        <w:rPr>
          <w:sz w:val="25"/>
        </w:rPr>
        <w:t xml:space="preserve"> </w:t>
      </w:r>
      <w:r>
        <w:rPr>
          <w:sz w:val="25"/>
        </w:rPr>
        <w:t xml:space="preserve">The CFO re-authorizes a defined checkpoint cadence beyond the originally planned close date. Technique: checkpoint-cadence re-authorization — goal: a Sponsor-backed extension, not an informal one the team grants itself.</w:t>
      </w:r>
    </w:p>
    <w:p>
      <w:pPr>
        <w:numPr>
          <w:ilvl w:val="0"/>
          <w:numId w:val="1018"/>
        </w:numPr>
        <w:pStyle w:val="Compact"/>
      </w:pPr>
      <w:r>
        <w:rPr>
          <w:bCs/>
          <w:b/>
          <w:sz w:val="25"/>
        </w:rPr>
        <w:t xml:space="preserve">Re-activate or formally re-charter the champion network.</w:t>
      </w:r>
      <w:r>
        <w:rPr>
          <w:sz w:val="25"/>
        </w:rPr>
        <w:t xml:space="preserve"> </w:t>
      </w:r>
      <w:r>
        <w:rPr>
          <w:sz w:val="25"/>
        </w:rPr>
        <w:t xml:space="preserve">The champion network, which naturally quiets down as a program matures, is re-activated specifically to reinforce the new process on the floor. Technique: champion network re-activation — goal: reinforcement needs the same floor-level presence that adoption did.</w:t>
      </w:r>
    </w:p>
    <w:p>
      <w:pPr>
        <w:numPr>
          <w:ilvl w:val="0"/>
          <w:numId w:val="1018"/>
        </w:numPr>
        <w:pStyle w:val="Compact"/>
      </w:pPr>
      <w:r>
        <w:rPr>
          <w:bCs/>
          <w:b/>
          <w:sz w:val="25"/>
        </w:rPr>
        <w:t xml:space="preserve">Embed adoption metrics into the next performance-review cycle.</w:t>
      </w:r>
      <w:r>
        <w:rPr>
          <w:sz w:val="25"/>
        </w:rPr>
        <w:t xml:space="preserve"> </w:t>
      </w:r>
      <w:r>
        <w:rPr>
          <w:sz w:val="25"/>
        </w:rPr>
        <w:t xml:space="preserve">Adoption metrics are explicitly written into HR’s next performance-review cycle, giving Reinforcement a structural home beyond the CM project’s own lifespan. Technique: structural metric embedding — goal: Reinforcement survives the CM project team’s own eventual departure.</w:t>
      </w:r>
    </w:p>
    <w:p>
      <w:pPr>
        <w:numPr>
          <w:ilvl w:val="0"/>
          <w:numId w:val="1018"/>
        </w:numPr>
        <w:pStyle w:val="Compact"/>
      </w:pPr>
      <w:r>
        <w:rPr>
          <w:bCs/>
          <w:b/>
          <w:sz w:val="25"/>
        </w:rPr>
        <w:t xml:space="preserve">Delay the formal Refreeze/closure call.</w:t>
      </w:r>
      <w:r>
        <w:rPr>
          <w:sz w:val="25"/>
        </w:rPr>
        <w:t xml:space="preserve"> </w:t>
      </w:r>
      <w:r>
        <w:rPr>
          <w:sz w:val="25"/>
        </w:rPr>
        <w:t xml:space="preserve">Sustain’s Task 4 does not run until checkpoints show target Reinforcement, however long that takes.</w:t>
      </w:r>
      <w:r>
        <w:rPr>
          <w:sz w:val="25"/>
        </w:rPr>
        <w:t xml:space="preserve"> </w:t>
      </w:r>
      <w:r>
        <w:rPr>
          <w:iCs/>
          <w:i/>
          <w:sz w:val="25"/>
        </w:rPr>
        <w:t xml:space="preserve">journi: M3 (Initiative Registry).</w:t>
      </w:r>
      <w:r>
        <w:rPr>
          <w:sz w:val="25"/>
        </w:rPr>
        <w:t xml:space="preserve"> </w:t>
      </w:r>
      <w:r>
        <w:rPr>
          <w:sz w:val="25"/>
        </w:rPr>
        <w:t xml:space="preserve">Technique: delayed, evidence-gated closure — goal: closure waits on evidence, not on a project team’s patience running out.</w:t>
      </w:r>
    </w:p>
    <w:p>
      <w:pPr>
        <w:pStyle w:val="FirstParagraph"/>
      </w:pPr>
      <w:r>
        <w:rPr>
          <w:bCs/>
          <w:b/>
          <w:sz w:val="25"/>
        </w:rPr>
        <w:t xml:space="preserve">Outputs:</w:t>
      </w:r>
      <w:r>
        <w:rPr>
          <w:sz w:val="25"/>
        </w:rPr>
        <w:t xml:space="preserve"> </w:t>
      </w:r>
      <w:r>
        <w:rPr>
          <w:sz w:val="25"/>
        </w:rPr>
        <w:t xml:space="preserve">a documented Reinforcement stall and remediation plan; a re-authorized checkpoint cadence; a re-chartered champion network; a delayed but evidence-based Refreeze call rather than a premature one.</w:t>
      </w:r>
    </w:p>
    <w:p>
      <w:pPr>
        <w:pStyle w:val="BodyText"/>
      </w:pPr>
      <w:r>
        <w:rPr>
          <w:bCs/>
          <w:b/>
          <w:sz w:val="25"/>
        </w:rPr>
        <w:t xml:space="preserve">RACSI for this exception.</w:t>
      </w:r>
      <w:r>
        <w:rPr>
          <w:sz w:val="25"/>
        </w:rPr>
        <w:t xml:space="preserve"> </w:t>
      </w:r>
      <w:r>
        <w:rPr>
          <w:sz w:val="25"/>
        </w:rPr>
        <w:t xml:space="preserve">R = CM · A = ES · C = SUP, FPO · S = PM · I = EU</w:t>
      </w:r>
    </w:p>
    <w:p>
      <w:pPr>
        <w:pStyle w:val="BodyText"/>
      </w:pPr>
    </w:p>
    <w:bookmarkEnd w:id="51"/>
    <w:bookmarkStart w:id="52" w:name="X4bd804c5741db525acafedda1dd7b906921ab83"/>
    <w:p>
      <w:pPr>
        <w:pStyle w:val="Heading4"/>
      </w:pPr>
      <w:r>
        <w:rPr>
          <w:b/>
          <w:color w:val="5A8F89"/>
          <w:sz w:val="26"/>
        </w:rPr>
        <w:t xml:space="preserve">E6 — Cohort Divergence Across Sites (Cross-Cutting, Phases 4–7 — Test through Hypercare)</w:t>
      </w:r>
    </w:p>
    <w:p>
      <w:pPr>
        <w:pStyle w:val="FirstParagraph"/>
      </w:pPr>
      <w:r>
        <w:rPr>
          <w:bCs/>
          <w:b/>
          <w:sz w:val="25"/>
        </w:rPr>
        <w:t xml:space="preserve">Trigger:</w:t>
      </w:r>
      <w:r>
        <w:rPr>
          <w:sz w:val="25"/>
        </w:rPr>
        <w:t xml:space="preserve"> </w:t>
      </w:r>
      <w:r>
        <w:rPr>
          <w:sz w:val="25"/>
        </w:rPr>
        <w:t xml:space="preserve">Casablanca, Kenitra, and Settat read genuinely differently across all four frameworks by mid-Train — Casablanca ahead on Knowledge/Ability given proximity to the program team, Settat behind following E1’s Desire stall, Kenitra solid until E4’s regression — making the project-level Composite Readiness Index on M14 (Analytics) a misleading blend of three very different real situations.</w:t>
      </w:r>
    </w:p>
    <w:p>
      <w:pPr>
        <w:pStyle w:val="BodyText"/>
      </w:pPr>
      <w:r>
        <w:rPr>
          <w:bCs/>
          <w:b/>
          <w:sz w:val="25"/>
        </w:rPr>
        <w:t xml:space="preserve">Timeline impact:</w:t>
      </w:r>
      <w:r>
        <w:rPr>
          <w:sz w:val="25"/>
        </w:rPr>
        <w:t xml:space="preserve"> </w:t>
      </w:r>
      <w:r>
        <w:rPr>
          <w:sz w:val="25"/>
        </w:rPr>
        <w:t xml:space="preserve">Runs continuously alongside Test, Train, and Hypercare; enables a cohort-by-cohort go/no-go at Phase 5’s gate instead of a single all-or-nothing call for all 3,400 people at once.</w:t>
      </w:r>
    </w:p>
    <w:p>
      <w:pPr>
        <w:pStyle w:val="BodyText"/>
      </w:pPr>
      <w:r>
        <w:rPr>
          <w:bCs/>
          <w:b/>
          <w:sz w:val="25"/>
        </w:rPr>
        <w:t xml:space="preserve">Recovery Tasks:</w:t>
      </w:r>
    </w:p>
    <w:p>
      <w:pPr>
        <w:numPr>
          <w:ilvl w:val="0"/>
          <w:numId w:val="1019"/>
        </w:numPr>
        <w:pStyle w:val="Compact"/>
      </w:pPr>
      <w:r>
        <w:rPr>
          <w:bCs/>
          <w:b/>
          <w:sz w:val="25"/>
        </w:rPr>
        <w:t xml:space="preserve">Disaggregate the Composite Readiness Index by site.</w:t>
      </w:r>
      <w:r>
        <w:rPr>
          <w:sz w:val="25"/>
        </w:rPr>
        <w:t xml:space="preserve"> </w:t>
      </w:r>
      <w:r>
        <w:rPr>
          <w:sz w:val="25"/>
        </w:rPr>
        <w:t xml:space="preserve">Meryem Sabri pulls the blended M14 (Analytics) number apart into three site-level readings, using the Stakeholder Map’s site tags on M4 (Stakeholder Mapping).</w:t>
      </w:r>
      <w:r>
        <w:rPr>
          <w:sz w:val="25"/>
        </w:rPr>
        <w:t xml:space="preserve"> </w:t>
      </w:r>
      <w:r>
        <w:rPr>
          <w:iCs/>
          <w:i/>
          <w:sz w:val="25"/>
        </w:rPr>
        <w:t xml:space="preserve">journi: M4 (Stakeholder Mapping).</w:t>
      </w:r>
      <w:r>
        <w:rPr>
          <w:sz w:val="25"/>
        </w:rPr>
        <w:t xml:space="preserve"> </w:t>
      </w:r>
      <w:r>
        <w:rPr>
          <w:sz w:val="25"/>
        </w:rPr>
        <w:t xml:space="preserve">Technique: site-level disaggregation — goal: replace one misleading average with three honest readings.</w:t>
      </w:r>
    </w:p>
    <w:p>
      <w:pPr>
        <w:numPr>
          <w:ilvl w:val="0"/>
          <w:numId w:val="1019"/>
        </w:numPr>
        <w:pStyle w:val="Compact"/>
      </w:pPr>
      <w:r>
        <w:rPr>
          <w:bCs/>
          <w:b/>
          <w:sz w:val="25"/>
        </w:rPr>
        <w:t xml:space="preserve">Identify which cohorts are driving the spread.</w:t>
      </w:r>
      <w:r>
        <w:rPr>
          <w:sz w:val="25"/>
        </w:rPr>
        <w:t xml:space="preserve"> </w:t>
      </w:r>
      <w:r>
        <w:rPr>
          <w:sz w:val="25"/>
        </w:rPr>
        <w:t xml:space="preserve">Casablanca high, Settat low, Kenitra mid-but-dipping-post-E4 — named explicitly rather than averaged away. Technique: explicit spread identification — goal: name which sites are actually driving the number, not just that it’s spread out.</w:t>
      </w:r>
    </w:p>
    <w:p>
      <w:pPr>
        <w:numPr>
          <w:ilvl w:val="0"/>
          <w:numId w:val="1019"/>
        </w:numPr>
        <w:pStyle w:val="Compact"/>
      </w:pPr>
      <w:r>
        <w:rPr>
          <w:bCs/>
          <w:b/>
          <w:sz w:val="25"/>
        </w:rPr>
        <w:t xml:space="preserve">Investigate what Casablanca did differently.</w:t>
      </w:r>
      <w:r>
        <w:rPr>
          <w:sz w:val="25"/>
        </w:rPr>
        <w:t xml:space="preserve"> </w:t>
      </w:r>
      <w:r>
        <w:rPr>
          <w:sz w:val="25"/>
        </w:rPr>
        <w:t xml:space="preserve">Proximity to the program team and an earlier champion briefing are identified as the concrete, transferable factors — not an unexplained</w:t>
      </w:r>
      <w:r>
        <w:rPr>
          <w:sz w:val="25"/>
        </w:rPr>
        <w:t xml:space="preserve"> </w:t>
      </w:r>
      <w:r>
        <w:rPr>
          <w:sz w:val="25"/>
        </w:rPr>
        <w:t xml:space="preserve">“</w:t>
      </w:r>
      <w:r>
        <w:rPr>
          <w:sz w:val="25"/>
        </w:rPr>
        <w:t xml:space="preserve">Casablanca is just more ready.</w:t>
      </w:r>
      <w:r>
        <w:rPr>
          <w:sz w:val="25"/>
        </w:rPr>
        <w:t xml:space="preserve">”</w:t>
      </w:r>
      <w:r>
        <w:rPr>
          <w:sz w:val="25"/>
        </w:rPr>
        <w:t xml:space="preserve"> </w:t>
      </w:r>
      <w:r>
        <w:rPr>
          <w:sz w:val="25"/>
        </w:rPr>
        <w:t xml:space="preserve">Technique: root-cause comparison — goal: a transferable explanation, not an unexplained label.</w:t>
      </w:r>
    </w:p>
    <w:p>
      <w:pPr>
        <w:numPr>
          <w:ilvl w:val="0"/>
          <w:numId w:val="1019"/>
        </w:numPr>
        <w:pStyle w:val="Compact"/>
      </w:pPr>
      <w:r>
        <w:rPr>
          <w:bCs/>
          <w:b/>
          <w:sz w:val="25"/>
        </w:rPr>
        <w:t xml:space="preserve">Transfer concrete practices to Settat and Kenitra.</w:t>
      </w:r>
      <w:r>
        <w:rPr>
          <w:sz w:val="25"/>
        </w:rPr>
        <w:t xml:space="preserve"> </w:t>
      </w:r>
      <w:r>
        <w:rPr>
          <w:sz w:val="25"/>
        </w:rPr>
        <w:t xml:space="preserve">The earlier champion briefing timing is applied to the next site rollout in the scenario library (Part 4); Settat’s dedicated E1 recovery plan is extended to cover the same visibility gap at Kenitra proactively. Technique: cross-site practice transfer — goal: apply what worked at the strongest site before the weakest site needs its own separate recovery.</w:t>
      </w:r>
    </w:p>
    <w:p>
      <w:pPr>
        <w:numPr>
          <w:ilvl w:val="0"/>
          <w:numId w:val="1019"/>
        </w:numPr>
        <w:pStyle w:val="Compact"/>
      </w:pPr>
      <w:r>
        <w:rPr>
          <w:bCs/>
          <w:b/>
          <w:sz w:val="25"/>
        </w:rPr>
        <w:t xml:space="preserve">Continue reporting cohort-level readiness alongside the project-level number.</w:t>
      </w:r>
      <w:r>
        <w:rPr>
          <w:sz w:val="25"/>
        </w:rPr>
        <w:t xml:space="preserve"> </w:t>
      </w:r>
      <w:r>
        <w:rPr>
          <w:sz w:val="25"/>
        </w:rPr>
        <w:t xml:space="preserve">Every future Steering Committee readout carries the three-site breakdown, not just the blended figure, through Phase 5’s cohort-by-cohort gate and beyond. Technique: standing disaggregated reporting — goal: the site-level view becomes the default, not a one-time analysis.</w:t>
      </w:r>
    </w:p>
    <w:p>
      <w:pPr>
        <w:pStyle w:val="FirstParagraph"/>
      </w:pPr>
      <w:r>
        <w:rPr>
          <w:bCs/>
          <w:b/>
          <w:sz w:val="25"/>
        </w:rPr>
        <w:t xml:space="preserve">Outputs:</w:t>
      </w:r>
      <w:r>
        <w:rPr>
          <w:sz w:val="25"/>
        </w:rPr>
        <w:t xml:space="preserve"> </w:t>
      </w:r>
      <w:r>
        <w:rPr>
          <w:sz w:val="25"/>
        </w:rPr>
        <w:t xml:space="preserve">a disaggregated, site-level readiness report; a root-cause comparison between Casablanca and the other two sites; a revised, cohort-by-cohort go/no-go recommendation at Phase 5’s gate rather than one all-or-nothing call.</w:t>
      </w:r>
    </w:p>
    <w:p>
      <w:pPr>
        <w:pStyle w:val="BodyText"/>
      </w:pPr>
      <w:r>
        <w:rPr>
          <w:bCs/>
          <w:b/>
          <w:sz w:val="25"/>
        </w:rPr>
        <w:t xml:space="preserve">RACSI for this exception.</w:t>
      </w:r>
      <w:r>
        <w:rPr>
          <w:sz w:val="25"/>
        </w:rPr>
        <w:t xml:space="preserve"> </w:t>
      </w:r>
      <w:r>
        <w:rPr>
          <w:sz w:val="25"/>
        </w:rPr>
        <w:t xml:space="preserve">R = CM, FPO · A = CM · C = SUP · S = PM · I = ES, EU</w:t>
      </w:r>
    </w:p>
    <w:p>
      <w:pPr>
        <w:pStyle w:val="BodyText"/>
      </w:pPr>
    </w:p>
    <w:bookmarkEnd w:id="52"/>
    <w:bookmarkEnd w:id="53"/>
    <w:bookmarkStart w:id="54" w:name="b.5-what-to-track-by-cadence"/>
    <w:p>
      <w:pPr>
        <w:pStyle w:val="Heading3"/>
      </w:pPr>
      <w:r>
        <w:rPr>
          <w:b/>
          <w:color w:val="3F827B"/>
          <w:sz w:val="29"/>
        </w:rPr>
        <w:t xml:space="preserve">1B.5 What to Track, by Cadence</w:t>
      </w:r>
    </w:p>
    <w:p>
      <w:pPr>
        <w:pStyle w:val="FirstParagraph"/>
      </w:pPr>
      <w:r>
        <w:rPr>
          <w:sz w:val="25"/>
        </w:rPr>
        <w:t xml:space="preserve">The tracking model below is the bridge between the phase-by-phase playbook above and the alerts in Part 5 — what Driss El Amrani and his team actually look at, and how often, across the Bouregreg ERP Adoption Program’s 60 weeks.</w:t>
      </w:r>
    </w:p>
    <w:p>
      <w:pPr>
        <w:pStyle w:val="BodyText"/>
      </w:pPr>
      <w:r>
        <w:rPr>
          <w:bCs/>
          <w:b/>
          <w:sz w:val="25"/>
        </w:rPr>
        <w:t xml:space="preserve">Daily (Deploy through Hypercare, W43–50 — Phase 6 Task 3, Phase 7 Task 2):</w:t>
      </w:r>
      <w:r>
        <w:rPr>
          <w:sz w:val="25"/>
        </w:rPr>
        <w:t xml:space="preserve"> </w:t>
      </w:r>
      <w:r>
        <w:rPr>
          <w:sz w:val="25"/>
        </w:rPr>
        <w:t xml:space="preserve">adoption-metric dashboard on M14 (Analytics); the elevated support desk’s open ticket count by site; any new resistance entry on M10 (Resistance) logged in the last 24 hours.</w:t>
      </w:r>
    </w:p>
    <w:p>
      <w:pPr>
        <w:pStyle w:val="BodyText"/>
      </w:pPr>
      <w:r>
        <w:rPr>
          <w:bCs/>
          <w:b/>
          <w:sz w:val="25"/>
        </w:rPr>
        <w:t xml:space="preserve">Weekly (throughout):</w:t>
      </w:r>
      <w:r>
        <w:rPr>
          <w:sz w:val="25"/>
        </w:rPr>
        <w:t xml:space="preserve"> </w:t>
      </w:r>
      <w:r>
        <w:rPr>
          <w:sz w:val="25"/>
        </w:rPr>
        <w:t xml:space="preserve">the Notification Center bell, for any of the 9 live alerts (Part 5); ADKAR scores for any cohort currently mid-training or mid-intervention; sponsor-action completion on M7 (Sponsor &amp; Coalition) against that week’s roadmap item.</w:t>
      </w:r>
    </w:p>
    <w:p>
      <w:pPr>
        <w:pStyle w:val="BodyText"/>
      </w:pPr>
      <w:r>
        <w:rPr>
          <w:bCs/>
          <w:b/>
          <w:sz w:val="25"/>
        </w:rPr>
        <w:t xml:space="preserve">Bi-Weekly (Hypercare, W43–50 — Phase 7 Task 3):</w:t>
      </w:r>
      <w:r>
        <w:rPr>
          <w:sz w:val="25"/>
        </w:rPr>
        <w:t xml:space="preserve"> </w:t>
      </w:r>
      <w:r>
        <w:rPr>
          <w:sz w:val="25"/>
        </w:rPr>
        <w:t xml:space="preserve">the Kübler-Ross/Bridges re-pulse cadence itself; regression coaching outcomes on M11 (Manager as Coach) for any cohort flagged the prior cycle.</w:t>
      </w:r>
    </w:p>
    <w:p>
      <w:pPr>
        <w:pStyle w:val="BodyText"/>
      </w:pPr>
      <w:r>
        <w:rPr>
          <w:bCs/>
          <w:b/>
          <w:sz w:val="25"/>
        </w:rPr>
        <w:t xml:space="preserve">Monthly (throughout, and mandatory from Sustain onward):</w:t>
      </w:r>
      <w:r>
        <w:rPr>
          <w:sz w:val="25"/>
        </w:rPr>
        <w:t xml:space="preserve"> </w:t>
      </w:r>
      <w:r>
        <w:rPr>
          <w:sz w:val="25"/>
        </w:rPr>
        <w:t xml:space="preserve">the Composite Readiness Index trend line on M14 (Analytics); Lewin phase justification, reviewed against evidence rather than the calendar; Steering Committee readout, carrying the per-site breakdown established in Exception E6 (Cohort Divergence Across Sites).</w:t>
      </w:r>
    </w:p>
    <w:p>
      <w:pPr>
        <w:pStyle w:val="BodyText"/>
      </w:pPr>
      <w:r>
        <w:rPr>
          <w:bCs/>
          <w:b/>
          <w:sz w:val="25"/>
        </w:rPr>
        <w:t xml:space="preserve">Escalation thresholds (the bridge to Part 5’s alerts):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shd w:val="clear" w:fill="1F4B45"/>
          </w:tcPr>
          <w:p>
            <w:pPr>
              <w:pStyle w:val="Compact"/>
              <w:jc w:val="left"/>
            </w:pPr>
            <w:r>
              <w:rPr>
                <w:b/>
                <w:color w:val="FFFFFF"/>
                <w:sz w:val="22"/>
              </w:rPr>
              <w:t xml:space="preserve">Signal observed</w:t>
            </w:r>
          </w:p>
        </w:tc>
        <w:tc>
          <w:tcPr>
            <w:shd w:val="clear" w:fill="1F4B45"/>
          </w:tcPr>
          <w:p>
            <w:pPr>
              <w:pStyle w:val="Compact"/>
              <w:jc w:val="left"/>
            </w:pPr>
            <w:r>
              <w:rPr>
                <w:b/>
                <w:color w:val="FFFFFF"/>
                <w:sz w:val="22"/>
              </w:rPr>
              <w:t xml:space="preserve">Threshold</w:t>
            </w:r>
          </w:p>
        </w:tc>
        <w:tc>
          <w:tcPr>
            <w:shd w:val="clear" w:fill="1F4B45"/>
          </w:tcPr>
          <w:p>
            <w:pPr>
              <w:pStyle w:val="Compact"/>
              <w:jc w:val="left"/>
            </w:pPr>
            <w:r>
              <w:rPr>
                <w:b/>
                <w:color w:val="FFFFFF"/>
                <w:sz w:val="22"/>
              </w:rPr>
              <w:t xml:space="preserve">Action required</w:t>
            </w:r>
          </w:p>
        </w:tc>
        <w:tc>
          <w:tcPr>
            <w:shd w:val="clear" w:fill="1F4B45"/>
          </w:tcPr>
          <w:p>
            <w:pPr>
              <w:pStyle w:val="Compact"/>
              <w:jc w:val="left"/>
            </w:pPr>
            <w:r>
              <w:rPr>
                <w:b/>
                <w:color w:val="FFFFFF"/>
                <w:sz w:val="22"/>
              </w:rPr>
              <w:t xml:space="preserve">Linked exception / alert</w:t>
            </w:r>
          </w:p>
        </w:tc>
      </w:tr>
      <w:tr>
        <w:trPr>
          <w:cantSplit/>
        </w:trPr>
        <w:tc>
          <w:tcPr/>
          <w:p>
            <w:pPr>
              <w:pStyle w:val="Compact"/>
              <w:jc w:val="left"/>
            </w:pPr>
            <w:r>
              <w:rPr>
                <w:sz w:val="22"/>
              </w:rPr>
              <w:t xml:space="preserve">Desire ≤ 2, auto-escalated, low-visibility barrier notes</w:t>
            </w:r>
          </w:p>
        </w:tc>
        <w:tc>
          <w:tcPr/>
          <w:p>
            <w:pPr>
              <w:pStyle w:val="Compact"/>
              <w:jc w:val="left"/>
            </w:pPr>
            <w:r>
              <w:rPr>
                <w:sz w:val="22"/>
              </w:rPr>
              <w:t xml:space="preserve">1 occurrence</w:t>
            </w:r>
          </w:p>
        </w:tc>
        <w:tc>
          <w:tcPr/>
          <w:p>
            <w:pPr>
              <w:pStyle w:val="Compact"/>
              <w:jc w:val="left"/>
            </w:pPr>
            <w:r>
              <w:rPr>
                <w:sz w:val="22"/>
              </w:rPr>
              <w:t xml:space="preserve">Log barrier-reason note; begin E1 recovery</w:t>
            </w:r>
          </w:p>
        </w:tc>
        <w:tc>
          <w:tcPr/>
          <w:p>
            <w:pPr>
              <w:pStyle w:val="Compact"/>
              <w:jc w:val="left"/>
            </w:pPr>
            <w:r>
              <w:rPr>
                <w:sz w:val="22"/>
              </w:rPr>
              <w:t xml:space="preserve">E1 · M5 (ADKAR Engine) escalation</w:t>
            </w:r>
          </w:p>
        </w:tc>
      </w:tr>
      <w:tr>
        <w:trPr>
          <w:cantSplit/>
        </w:trPr>
        <w:tc>
          <w:tcPr/>
          <w:p>
            <w:pPr>
              <w:pStyle w:val="Compact"/>
              <w:jc w:val="left"/>
            </w:pPr>
            <w:r>
              <w:rPr>
                <w:sz w:val="22"/>
              </w:rPr>
              <w:t xml:space="preserve">Knowledge ≥ 4 and Ability ≥ 4 while Bridges = Ending</w:t>
            </w:r>
          </w:p>
        </w:tc>
        <w:tc>
          <w:tcPr/>
          <w:p>
            <w:pPr>
              <w:pStyle w:val="Compact"/>
              <w:jc w:val="left"/>
            </w:pPr>
            <w:r>
              <w:rPr>
                <w:sz w:val="22"/>
              </w:rPr>
              <w:t xml:space="preserve">1 occurrence</w:t>
            </w:r>
          </w:p>
        </w:tc>
        <w:tc>
          <w:tcPr/>
          <w:p>
            <w:pPr>
              <w:pStyle w:val="Compact"/>
              <w:jc w:val="left"/>
            </w:pPr>
            <w:r>
              <w:rPr>
                <w:sz w:val="22"/>
              </w:rPr>
              <w:t xml:space="preserve">Run E2 recovery; do not count toward cohort readiness</w:t>
            </w:r>
          </w:p>
        </w:tc>
        <w:tc>
          <w:tcPr/>
          <w:p>
            <w:pPr>
              <w:pStyle w:val="Compact"/>
              <w:jc w:val="left"/>
            </w:pPr>
            <w:r>
              <w:rPr>
                <w:sz w:val="22"/>
              </w:rPr>
              <w:t xml:space="preserve">E2 · ALT-001 (Divergence Pattern Detected)</w:t>
            </w:r>
          </w:p>
        </w:tc>
      </w:tr>
      <w:tr>
        <w:trPr>
          <w:cantSplit/>
        </w:trPr>
        <w:tc>
          <w:tcPr/>
          <w:p>
            <w:pPr>
              <w:pStyle w:val="Compact"/>
              <w:jc w:val="left"/>
            </w:pPr>
            <w:r>
              <w:rPr>
                <w:sz w:val="22"/>
              </w:rPr>
              <w:t xml:space="preserve">Lewin eligible for Refreeze on the calendar, Bridges/KR not yet there</w:t>
            </w:r>
          </w:p>
        </w:tc>
        <w:tc>
          <w:tcPr/>
          <w:p>
            <w:pPr>
              <w:pStyle w:val="Compact"/>
              <w:jc w:val="left"/>
            </w:pPr>
            <w:r>
              <w:rPr>
                <w:sz w:val="22"/>
              </w:rPr>
              <w:t xml:space="preserve">Go-live date reached</w:t>
            </w:r>
          </w:p>
        </w:tc>
        <w:tc>
          <w:tcPr/>
          <w:p>
            <w:pPr>
              <w:pStyle w:val="Compact"/>
              <w:jc w:val="left"/>
            </w:pPr>
            <w:r>
              <w:rPr>
                <w:sz w:val="22"/>
              </w:rPr>
              <w:t xml:space="preserve">Mark Lewin provisional; run E3</w:t>
            </w:r>
          </w:p>
        </w:tc>
        <w:tc>
          <w:tcPr/>
          <w:p>
            <w:pPr>
              <w:pStyle w:val="Compact"/>
              <w:jc w:val="left"/>
            </w:pPr>
            <w:r>
              <w:rPr>
                <w:sz w:val="22"/>
              </w:rPr>
              <w:t xml:space="preserve">E3 · Phase 6 gate</w:t>
            </w:r>
          </w:p>
        </w:tc>
      </w:tr>
      <w:tr>
        <w:trPr>
          <w:cantSplit/>
        </w:trPr>
        <w:tc>
          <w:tcPr/>
          <w:p>
            <w:pPr>
              <w:pStyle w:val="Compact"/>
              <w:jc w:val="left"/>
            </w:pPr>
            <w:r>
              <w:rPr>
                <w:sz w:val="22"/>
              </w:rPr>
              <w:t xml:space="preserve">Kübler-Ross reading moves backward after a specific incident</w:t>
            </w:r>
          </w:p>
        </w:tc>
        <w:tc>
          <w:tcPr/>
          <w:p>
            <w:pPr>
              <w:pStyle w:val="Compact"/>
              <w:jc w:val="left"/>
            </w:pPr>
            <w:r>
              <w:rPr>
                <w:sz w:val="22"/>
              </w:rPr>
              <w:t xml:space="preserve">1 occurrence, 1 cohort</w:t>
            </w:r>
          </w:p>
        </w:tc>
        <w:tc>
          <w:tcPr/>
          <w:p>
            <w:pPr>
              <w:pStyle w:val="Compact"/>
              <w:jc w:val="left"/>
            </w:pPr>
            <w:r>
              <w:rPr>
                <w:sz w:val="22"/>
              </w:rPr>
              <w:t xml:space="preserve">Run E4’s contained recovery cycle</w:t>
            </w:r>
          </w:p>
        </w:tc>
        <w:tc>
          <w:tcPr/>
          <w:p>
            <w:pPr>
              <w:pStyle w:val="Compact"/>
              <w:jc w:val="left"/>
            </w:pPr>
            <w:r>
              <w:rPr>
                <w:sz w:val="22"/>
              </w:rPr>
              <w:t xml:space="preserve">E4</w:t>
            </w:r>
          </w:p>
        </w:tc>
      </w:tr>
      <w:tr>
        <w:trPr>
          <w:cantSplit/>
        </w:trPr>
        <w:tc>
          <w:tcPr/>
          <w:p>
            <w:pPr>
              <w:pStyle w:val="Compact"/>
              <w:jc w:val="left"/>
            </w:pPr>
            <w:r>
              <w:rPr>
                <w:sz w:val="22"/>
              </w:rPr>
              <w:t xml:space="preserve">ADKAR Reinforcement &lt; 3 as formal close approaches</w:t>
            </w:r>
          </w:p>
        </w:tc>
        <w:tc>
          <w:tcPr/>
          <w:p>
            <w:pPr>
              <w:pStyle w:val="Compact"/>
              <w:jc w:val="left"/>
            </w:pPr>
            <w:r>
              <w:rPr>
                <w:sz w:val="22"/>
              </w:rPr>
              <w:t xml:space="preserve">Any Sustain-phase checkpoint</w:t>
            </w:r>
          </w:p>
        </w:tc>
        <w:tc>
          <w:tcPr/>
          <w:p>
            <w:pPr>
              <w:pStyle w:val="Compact"/>
              <w:jc w:val="left"/>
            </w:pPr>
            <w:r>
              <w:rPr>
                <w:sz w:val="22"/>
              </w:rPr>
              <w:t xml:space="preserve">Flag stall; run E5; delay closure</w:t>
            </w:r>
          </w:p>
        </w:tc>
        <w:tc>
          <w:tcPr/>
          <w:p>
            <w:pPr>
              <w:pStyle w:val="Compact"/>
              <w:jc w:val="left"/>
            </w:pPr>
            <w:r>
              <w:rPr>
                <w:sz w:val="22"/>
              </w:rPr>
              <w:t xml:space="preserve">E5 · ALT-015 (Sustainment Sign-Off Blocked)</w:t>
            </w:r>
          </w:p>
        </w:tc>
      </w:tr>
      <w:tr>
        <w:trPr>
          <w:cantSplit/>
        </w:trPr>
        <w:tc>
          <w:tcPr/>
          <w:p>
            <w:pPr>
              <w:pStyle w:val="Compact"/>
              <w:jc w:val="left"/>
            </w:pPr>
            <w:r>
              <w:rPr>
                <w:sz w:val="22"/>
              </w:rPr>
              <w:t xml:space="preserve">Site-level readiness spread exceeds one full benchmark band</w:t>
            </w:r>
          </w:p>
        </w:tc>
        <w:tc>
          <w:tcPr/>
          <w:p>
            <w:pPr>
              <w:pStyle w:val="Compact"/>
              <w:jc w:val="left"/>
            </w:pPr>
            <w:r>
              <w:rPr>
                <w:sz w:val="22"/>
              </w:rPr>
              <w:t xml:space="preserve">Any Phase 4–7 checkpoint</w:t>
            </w:r>
          </w:p>
        </w:tc>
        <w:tc>
          <w:tcPr/>
          <w:p>
            <w:pPr>
              <w:pStyle w:val="Compact"/>
              <w:jc w:val="left"/>
            </w:pPr>
            <w:r>
              <w:rPr>
                <w:sz w:val="22"/>
              </w:rPr>
              <w:t xml:space="preserve">Disaggregate M14 (Analytics); run E6</w:t>
            </w:r>
          </w:p>
        </w:tc>
        <w:tc>
          <w:tcPr/>
          <w:p>
            <w:pPr>
              <w:pStyle w:val="Compact"/>
              <w:jc w:val="left"/>
            </w:pPr>
            <w:r>
              <w:rPr>
                <w:sz w:val="22"/>
              </w:rPr>
              <w:t xml:space="preserve">E6</w:t>
            </w:r>
          </w:p>
        </w:tc>
      </w:tr>
      <w:tr>
        <w:trPr>
          <w:cantSplit/>
        </w:trPr>
        <w:tc>
          <w:tcPr/>
          <w:p>
            <w:pPr>
              <w:pStyle w:val="Compact"/>
              <w:jc w:val="left"/>
            </w:pPr>
            <w:r>
              <w:rPr>
                <w:sz w:val="22"/>
              </w:rPr>
              <w:t xml:space="preserve">3 or more open Resistance Log entries</w:t>
            </w:r>
          </w:p>
        </w:tc>
        <w:tc>
          <w:tcPr/>
          <w:p>
            <w:pPr>
              <w:pStyle w:val="Compact"/>
              <w:jc w:val="left"/>
            </w:pPr>
            <w:r>
              <w:rPr>
                <w:sz w:val="22"/>
              </w:rPr>
              <w:t xml:space="preserve">Any point</w:t>
            </w:r>
          </w:p>
        </w:tc>
        <w:tc>
          <w:tcPr/>
          <w:p>
            <w:pPr>
              <w:pStyle w:val="Compact"/>
              <w:jc w:val="left"/>
            </w:pPr>
            <w:r>
              <w:rPr>
                <w:sz w:val="22"/>
              </w:rPr>
              <w:t xml:space="preserve">Escalate to Steering Committee</w:t>
            </w:r>
          </w:p>
        </w:tc>
        <w:tc>
          <w:tcPr/>
          <w:p>
            <w:pPr>
              <w:pStyle w:val="Compact"/>
              <w:jc w:val="left"/>
            </w:pPr>
            <w:r>
              <w:rPr>
                <w:sz w:val="22"/>
              </w:rPr>
              <w:t xml:space="preserve">ALT-004 (Resistance Escalation Threshold Breached)</w:t>
            </w:r>
          </w:p>
        </w:tc>
      </w:tr>
      <w:tr>
        <w:trPr>
          <w:cantSplit/>
        </w:trPr>
        <w:tc>
          <w:tcPr/>
          <w:p>
            <w:pPr>
              <w:pStyle w:val="Compact"/>
              <w:jc w:val="left"/>
            </w:pPr>
            <w:r>
              <w:rPr>
                <w:sz w:val="22"/>
              </w:rPr>
              <w:t xml:space="preserve">Sponsor visibility logged</w:t>
            </w:r>
            <w:r>
              <w:rPr>
                <w:sz w:val="22"/>
              </w:rPr>
              <w:t xml:space="preserve"> </w:t>
            </w:r>
            <w:r>
              <w:rPr>
                <w:sz w:val="22"/>
              </w:rPr>
              <w:t xml:space="preserve">“</w:t>
            </w:r>
            <w:r>
              <w:rPr>
                <w:sz w:val="22"/>
              </w:rPr>
              <w:t xml:space="preserve">weak</w:t>
            </w:r>
            <w:r>
              <w:rPr>
                <w:sz w:val="22"/>
              </w:rPr>
              <w:t xml:space="preserve">”</w:t>
            </w:r>
          </w:p>
        </w:tc>
        <w:tc>
          <w:tcPr/>
          <w:p>
            <w:pPr>
              <w:pStyle w:val="Compact"/>
              <w:jc w:val="left"/>
            </w:pPr>
            <w:r>
              <w:rPr>
                <w:sz w:val="22"/>
              </w:rPr>
              <w:t xml:space="preserve">Any governance week</w:t>
            </w:r>
          </w:p>
        </w:tc>
        <w:tc>
          <w:tcPr/>
          <w:p>
            <w:pPr>
              <w:pStyle w:val="Compact"/>
              <w:jc w:val="left"/>
            </w:pPr>
            <w:r>
              <w:rPr>
                <w:sz w:val="22"/>
              </w:rPr>
              <w:t xml:space="preserve">Escalate to PMO</w:t>
            </w:r>
          </w:p>
        </w:tc>
        <w:tc>
          <w:tcPr/>
          <w:p>
            <w:pPr>
              <w:pStyle w:val="Compact"/>
              <w:jc w:val="left"/>
            </w:pPr>
            <w:r>
              <w:rPr>
                <w:sz w:val="22"/>
              </w:rPr>
              <w:t xml:space="preserve">ALT-003 (Sponsor Coverage Gap)</w:t>
            </w:r>
          </w:p>
        </w:tc>
      </w:tr>
      <w:tr>
        <w:trPr>
          <w:cantSplit/>
        </w:trPr>
        <w:tc>
          <w:tcPr/>
          <w:p>
            <w:pPr>
              <w:pStyle w:val="Compact"/>
              <w:jc w:val="left"/>
            </w:pPr>
            <w:r>
              <w:rPr>
                <w:sz w:val="22"/>
              </w:rPr>
              <w:t xml:space="preserve">Fewer than 2 named coalition members</w:t>
            </w:r>
          </w:p>
        </w:tc>
        <w:tc>
          <w:tcPr/>
          <w:p>
            <w:pPr>
              <w:pStyle w:val="Compact"/>
              <w:jc w:val="left"/>
            </w:pPr>
            <w:r>
              <w:rPr>
                <w:sz w:val="22"/>
              </w:rPr>
              <w:t xml:space="preserve">Any point</w:t>
            </w:r>
          </w:p>
        </w:tc>
        <w:tc>
          <w:tcPr/>
          <w:p>
            <w:pPr>
              <w:pStyle w:val="Compact"/>
              <w:jc w:val="left"/>
            </w:pPr>
            <w:r>
              <w:rPr>
                <w:sz w:val="22"/>
              </w:rPr>
              <w:t xml:space="preserve">Escalate to PMO</w:t>
            </w:r>
          </w:p>
        </w:tc>
        <w:tc>
          <w:tcPr/>
          <w:p>
            <w:pPr>
              <w:pStyle w:val="Compact"/>
              <w:jc w:val="left"/>
            </w:pPr>
            <w:r>
              <w:rPr>
                <w:sz w:val="22"/>
              </w:rPr>
              <w:t xml:space="preserve">ALT-010 (Guiding Coalition Gap)</w:t>
            </w:r>
          </w:p>
        </w:tc>
      </w:tr>
    </w:tbl>
    <w:p>
      <w:pPr>
        <w:pStyle w:val="BodyText"/>
      </w:pPr>
    </w:p>
    <w:bookmarkEnd w:id="54"/>
    <w:bookmarkStart w:id="55" w:name="b.6-the-program-month-by-month"/>
    <w:p>
      <w:pPr>
        <w:pStyle w:val="Heading3"/>
      </w:pPr>
      <w:r>
        <w:rPr>
          <w:b/>
          <w:color w:val="3F827B"/>
          <w:sz w:val="29"/>
        </w:rPr>
        <w:t xml:space="preserve">1B.6 The Program, Month by Month</w:t>
      </w:r>
    </w:p>
    <w:p>
      <w:pPr>
        <w:pStyle w:val="FirstParagraph"/>
      </w:pPr>
      <w:r>
        <w:rPr>
          <w:sz w:val="25"/>
        </w:rPr>
        <w:t xml:space="preserve">Sections 1B.3 and 1B.4 gave the Bouregreg ERP Adoption Program’s normal flow and its six exceptions as separate, structured references. This subsection puts them back together as one continuous account, month by month, so a reader can see how the two actually interleave over the program’s real 14 months — which is what living through a program week by week actually looks like, rather than a phase table and an exception appendix read separately.</w:t>
      </w:r>
    </w:p>
    <w:p>
      <w:pPr>
        <w:pStyle w:val="BodyText"/>
      </w:pPr>
      <w:r>
        <w:rPr>
          <w:bCs/>
          <w:b/>
          <w:sz w:val="25"/>
        </w:rPr>
        <w:t xml:space="preserve">Month 1 (W1–4).</w:t>
      </w:r>
      <w:r>
        <w:rPr>
          <w:sz w:val="25"/>
        </w:rPr>
        <w:t xml:space="preserve"> </w:t>
      </w:r>
      <w:r>
        <w:rPr>
          <w:sz w:val="25"/>
        </w:rPr>
        <w:t xml:space="preserve">Discovery opens. Meryem Sabri’s team runs the first discovery workshops at Casablanca HQ; Kenitra and Settat follow the week after. Lewin reads Unfreeze from the first week — not because the program just started, but because the discovery findings already support it.</w:t>
      </w:r>
    </w:p>
    <w:p>
      <w:pPr>
        <w:pStyle w:val="BodyText"/>
      </w:pPr>
      <w:r>
        <w:rPr>
          <w:bCs/>
          <w:b/>
          <w:sz w:val="25"/>
        </w:rPr>
        <w:t xml:space="preserve">Month 2 (W5–8).</w:t>
      </w:r>
      <w:r>
        <w:rPr>
          <w:sz w:val="25"/>
        </w:rPr>
        <w:t xml:space="preserve"> </w:t>
      </w:r>
      <w:r>
        <w:rPr>
          <w:sz w:val="25"/>
        </w:rPr>
        <w:t xml:space="preserve">Discovery closes with a signed-off business case and a complete Stakeholder Map. Design opens in parallel: the first design-principle draft circulates before Discovery’s final workshop has even happened at Settat.</w:t>
      </w:r>
    </w:p>
    <w:p>
      <w:pPr>
        <w:pStyle w:val="BodyText"/>
      </w:pPr>
      <w:r>
        <w:rPr>
          <w:bCs/>
          <w:b/>
          <w:sz w:val="25"/>
        </w:rPr>
        <w:t xml:space="preserve">Month 3 (W9–13).</w:t>
      </w:r>
      <w:r>
        <w:rPr>
          <w:sz w:val="25"/>
        </w:rPr>
        <w:t xml:space="preserve"> </w:t>
      </w:r>
      <w:r>
        <w:rPr>
          <w:sz w:val="25"/>
        </w:rPr>
        <w:t xml:space="preserve">Design’s future-state scope is signed off by the Steering Committee. The first town hall goes out across all three sites, and the first real Awareness scores land on M5 (ADKAR Engine) — Casablanca reading highest, Settat lowest, exactly the spread Exception E6 (Cohort Divergence Across Sites) will later name explicitly.</w:t>
      </w:r>
    </w:p>
    <w:p>
      <w:pPr>
        <w:pStyle w:val="BodyText"/>
      </w:pPr>
      <w:r>
        <w:rPr>
          <w:bCs/>
          <w:b/>
          <w:sz w:val="25"/>
        </w:rPr>
        <w:t xml:space="preserve">Month 4 (W14–17).</w:t>
      </w:r>
      <w:r>
        <w:rPr>
          <w:sz w:val="25"/>
        </w:rPr>
        <w:t xml:space="preserve"> </w:t>
      </w:r>
      <w:r>
        <w:rPr>
          <w:sz w:val="25"/>
        </w:rPr>
        <w:t xml:space="preserve">Build opens. Configuration sprints begin against the signed-off design principles, and the first wave of champions is briefed — the moment Exception E7 (Part 3) becomes an operating loop rather than a theoretical one.</w:t>
      </w:r>
    </w:p>
    <w:p>
      <w:pPr>
        <w:pStyle w:val="BodyText"/>
      </w:pPr>
      <w:r>
        <w:rPr>
          <w:bCs/>
          <w:b/>
          <w:sz w:val="25"/>
        </w:rPr>
        <w:t xml:space="preserve">Month 5 (W18–22).</w:t>
      </w:r>
      <w:r>
        <w:rPr>
          <w:sz w:val="25"/>
        </w:rPr>
        <w:t xml:space="preserve"> </w:t>
      </w:r>
      <w:r>
        <w:rPr>
          <w:sz w:val="25"/>
        </w:rPr>
        <w:t xml:space="preserve">Mid-Build. Awareness gives way to Desire across most cohorts — except the Settat plant floor, where Desire drops to 2 and auto-escalates.</w:t>
      </w:r>
      <w:r>
        <w:rPr>
          <w:sz w:val="25"/>
        </w:rPr>
        <w:t xml:space="preserve"> </w:t>
      </w:r>
      <w:r>
        <w:rPr>
          <w:bCs/>
          <w:b/>
          <w:sz w:val="25"/>
        </w:rPr>
        <w:t xml:space="preserve">Exception E1 (Desire Stall at Settat) opens here.</w:t>
      </w:r>
      <w:r>
        <w:rPr>
          <w:sz w:val="25"/>
        </w:rPr>
        <w:t xml:space="preserve"> </w:t>
      </w:r>
      <w:r>
        <w:rPr>
          <w:sz w:val="25"/>
        </w:rPr>
        <w:t xml:space="preserve">Houda Zerouali clusters the barrier notes; the theme is position security, not workflow visibility.</w:t>
      </w:r>
    </w:p>
    <w:p>
      <w:pPr>
        <w:pStyle w:val="BodyText"/>
      </w:pPr>
      <w:r>
        <w:rPr>
          <w:bCs/>
          <w:b/>
          <w:sz w:val="25"/>
        </w:rPr>
        <w:t xml:space="preserve">Month 6 (W23–27).</w:t>
      </w:r>
      <w:r>
        <w:rPr>
          <w:sz w:val="25"/>
        </w:rPr>
        <w:t xml:space="preserve"> </w:t>
      </w:r>
      <w:r>
        <w:rPr>
          <w:bCs/>
          <w:b/>
          <w:sz w:val="25"/>
        </w:rPr>
        <w:t xml:space="preserve">E1 (Desire Stall at Settat) closes.</w:t>
      </w:r>
      <w:r>
        <w:rPr>
          <w:sz w:val="25"/>
        </w:rPr>
        <w:t xml:space="preserve"> </w:t>
      </w:r>
      <w:r>
        <w:rPr>
          <w:sz w:val="25"/>
        </w:rPr>
        <w:t xml:space="preserve">The CFO delivers a direct, verifiable staffing commitment to the Settat cohort in person; Desire and Kübler-Ross sentiment both recover within the month. Build closes shortly after: configuration is functionally complete, and Lewin moves from Unfreeze to Change on the strength of that evidence, not the calendar.</w:t>
      </w:r>
    </w:p>
    <w:p>
      <w:pPr>
        <w:pStyle w:val="BodyText"/>
      </w:pPr>
      <w:r>
        <w:rPr>
          <w:bCs/>
          <w:b/>
          <w:sz w:val="25"/>
        </w:rPr>
        <w:t xml:space="preserve">Month 7 (W28–30).</w:t>
      </w:r>
      <w:r>
        <w:rPr>
          <w:sz w:val="25"/>
        </w:rPr>
        <w:t xml:space="preserve"> </w:t>
      </w:r>
      <w:r>
        <w:rPr>
          <w:sz w:val="25"/>
        </w:rPr>
        <w:t xml:space="preserve">Test opens. SIT runs clean. The UAT cohort is recruited across all three sites, with Settat’s representative now genuinely ready to participate meaningfully, thanks to Month 6’s recovery.</w:t>
      </w:r>
    </w:p>
    <w:p>
      <w:pPr>
        <w:pStyle w:val="BodyText"/>
      </w:pPr>
      <w:r>
        <w:rPr>
          <w:bCs/>
          <w:b/>
          <w:sz w:val="25"/>
        </w:rPr>
        <w:t xml:space="preserve">Month 8 (W31–35).</w:t>
      </w:r>
      <w:r>
        <w:rPr>
          <w:sz w:val="25"/>
        </w:rPr>
        <w:t xml:space="preserve"> </w:t>
      </w:r>
      <w:r>
        <w:rPr>
          <w:sz w:val="25"/>
        </w:rPr>
        <w:t xml:space="preserve">UAT runs in earnest. A Casablanca finance participant logs Knowledge ≥ 4 and Ability ≥ 4 while Bridges still reads Ending —</w:t>
      </w:r>
      <w:r>
        <w:rPr>
          <w:sz w:val="25"/>
        </w:rPr>
        <w:t xml:space="preserve"> </w:t>
      </w:r>
      <w:r>
        <w:rPr>
          <w:bCs/>
          <w:b/>
          <w:sz w:val="25"/>
        </w:rPr>
        <w:t xml:space="preserve">Exception E2 (Divergence Pattern at UAT) fires</w:t>
      </w:r>
      <w:r>
        <w:rPr>
          <w:sz w:val="25"/>
        </w:rPr>
        <w:t xml:space="preserve"> </w:t>
      </w:r>
      <w:r>
        <w:rPr>
          <w:sz w:val="25"/>
        </w:rPr>
        <w:t xml:space="preserve">as ALT-001 (Divergence Pattern Detected). Driss El Amrani runs the 1:1; the underlying concern turns out to be genuine, tied to a role that exists under the legacy system and doesn’t exist in the new one, and is given an explicit closure moment. Train opens in parallel: role-based training begins by cohort.</w:t>
      </w:r>
    </w:p>
    <w:p>
      <w:pPr>
        <w:pStyle w:val="BodyText"/>
      </w:pPr>
      <w:r>
        <w:rPr>
          <w:bCs/>
          <w:b/>
          <w:sz w:val="25"/>
        </w:rPr>
        <w:t xml:space="preserve">Month 9 (W36–39).</w:t>
      </w:r>
      <w:r>
        <w:rPr>
          <w:sz w:val="25"/>
        </w:rPr>
        <w:t xml:space="preserve"> </w:t>
      </w:r>
      <w:r>
        <w:rPr>
          <w:sz w:val="25"/>
        </w:rPr>
        <w:t xml:space="preserve">Train continues. Kenitra and Settat’s job aids and sandbox environment go live. The Composite Readiness Index on M14 (Analytics), blended across all three sites, starts reading in a range that — disaggregated — turns out to mean something different at each site.</w:t>
      </w:r>
      <w:r>
        <w:rPr>
          <w:sz w:val="25"/>
        </w:rPr>
        <w:t xml:space="preserve"> </w:t>
      </w:r>
      <w:r>
        <w:rPr>
          <w:bCs/>
          <w:b/>
          <w:sz w:val="25"/>
        </w:rPr>
        <w:t xml:space="preserve">Exception E6 (Cohort Divergence Across Sites) is formally opened</w:t>
      </w:r>
      <w:r>
        <w:rPr>
          <w:sz w:val="25"/>
        </w:rPr>
        <w:t xml:space="preserve"> </w:t>
      </w:r>
      <w:r>
        <w:rPr>
          <w:sz w:val="25"/>
        </w:rPr>
        <w:t xml:space="preserve">as Meryem Sabri pulls the site-level breakdown apart for the first time.</w:t>
      </w:r>
    </w:p>
    <w:p>
      <w:pPr>
        <w:pStyle w:val="BodyText"/>
      </w:pPr>
      <w:r>
        <w:rPr>
          <w:bCs/>
          <w:b/>
          <w:sz w:val="25"/>
        </w:rPr>
        <w:t xml:space="preserve">Month 10 (W40–42).</w:t>
      </w:r>
      <w:r>
        <w:rPr>
          <w:sz w:val="25"/>
        </w:rPr>
        <w:t xml:space="preserve"> </w:t>
      </w:r>
      <w:r>
        <w:rPr>
          <w:sz w:val="25"/>
        </w:rPr>
        <w:t xml:space="preserve">Train closes. Cohort-level go/no-go is confirmed — Casablanca and Settat (recovered since Month 6) clear cleanly; Kenitra clears with a coaching note attached, informed directly by E6’s site-level comparison. Supervisors at both plant sites are briefed on floor-coaching expectations for the go-live week ahead.</w:t>
      </w:r>
    </w:p>
    <w:p>
      <w:pPr>
        <w:pStyle w:val="BodyText"/>
      </w:pPr>
      <w:r>
        <w:rPr>
          <w:bCs/>
          <w:b/>
          <w:sz w:val="25"/>
        </w:rPr>
        <w:t xml:space="preserve">Month 11 (W43).</w:t>
      </w:r>
      <w:r>
        <w:rPr>
          <w:sz w:val="25"/>
        </w:rPr>
        <w:t xml:space="preserve"> </w:t>
      </w:r>
      <w:r>
        <w:rPr>
          <w:sz w:val="25"/>
        </w:rPr>
        <w:t xml:space="preserve">Deploy — a single, sharp week. Data freeze, final migration, cutover runbook, technical validation: all clean. Driss El Amrani sends the go-live confirmation across all three sites, timed against M8 (Communications)’s saturation detection. Hypercare activates on Day 1. Lewin is marked</w:t>
      </w:r>
      <w:r>
        <w:rPr>
          <w:sz w:val="25"/>
        </w:rPr>
        <w:t xml:space="preserve"> </w:t>
      </w:r>
      <w:r>
        <w:rPr>
          <w:sz w:val="25"/>
        </w:rPr>
        <w:t xml:space="preserve">“</w:t>
      </w:r>
      <w:r>
        <w:rPr>
          <w:sz w:val="25"/>
        </w:rPr>
        <w:t xml:space="preserve">Change → Refreeze (provisional),</w:t>
      </w:r>
      <w:r>
        <w:rPr>
          <w:sz w:val="25"/>
        </w:rPr>
        <w:t xml:space="preserve">”</w:t>
      </w:r>
      <w:r>
        <w:rPr>
          <w:sz w:val="25"/>
        </w:rPr>
        <w:t xml:space="preserve"> </w:t>
      </w:r>
      <w:r>
        <w:rPr>
          <w:sz w:val="25"/>
        </w:rPr>
        <w:t xml:space="preserve">not Refreeze —</w:t>
      </w:r>
      <w:r>
        <w:rPr>
          <w:sz w:val="25"/>
        </w:rPr>
        <w:t xml:space="preserve"> </w:t>
      </w:r>
      <w:r>
        <w:rPr>
          <w:bCs/>
          <w:b/>
          <w:sz w:val="25"/>
        </w:rPr>
        <w:t xml:space="preserve">Exception E3 (Two-Clock Problem at Deploy) is, by design, already active</w:t>
      </w:r>
      <w:r>
        <w:rPr>
          <w:sz w:val="25"/>
        </w:rPr>
        <w:t xml:space="preserve"> </w:t>
      </w:r>
      <w:r>
        <w:rPr>
          <w:sz w:val="25"/>
        </w:rPr>
        <w:t xml:space="preserve">the moment this month begins, and stays active through Month 12.</w:t>
      </w:r>
    </w:p>
    <w:p>
      <w:pPr>
        <w:pStyle w:val="BodyText"/>
      </w:pPr>
      <w:r>
        <w:rPr>
          <w:bCs/>
          <w:b/>
          <w:sz w:val="25"/>
        </w:rPr>
        <w:t xml:space="preserve">Month 12 (W44–47).</w:t>
      </w:r>
      <w:r>
        <w:rPr>
          <w:sz w:val="25"/>
        </w:rPr>
        <w:t xml:space="preserve"> </w:t>
      </w:r>
      <w:r>
        <w:rPr>
          <w:sz w:val="25"/>
        </w:rPr>
        <w:t xml:space="preserve">Hypercare in full swing. A configuration defect in Kenitra’s inventory-matching logic causes a visible stock-count error in front of a cohort that had just started to trust the new system —</w:t>
      </w:r>
      <w:r>
        <w:rPr>
          <w:sz w:val="25"/>
        </w:rPr>
        <w:t xml:space="preserve"> </w:t>
      </w:r>
      <w:r>
        <w:rPr>
          <w:bCs/>
          <w:b/>
          <w:sz w:val="25"/>
        </w:rPr>
        <w:t xml:space="preserve">Exception E4 (Sentiment Regression During Hypercare) opens</w:t>
      </w:r>
      <w:r>
        <w:rPr>
          <w:sz w:val="25"/>
        </w:rPr>
        <w:t xml:space="preserve">, isolated to Kenitra. The defect is fixed and communicated within the week; the Kenitra plant supervisor acknowledges the setback directly with the team; a targeted re-pulse at the 1–2 week mark confirms recovery. The broader 2- and 4-week Bridges/Kübler-Ross re-pulse required to resolve</w:t>
      </w:r>
      <w:r>
        <w:rPr>
          <w:sz w:val="25"/>
        </w:rPr>
        <w:t xml:space="preserve"> </w:t>
      </w:r>
      <w:r>
        <w:rPr>
          <w:bCs/>
          <w:b/>
          <w:sz w:val="25"/>
        </w:rPr>
        <w:t xml:space="preserve">E3 (Two-Clock Problem at Deploy)</w:t>
      </w:r>
      <w:r>
        <w:rPr>
          <w:sz w:val="25"/>
        </w:rPr>
        <w:t xml:space="preserve"> </w:t>
      </w:r>
      <w:r>
        <w:rPr>
          <w:sz w:val="25"/>
        </w:rPr>
        <w:t xml:space="preserve">also runs this month.</w:t>
      </w:r>
    </w:p>
    <w:p>
      <w:pPr>
        <w:pStyle w:val="BodyText"/>
      </w:pPr>
      <w:r>
        <w:rPr>
          <w:bCs/>
          <w:b/>
          <w:sz w:val="25"/>
        </w:rPr>
        <w:t xml:space="preserve">Month 13 (W48–52).</w:t>
      </w:r>
      <w:r>
        <w:rPr>
          <w:sz w:val="25"/>
        </w:rPr>
        <w:t xml:space="preserve"> </w:t>
      </w:r>
      <w:r>
        <w:rPr>
          <w:sz w:val="25"/>
        </w:rPr>
        <w:t xml:space="preserve">Hypercare closes: the re-pulse confirms Bridges has genuinely moved to New Beginning and Kübler-Ross reads Exploration or better across all three sites —</w:t>
      </w:r>
      <w:r>
        <w:rPr>
          <w:sz w:val="25"/>
        </w:rPr>
        <w:t xml:space="preserve"> </w:t>
      </w:r>
      <w:r>
        <w:rPr>
          <w:bCs/>
          <w:b/>
          <w:sz w:val="25"/>
        </w:rPr>
        <w:t xml:space="preserve">E3 (Two-Clock Problem at Deploy) closes</w:t>
      </w:r>
      <w:r>
        <w:rPr>
          <w:sz w:val="25"/>
        </w:rPr>
        <w:t xml:space="preserve">, Lewin’s provisional Refreeze is confirmed rather than walked back. Sustain opens. New-process metrics are embedded into performance management with HR’s support; the first 30-day checkpoint runs clean.</w:t>
      </w:r>
    </w:p>
    <w:p>
      <w:pPr>
        <w:pStyle w:val="BodyText"/>
      </w:pPr>
      <w:r>
        <w:rPr>
          <w:bCs/>
          <w:b/>
          <w:sz w:val="25"/>
        </w:rPr>
        <w:t xml:space="preserve">Month 14 (W53–64).</w:t>
      </w:r>
      <w:r>
        <w:rPr>
          <w:sz w:val="25"/>
        </w:rPr>
        <w:t xml:space="preserve"> </w:t>
      </w:r>
      <w:r>
        <w:rPr>
          <w:sz w:val="25"/>
        </w:rPr>
        <w:t xml:space="preserve">The 60-day checkpoint runs clean. At the 90-day mark, Reinforcement stalls below 3 for the first time — not a crisis, but exactly the pattern</w:t>
      </w:r>
      <w:r>
        <w:rPr>
          <w:sz w:val="25"/>
        </w:rPr>
        <w:t xml:space="preserve"> </w:t>
      </w:r>
      <w:r>
        <w:rPr>
          <w:bCs/>
          <w:b/>
          <w:sz w:val="25"/>
        </w:rPr>
        <w:t xml:space="preserve">Exception E5 (Reinforcement Gap at Sustain)</w:t>
      </w:r>
      <w:r>
        <w:rPr>
          <w:sz w:val="25"/>
        </w:rPr>
        <w:t xml:space="preserve"> </w:t>
      </w:r>
      <w:r>
        <w:rPr>
          <w:sz w:val="25"/>
        </w:rPr>
        <w:t xml:space="preserve">exists to catch before the program closes on schedule regardless. Driss El Amrani flags it explicitly; the CFO re-authorizes a further checkpoint cadence; the champion network is re-chartered specifically for reinforcement. Two further consecutive healthy checkpoints follow.</w:t>
      </w:r>
      <w:r>
        <w:rPr>
          <w:sz w:val="25"/>
        </w:rPr>
        <w:t xml:space="preserve"> </w:t>
      </w:r>
      <w:r>
        <w:rPr>
          <w:bCs/>
          <w:b/>
          <w:sz w:val="25"/>
        </w:rPr>
        <w:t xml:space="preserve">E5 (Reinforcement Gap at Sustain) closes.</w:t>
      </w:r>
      <w:r>
        <w:rPr>
          <w:sz w:val="25"/>
        </w:rPr>
        <w:t xml:space="preserve"> </w:t>
      </w:r>
      <w:r>
        <w:rPr>
          <w:sz w:val="25"/>
        </w:rPr>
        <w:t xml:space="preserve">Refreeze is called from that evidence, the Bouregreg ERP Adoption Program’s sign-off is recorded on M12 (Sustainment), and ongoing ownership passes to the business-as-usual process owner — the same close Part 1B.3’s Phase 8 describes, now with the full story of how the program actually got there.</w:t>
      </w:r>
    </w:p>
    <w:p>
      <w:pPr>
        <w:pStyle w:val="BodyText"/>
      </w:pPr>
    </w:p>
    <w:bookmarkEnd w:id="55"/>
    <w:bookmarkStart w:id="56" w:name="X0957a1dbcd22e9d9553be525827a3cc7602c435"/>
    <w:p>
      <w:pPr>
        <w:pStyle w:val="Heading3"/>
      </w:pPr>
      <w:r>
        <w:rPr>
          <w:b/>
          <w:color w:val="3F827B"/>
          <w:sz w:val="29"/>
        </w:rPr>
        <w:t xml:space="preserve">1B.7 CM Charters Across the Program — Create, Read, Update, Delete</w:t>
      </w:r>
    </w:p>
    <w:p>
      <w:pPr>
        <w:pStyle w:val="FirstParagraph"/>
      </w:pPr>
      <w:r>
        <w:rPr>
          <w:sz w:val="25"/>
        </w:rPr>
        <w:t xml:space="preserve">M19 (CM Charters) holds journi’s 8 signed, trackable behavioral standards — not prose guidance, but named actions with an owner role, a governing macro process, and a per-project compliance log. This subsection tracks all 8 charters’ full CRUD lifecycle — create, review, update, and (where it happens) delete — against Bouregreg’s actual 64-week program, phase by phase, rather than describing the CRUD mechanism in the abstract the way Part 2’s M19 entry does.</w:t>
      </w:r>
    </w:p>
    <w:p>
      <w:pPr>
        <w:pStyle w:val="BodyText"/>
      </w:pPr>
      <w:r>
        <w:rPr>
          <w:bCs/>
          <w:b/>
          <w:sz w:val="25"/>
        </w:rPr>
        <w:t xml:space="preserve">The 8 charters, their owners, and their governing macro process: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shd w:val="clear" w:fill="1F4B45"/>
          </w:tcPr>
          <w:p>
            <w:pPr>
              <w:pStyle w:val="Compact"/>
              <w:jc w:val="left"/>
            </w:pPr>
            <w:r>
              <w:rPr>
                <w:b/>
                <w:color w:val="FFFFFF"/>
                <w:sz w:val="22"/>
              </w:rPr>
              <w:t xml:space="preserve">Charter</w:t>
            </w:r>
          </w:p>
        </w:tc>
        <w:tc>
          <w:tcPr>
            <w:shd w:val="clear" w:fill="1F4B45"/>
          </w:tcPr>
          <w:p>
            <w:pPr>
              <w:pStyle w:val="Compact"/>
              <w:jc w:val="left"/>
            </w:pPr>
            <w:r>
              <w:rPr>
                <w:b/>
                <w:color w:val="FFFFFF"/>
                <w:sz w:val="22"/>
              </w:rPr>
              <w:t xml:space="preserve">Owner Role</w:t>
            </w:r>
          </w:p>
        </w:tc>
        <w:tc>
          <w:tcPr>
            <w:shd w:val="clear" w:fill="1F4B45"/>
          </w:tcPr>
          <w:p>
            <w:pPr>
              <w:pStyle w:val="Compact"/>
              <w:jc w:val="left"/>
            </w:pPr>
            <w:r>
              <w:rPr>
                <w:b/>
                <w:color w:val="FFFFFF"/>
                <w:sz w:val="22"/>
              </w:rPr>
              <w:t xml:space="preserve">Governs</w:t>
            </w:r>
          </w:p>
        </w:tc>
        <w:tc>
          <w:tcPr>
            <w:shd w:val="clear" w:fill="1F4B45"/>
          </w:tcPr>
          <w:p>
            <w:pPr>
              <w:pStyle w:val="Compact"/>
              <w:jc w:val="left"/>
            </w:pPr>
            <w:r>
              <w:rPr>
                <w:b/>
                <w:color w:val="FFFFFF"/>
                <w:sz w:val="22"/>
              </w:rPr>
              <w:t xml:space="preserve">Created In</w:t>
            </w:r>
          </w:p>
        </w:tc>
      </w:tr>
      <w:tr>
        <w:trPr>
          <w:cantSplit/>
        </w:trPr>
        <w:tc>
          <w:tcPr/>
          <w:p>
            <w:pPr>
              <w:pStyle w:val="Compact"/>
              <w:jc w:val="left"/>
            </w:pPr>
            <w:r>
              <w:rPr>
                <w:sz w:val="22"/>
              </w:rPr>
              <w:t xml:space="preserve">CHTR-01 (Sponsorship / Leadership Charter)</w:t>
            </w:r>
          </w:p>
        </w:tc>
        <w:tc>
          <w:tcPr/>
          <w:p>
            <w:pPr>
              <w:pStyle w:val="Compact"/>
              <w:jc w:val="left"/>
            </w:pPr>
            <w:r>
              <w:rPr>
                <w:sz w:val="22"/>
              </w:rPr>
              <w:t xml:space="preserve">Executive Sponsor</w:t>
            </w:r>
          </w:p>
        </w:tc>
        <w:tc>
          <w:tcPr/>
          <w:p>
            <w:pPr>
              <w:pStyle w:val="Compact"/>
              <w:jc w:val="left"/>
            </w:pPr>
            <w:r>
              <w:rPr>
                <w:sz w:val="22"/>
              </w:rPr>
              <w:t xml:space="preserve">MP-02 (Sponsorship &amp; Governance Management)</w:t>
            </w:r>
          </w:p>
        </w:tc>
        <w:tc>
          <w:tcPr/>
          <w:p>
            <w:pPr>
              <w:pStyle w:val="Compact"/>
              <w:jc w:val="left"/>
            </w:pPr>
            <w:r>
              <w:rPr>
                <w:sz w:val="22"/>
              </w:rPr>
              <w:t xml:space="preserve">Phase 1, Week 1</w:t>
            </w:r>
          </w:p>
        </w:tc>
      </w:tr>
      <w:tr>
        <w:trPr>
          <w:cantSplit/>
        </w:trPr>
        <w:tc>
          <w:tcPr/>
          <w:p>
            <w:pPr>
              <w:pStyle w:val="Compact"/>
              <w:jc w:val="left"/>
            </w:pPr>
            <w:r>
              <w:rPr>
                <w:sz w:val="22"/>
              </w:rPr>
              <w:t xml:space="preserve">CHTR-04 (Organizational Impact Charter)</w:t>
            </w:r>
          </w:p>
        </w:tc>
        <w:tc>
          <w:tcPr/>
          <w:p>
            <w:pPr>
              <w:pStyle w:val="Compact"/>
              <w:jc w:val="left"/>
            </w:pPr>
            <w:r>
              <w:rPr>
                <w:sz w:val="22"/>
              </w:rPr>
              <w:t xml:space="preserve">Change Manager</w:t>
            </w:r>
          </w:p>
        </w:tc>
        <w:tc>
          <w:tcPr/>
          <w:p>
            <w:pPr>
              <w:pStyle w:val="Compact"/>
              <w:jc w:val="left"/>
            </w:pPr>
            <w:r>
              <w:rPr>
                <w:sz w:val="22"/>
              </w:rPr>
              <w:t xml:space="preserve">MP-01 (Change Impact &amp; Stakeholder Assessment)</w:t>
            </w:r>
          </w:p>
        </w:tc>
        <w:tc>
          <w:tcPr/>
          <w:p>
            <w:pPr>
              <w:pStyle w:val="Compact"/>
              <w:jc w:val="left"/>
            </w:pPr>
            <w:r>
              <w:rPr>
                <w:sz w:val="22"/>
              </w:rPr>
              <w:t xml:space="preserve">Phase 1, Week 6</w:t>
            </w:r>
          </w:p>
        </w:tc>
      </w:tr>
      <w:tr>
        <w:trPr>
          <w:cantSplit/>
        </w:trPr>
        <w:tc>
          <w:tcPr/>
          <w:p>
            <w:pPr>
              <w:pStyle w:val="Compact"/>
              <w:jc w:val="left"/>
            </w:pPr>
            <w:r>
              <w:rPr>
                <w:sz w:val="22"/>
              </w:rPr>
              <w:t xml:space="preserve">CHTR-08 (Pulse / Interview Charter)</w:t>
            </w:r>
          </w:p>
        </w:tc>
        <w:tc>
          <w:tcPr/>
          <w:p>
            <w:pPr>
              <w:pStyle w:val="Compact"/>
              <w:jc w:val="left"/>
            </w:pPr>
            <w:r>
              <w:rPr>
                <w:sz w:val="22"/>
              </w:rPr>
              <w:t xml:space="preserve">Change Manager</w:t>
            </w:r>
          </w:p>
        </w:tc>
        <w:tc>
          <w:tcPr/>
          <w:p>
            <w:pPr>
              <w:pStyle w:val="Compact"/>
              <w:jc w:val="left"/>
            </w:pPr>
            <w:r>
              <w:rPr>
                <w:sz w:val="22"/>
              </w:rPr>
              <w:t xml:space="preserve">MP-07 (Readiness Diagnostics &amp; Signal Capture)</w:t>
            </w:r>
          </w:p>
        </w:tc>
        <w:tc>
          <w:tcPr/>
          <w:p>
            <w:pPr>
              <w:pStyle w:val="Compact"/>
              <w:jc w:val="left"/>
            </w:pPr>
            <w:r>
              <w:rPr>
                <w:sz w:val="22"/>
              </w:rPr>
              <w:t xml:space="preserve">Phase 1, Week 8</w:t>
            </w:r>
          </w:p>
        </w:tc>
      </w:tr>
      <w:tr>
        <w:trPr>
          <w:cantSplit/>
        </w:trPr>
        <w:tc>
          <w:tcPr/>
          <w:p>
            <w:pPr>
              <w:pStyle w:val="Compact"/>
              <w:jc w:val="left"/>
            </w:pPr>
            <w:r>
              <w:rPr>
                <w:sz w:val="22"/>
              </w:rPr>
              <w:t xml:space="preserve">CHTR-03 (Communication Charter)</w:t>
            </w:r>
          </w:p>
        </w:tc>
        <w:tc>
          <w:tcPr/>
          <w:p>
            <w:pPr>
              <w:pStyle w:val="Compact"/>
              <w:jc w:val="left"/>
            </w:pPr>
            <w:r>
              <w:rPr>
                <w:sz w:val="22"/>
              </w:rPr>
              <w:t xml:space="preserve">Change Manager</w:t>
            </w:r>
          </w:p>
        </w:tc>
        <w:tc>
          <w:tcPr/>
          <w:p>
            <w:pPr>
              <w:pStyle w:val="Compact"/>
              <w:jc w:val="left"/>
            </w:pPr>
            <w:r>
              <w:rPr>
                <w:sz w:val="22"/>
              </w:rPr>
              <w:t xml:space="preserve">MP-03 (Communication &amp; Awareness Management)</w:t>
            </w:r>
          </w:p>
        </w:tc>
        <w:tc>
          <w:tcPr/>
          <w:p>
            <w:pPr>
              <w:pStyle w:val="Compact"/>
              <w:jc w:val="left"/>
            </w:pPr>
            <w:r>
              <w:rPr>
                <w:sz w:val="22"/>
              </w:rPr>
              <w:t xml:space="preserve">Phase 2, Week 9</w:t>
            </w:r>
          </w:p>
        </w:tc>
      </w:tr>
      <w:tr>
        <w:trPr>
          <w:cantSplit/>
        </w:trPr>
        <w:tc>
          <w:tcPr/>
          <w:p>
            <w:pPr>
              <w:pStyle w:val="Compact"/>
              <w:jc w:val="left"/>
            </w:pPr>
            <w:r>
              <w:rPr>
                <w:sz w:val="22"/>
              </w:rPr>
              <w:t xml:space="preserve">CHTR-02 (Participative Management Charter)</w:t>
            </w:r>
          </w:p>
        </w:tc>
        <w:tc>
          <w:tcPr/>
          <w:p>
            <w:pPr>
              <w:pStyle w:val="Compact"/>
              <w:jc w:val="left"/>
            </w:pPr>
            <w:r>
              <w:rPr>
                <w:sz w:val="22"/>
              </w:rPr>
              <w:t xml:space="preserve">Frontline Supervisor</w:t>
            </w:r>
          </w:p>
        </w:tc>
        <w:tc>
          <w:tcPr/>
          <w:p>
            <w:pPr>
              <w:pStyle w:val="Compact"/>
              <w:jc w:val="left"/>
            </w:pPr>
            <w:r>
              <w:rPr>
                <w:sz w:val="22"/>
              </w:rPr>
              <w:t xml:space="preserve">MP-04 (Resistance &amp; Barrier Management)</w:t>
            </w:r>
          </w:p>
        </w:tc>
        <w:tc>
          <w:tcPr/>
          <w:p>
            <w:pPr>
              <w:pStyle w:val="Compact"/>
              <w:jc w:val="left"/>
            </w:pPr>
            <w:r>
              <w:rPr>
                <w:sz w:val="22"/>
              </w:rPr>
              <w:t xml:space="preserve">Phase 3, Week 16</w:t>
            </w:r>
          </w:p>
        </w:tc>
      </w:tr>
      <w:tr>
        <w:trPr>
          <w:cantSplit/>
        </w:trPr>
        <w:tc>
          <w:tcPr/>
          <w:p>
            <w:pPr>
              <w:pStyle w:val="Compact"/>
              <w:jc w:val="left"/>
            </w:pPr>
            <w:r>
              <w:rPr>
                <w:sz w:val="22"/>
              </w:rPr>
              <w:t xml:space="preserve">CHTR-06 (One-to-One Coaching Charter)</w:t>
            </w:r>
          </w:p>
        </w:tc>
        <w:tc>
          <w:tcPr/>
          <w:p>
            <w:pPr>
              <w:pStyle w:val="Compact"/>
              <w:jc w:val="left"/>
            </w:pPr>
            <w:r>
              <w:rPr>
                <w:sz w:val="22"/>
              </w:rPr>
              <w:t xml:space="preserve">Change Manager</w:t>
            </w:r>
          </w:p>
        </w:tc>
        <w:tc>
          <w:tcPr/>
          <w:p>
            <w:pPr>
              <w:pStyle w:val="Compact"/>
              <w:jc w:val="left"/>
            </w:pPr>
            <w:r>
              <w:rPr>
                <w:sz w:val="22"/>
              </w:rPr>
              <w:t xml:space="preserve">MP-08 (Divergence &amp; Risk Detection)</w:t>
            </w:r>
          </w:p>
        </w:tc>
        <w:tc>
          <w:tcPr/>
          <w:p>
            <w:pPr>
              <w:pStyle w:val="Compact"/>
              <w:jc w:val="left"/>
            </w:pPr>
            <w:r>
              <w:rPr>
                <w:sz w:val="22"/>
              </w:rPr>
              <w:t xml:space="preserve">Phase 4, Week 34</w:t>
            </w:r>
          </w:p>
        </w:tc>
      </w:tr>
      <w:tr>
        <w:trPr>
          <w:cantSplit/>
        </w:trPr>
        <w:tc>
          <w:tcPr/>
          <w:p>
            <w:pPr>
              <w:pStyle w:val="Compact"/>
              <w:jc w:val="left"/>
            </w:pPr>
            <w:r>
              <w:rPr>
                <w:sz w:val="22"/>
              </w:rPr>
              <w:t xml:space="preserve">CHTR-07 (Mentoring Charter)</w:t>
            </w:r>
          </w:p>
        </w:tc>
        <w:tc>
          <w:tcPr/>
          <w:p>
            <w:pPr>
              <w:pStyle w:val="Compact"/>
              <w:jc w:val="left"/>
            </w:pPr>
            <w:r>
              <w:rPr>
                <w:sz w:val="22"/>
              </w:rPr>
              <w:t xml:space="preserve">Training Lead</w:t>
            </w:r>
          </w:p>
        </w:tc>
        <w:tc>
          <w:tcPr/>
          <w:p>
            <w:pPr>
              <w:pStyle w:val="Compact"/>
              <w:jc w:val="left"/>
            </w:pPr>
            <w:r>
              <w:rPr>
                <w:sz w:val="22"/>
              </w:rPr>
              <w:t xml:space="preserve">MP-05 (Training &amp; Capability Enablement)</w:t>
            </w:r>
          </w:p>
        </w:tc>
        <w:tc>
          <w:tcPr/>
          <w:p>
            <w:pPr>
              <w:pStyle w:val="Compact"/>
              <w:jc w:val="left"/>
            </w:pPr>
            <w:r>
              <w:rPr>
                <w:sz w:val="22"/>
              </w:rPr>
              <w:t xml:space="preserve">Phase 5, Week 30</w:t>
            </w:r>
          </w:p>
        </w:tc>
      </w:tr>
      <w:tr>
        <w:trPr>
          <w:cantSplit/>
        </w:trPr>
        <w:tc>
          <w:tcPr/>
          <w:p>
            <w:pPr>
              <w:pStyle w:val="Compact"/>
              <w:jc w:val="left"/>
            </w:pPr>
            <w:r>
              <w:rPr>
                <w:sz w:val="22"/>
              </w:rPr>
              <w:t xml:space="preserve">CHTR-05 (Team Coaching Charter)</w:t>
            </w:r>
          </w:p>
        </w:tc>
        <w:tc>
          <w:tcPr/>
          <w:p>
            <w:pPr>
              <w:pStyle w:val="Compact"/>
              <w:jc w:val="left"/>
            </w:pPr>
            <w:r>
              <w:rPr>
                <w:sz w:val="22"/>
              </w:rPr>
              <w:t xml:space="preserve">People Manager</w:t>
            </w:r>
          </w:p>
        </w:tc>
        <w:tc>
          <w:tcPr/>
          <w:p>
            <w:pPr>
              <w:pStyle w:val="Compact"/>
              <w:jc w:val="left"/>
            </w:pPr>
            <w:r>
              <w:rPr>
                <w:sz w:val="22"/>
              </w:rPr>
              <w:t xml:space="preserve">MP-09 (Hypercare &amp; Floor Coaching Support)</w:t>
            </w:r>
          </w:p>
        </w:tc>
        <w:tc>
          <w:tcPr/>
          <w:p>
            <w:pPr>
              <w:pStyle w:val="Compact"/>
              <w:jc w:val="left"/>
            </w:pPr>
            <w:r>
              <w:rPr>
                <w:sz w:val="22"/>
              </w:rPr>
              <w:t xml:space="preserve">Phase 7, Week 46</w:t>
            </w:r>
          </w:p>
        </w:tc>
      </w:tr>
    </w:tbl>
    <w:p>
      <w:pPr>
        <w:pStyle w:val="BodyText"/>
      </w:pPr>
      <w:r>
        <w:rPr>
          <w:bCs/>
          <w:b/>
          <w:sz w:val="25"/>
        </w:rPr>
        <w:t xml:space="preserve">Phase-by-phase CRUD detail:</w:t>
      </w:r>
    </w:p>
    <w:p>
      <w:pPr>
        <w:pStyle w:val="BodyText"/>
      </w:pPr>
      <w:r>
        <w:rPr>
          <w:bCs/>
          <w:b/>
          <w:sz w:val="25"/>
        </w:rPr>
        <w:t xml:space="preserve">Phase 1 — Discovery.</w:t>
      </w:r>
      <w:r>
        <w:rPr>
          <w:sz w:val="25"/>
        </w:rPr>
        <w:t xml:space="preserve"> </w:t>
      </w:r>
      <w:r>
        <w:rPr>
          <w:iCs/>
          <w:i/>
          <w:sz w:val="25"/>
        </w:rPr>
        <w:t xml:space="preserve">Create.</w:t>
      </w:r>
      <w:r>
        <w:rPr>
          <w:sz w:val="25"/>
        </w:rPr>
        <w:t xml:space="preserve"> </w:t>
      </w:r>
      <w:r>
        <w:rPr>
          <w:sz w:val="25"/>
        </w:rPr>
        <w:t xml:space="preserve">Week 1: Meryem Sabri creates CHTR-01 (Sponsorship / Leadership Charter) on M19 (CM Charters) at kickoff, co-signed by the CFO — type in: Owner</w:t>
      </w:r>
      <w:r>
        <w:rPr>
          <w:sz w:val="25"/>
        </w:rPr>
        <w:t xml:space="preserve"> </w:t>
      </w:r>
      <w:r>
        <w:rPr>
          <w:sz w:val="25"/>
        </w:rPr>
        <w:t xml:space="preserve">“</w:t>
      </w:r>
      <w:r>
        <w:rPr>
          <w:sz w:val="25"/>
        </w:rPr>
        <w:t xml:space="preserve">Executive Sponsor</w:t>
      </w:r>
      <w:r>
        <w:rPr>
          <w:sz w:val="25"/>
        </w:rPr>
        <w:t xml:space="preserve">”</w:t>
      </w:r>
      <w:r>
        <w:rPr>
          <w:sz w:val="25"/>
        </w:rPr>
        <w:t xml:space="preserve">; RACSI R=CM, A=ES, C=PM/FPO, I=SUP/EU; Status</w:t>
      </w:r>
      <w:r>
        <w:rPr>
          <w:sz w:val="25"/>
        </w:rPr>
        <w:t xml:space="preserve"> </w:t>
      </w:r>
      <w:r>
        <w:rPr>
          <w:sz w:val="25"/>
        </w:rPr>
        <w:t xml:space="preserve">“</w:t>
      </w:r>
      <w:r>
        <w:rPr>
          <w:sz w:val="25"/>
        </w:rPr>
        <w:t xml:space="preserve">Active</w:t>
      </w:r>
      <w:r>
        <w:rPr>
          <w:sz w:val="25"/>
        </w:rPr>
        <w:t xml:space="preserve">”</w:t>
      </w:r>
      <w:r>
        <w:rPr>
          <w:sz w:val="25"/>
        </w:rPr>
        <w:t xml:space="preserve">; Effective Date</w:t>
      </w:r>
      <w:r>
        <w:rPr>
          <w:sz w:val="25"/>
        </w:rPr>
        <w:t xml:space="preserve"> </w:t>
      </w:r>
      <w:r>
        <w:rPr>
          <w:sz w:val="25"/>
        </w:rPr>
        <w:t xml:space="preserve">“</w:t>
      </w:r>
      <w:r>
        <w:rPr>
          <w:sz w:val="25"/>
        </w:rPr>
        <w:t xml:space="preserve">Week 1</w:t>
      </w:r>
      <w:r>
        <w:rPr>
          <w:sz w:val="25"/>
        </w:rPr>
        <w:t xml:space="preserve">”</w:t>
      </w:r>
      <w:r>
        <w:rPr>
          <w:sz w:val="25"/>
        </w:rPr>
        <w:t xml:space="preserve">; Review Frequency</w:t>
      </w:r>
      <w:r>
        <w:rPr>
          <w:sz w:val="25"/>
        </w:rPr>
        <w:t xml:space="preserve"> </w:t>
      </w:r>
      <w:r>
        <w:rPr>
          <w:sz w:val="25"/>
        </w:rPr>
        <w:t xml:space="preserve">“</w:t>
      </w:r>
      <w:r>
        <w:rPr>
          <w:sz w:val="25"/>
        </w:rPr>
        <w:t xml:space="preserve">Per Phase Gate.</w:t>
      </w:r>
      <w:r>
        <w:rPr>
          <w:sz w:val="25"/>
        </w:rPr>
        <w:t xml:space="preserve">”</w:t>
      </w:r>
      <w:r>
        <w:rPr>
          <w:sz w:val="25"/>
        </w:rPr>
        <w:t xml:space="preserve"> </w:t>
      </w:r>
      <w:r>
        <w:rPr>
          <w:sz w:val="25"/>
        </w:rPr>
        <w:t xml:space="preserve">Week 6: create CHTR-04 (Organizational Impact Charter) alongside the Stakeholder Map, owned by the Change Manager.</w:t>
      </w:r>
      <w:r>
        <w:rPr>
          <w:sz w:val="25"/>
        </w:rPr>
        <w:t xml:space="preserve"> </w:t>
      </w:r>
      <w:r>
        <w:rPr>
          <w:iCs/>
          <w:i/>
          <w:sz w:val="25"/>
        </w:rPr>
        <w:t xml:space="preserve">Delete (administrative correction).</w:t>
      </w:r>
      <w:r>
        <w:rPr>
          <w:sz w:val="25"/>
        </w:rPr>
        <w:t xml:space="preserve"> </w:t>
      </w:r>
      <w:r>
        <w:rPr>
          <w:sz w:val="25"/>
        </w:rPr>
        <w:t xml:space="preserve">Also Week 6: Meryem Sabri accidentally saves a duplicate draft of CHTR-04 while the Stakeholder Map is being populated; because the duplicate is still in Draft status, she deletes it immediately — a real example of M19 (CM Charters)’s delete rule (only non-Active charters can be deleted) operating exactly as designed. Week 8: create CHTR-08 (Pulse / Interview Charter), owned by the Change Manager, ahead of Phase 2’s baseline pulse.</w:t>
      </w:r>
    </w:p>
    <w:p>
      <w:pPr>
        <w:pStyle w:val="BodyText"/>
      </w:pPr>
      <w:r>
        <w:rPr>
          <w:bCs/>
          <w:b/>
          <w:sz w:val="25"/>
        </w:rPr>
        <w:t xml:space="preserve">Phase 2 — Design.</w:t>
      </w:r>
      <w:r>
        <w:rPr>
          <w:sz w:val="25"/>
        </w:rPr>
        <w:t xml:space="preserve"> </w:t>
      </w:r>
      <w:r>
        <w:rPr>
          <w:iCs/>
          <w:i/>
          <w:sz w:val="25"/>
        </w:rPr>
        <w:t xml:space="preserve">Create.</w:t>
      </w:r>
      <w:r>
        <w:rPr>
          <w:sz w:val="25"/>
        </w:rPr>
        <w:t xml:space="preserve"> </w:t>
      </w:r>
      <w:r>
        <w:rPr>
          <w:sz w:val="25"/>
        </w:rPr>
        <w:t xml:space="preserve">Week 9: create CHTR-03 (Communication Charter), owned by the Change Manager, alongside the kickoff town hall.</w:t>
      </w:r>
      <w:r>
        <w:rPr>
          <w:sz w:val="25"/>
        </w:rPr>
        <w:t xml:space="preserve"> </w:t>
      </w:r>
      <w:r>
        <w:rPr>
          <w:iCs/>
          <w:i/>
          <w:sz w:val="25"/>
        </w:rPr>
        <w:t xml:space="preserve">Read / compliance log.</w:t>
      </w:r>
      <w:r>
        <w:rPr>
          <w:sz w:val="25"/>
        </w:rPr>
        <w:t xml:space="preserve"> </w:t>
      </w:r>
      <w:r>
        <w:rPr>
          <w:sz w:val="25"/>
        </w:rPr>
        <w:t xml:space="preserve">Week 9: log a compliance action against CHTR-01 — type in:</w:t>
      </w:r>
      <w:r>
        <w:rPr>
          <w:sz w:val="25"/>
        </w:rPr>
        <w:t xml:space="preserve"> </w:t>
      </w:r>
      <w:r>
        <w:rPr>
          <w:sz w:val="25"/>
        </w:rPr>
        <w:t xml:space="preserve">“</w:t>
      </w:r>
      <w:r>
        <w:rPr>
          <w:sz w:val="25"/>
        </w:rPr>
        <w:t xml:space="preserve">CFO delivered kickoff town hall in person at all three sites, 9 [date]. Compliant with Sponsorship Charter standard 1 (visible, active sponsorship).</w:t>
      </w:r>
      <w:r>
        <w:rPr>
          <w:sz w:val="25"/>
        </w:rPr>
        <w:t xml:space="preserve">”</w:t>
      </w:r>
      <w:r>
        <w:rPr>
          <w:sz w:val="25"/>
        </w:rPr>
        <w:t xml:space="preserve"> </w:t>
      </w:r>
      <w:r>
        <w:rPr>
          <w:sz w:val="25"/>
        </w:rPr>
        <w:t xml:space="preserve">Week 11: log a compliance action against CHTR-08 — type in:</w:t>
      </w:r>
      <w:r>
        <w:rPr>
          <w:sz w:val="25"/>
        </w:rPr>
        <w:t xml:space="preserve"> </w:t>
      </w:r>
      <w:r>
        <w:rPr>
          <w:sz w:val="25"/>
        </w:rPr>
        <w:t xml:space="preserve">“</w:t>
      </w:r>
      <w:r>
        <w:rPr>
          <w:sz w:val="25"/>
        </w:rPr>
        <w:t xml:space="preserve">Baseline ADKAR pulse run per cohort, 11 [date]. Compliant with Pulse/Interview Charter standard 1 (evidence-based, not assumed, readings).</w:t>
      </w:r>
      <w:r>
        <w:rPr>
          <w:sz w:val="25"/>
        </w:rPr>
        <w:t xml:space="preserve">”</w:t>
      </w:r>
    </w:p>
    <w:p>
      <w:pPr>
        <w:pStyle w:val="BodyText"/>
      </w:pPr>
      <w:r>
        <w:rPr>
          <w:bCs/>
          <w:b/>
          <w:sz w:val="25"/>
        </w:rPr>
        <w:t xml:space="preserve">Phase 3 — Build.</w:t>
      </w:r>
      <w:r>
        <w:rPr>
          <w:sz w:val="25"/>
        </w:rPr>
        <w:t xml:space="preserve"> </w:t>
      </w:r>
      <w:r>
        <w:rPr>
          <w:iCs/>
          <w:i/>
          <w:sz w:val="25"/>
        </w:rPr>
        <w:t xml:space="preserve">Create.</w:t>
      </w:r>
      <w:r>
        <w:rPr>
          <w:sz w:val="25"/>
        </w:rPr>
        <w:t xml:space="preserve"> </w:t>
      </w:r>
      <w:r>
        <w:rPr>
          <w:sz w:val="25"/>
        </w:rPr>
        <w:t xml:space="preserve">Week 16: create CHTR-02 (Participative Management Charter), owned by the Frontline Supervisor role, alongside the champion briefing.</w:t>
      </w:r>
      <w:r>
        <w:rPr>
          <w:sz w:val="25"/>
        </w:rPr>
        <w:t xml:space="preserve"> </w:t>
      </w:r>
      <w:r>
        <w:rPr>
          <w:iCs/>
          <w:i/>
          <w:sz w:val="25"/>
        </w:rPr>
        <w:t xml:space="preserve">Update / compliance log.</w:t>
      </w:r>
      <w:r>
        <w:rPr>
          <w:sz w:val="25"/>
        </w:rPr>
        <w:t xml:space="preserve"> </w:t>
      </w:r>
      <w:r>
        <w:rPr>
          <w:sz w:val="25"/>
        </w:rPr>
        <w:t xml:space="preserve">Week 22: log a compliance action against CHTR-01 during Exception E1 (Desire Stall at Settat) — type in:</w:t>
      </w:r>
      <w:r>
        <w:rPr>
          <w:sz w:val="25"/>
        </w:rPr>
        <w:t xml:space="preserve"> </w:t>
      </w:r>
      <w:r>
        <w:rPr>
          <w:sz w:val="25"/>
        </w:rPr>
        <w:t xml:space="preserve">“</w:t>
      </w:r>
      <w:r>
        <w:rPr>
          <w:sz w:val="25"/>
        </w:rPr>
        <w:t xml:space="preserve">CFO delivered the staffing commitment to the Settat cohort in person, 22 [date]. Compliant with Sponsorship Charter standard 3 (direct engagement with an affected cohort during a readiness stall).</w:t>
      </w:r>
      <w:r>
        <w:rPr>
          <w:sz w:val="25"/>
        </w:rPr>
        <w:t xml:space="preserve">”</w:t>
      </w:r>
      <w:r>
        <w:rPr>
          <w:sz w:val="25"/>
        </w:rPr>
        <w:t xml:space="preserve"> </w:t>
      </w:r>
      <w:r>
        <w:rPr>
          <w:sz w:val="25"/>
        </w:rPr>
        <w:t xml:space="preserve">Week 16–17: log a compliance action against CHTR-02 — type in:</w:t>
      </w:r>
      <w:r>
        <w:rPr>
          <w:sz w:val="25"/>
        </w:rPr>
        <w:t xml:space="preserve"> </w:t>
      </w:r>
      <w:r>
        <w:rPr>
          <w:sz w:val="25"/>
        </w:rPr>
        <w:t xml:space="preserve">“</w:t>
      </w:r>
      <w:r>
        <w:rPr>
          <w:sz w:val="25"/>
        </w:rPr>
        <w:t xml:space="preserve">Champion briefing held per site; each champion’s observation-logging path confirmed. Compliant with Participative Management Charter standard 1 (structured frontline listening channel).</w:t>
      </w:r>
      <w:r>
        <w:rPr>
          <w:sz w:val="25"/>
        </w:rPr>
        <w:t xml:space="preserve">”</w:t>
      </w:r>
      <w:r>
        <w:rPr>
          <w:sz w:val="25"/>
        </w:rPr>
        <w:t xml:space="preserve"> </w:t>
      </w:r>
      <w:r>
        <w:rPr>
          <w:sz w:val="25"/>
        </w:rPr>
        <w:t xml:space="preserve">Week 29–30: review CHTR-01 at the Phase 3 gate (per its</w:t>
      </w:r>
      <w:r>
        <w:rPr>
          <w:sz w:val="25"/>
        </w:rPr>
        <w:t xml:space="preserve"> </w:t>
      </w:r>
      <w:r>
        <w:rPr>
          <w:sz w:val="25"/>
        </w:rPr>
        <w:t xml:space="preserve">“</w:t>
      </w:r>
      <w:r>
        <w:rPr>
          <w:sz w:val="25"/>
        </w:rPr>
        <w:t xml:space="preserve">Per Phase Gate</w:t>
      </w:r>
      <w:r>
        <w:rPr>
          <w:sz w:val="25"/>
        </w:rPr>
        <w:t xml:space="preserve">”</w:t>
      </w:r>
      <w:r>
        <w:rPr>
          <w:sz w:val="25"/>
        </w:rPr>
        <w:t xml:space="preserve"> </w:t>
      </w:r>
      <w:r>
        <w:rPr>
          <w:sz w:val="25"/>
        </w:rPr>
        <w:t xml:space="preserve">review frequency) — no change to its terms, review noted in the compliance log.</w:t>
      </w:r>
    </w:p>
    <w:p>
      <w:pPr>
        <w:pStyle w:val="BodyText"/>
      </w:pPr>
      <w:r>
        <w:rPr>
          <w:bCs/>
          <w:b/>
          <w:sz w:val="25"/>
        </w:rPr>
        <w:t xml:space="preserve">Phase 4 — Test.</w:t>
      </w:r>
      <w:r>
        <w:rPr>
          <w:sz w:val="25"/>
        </w:rPr>
        <w:t xml:space="preserve"> </w:t>
      </w:r>
      <w:r>
        <w:rPr>
          <w:iCs/>
          <w:i/>
          <w:sz w:val="25"/>
        </w:rPr>
        <w:t xml:space="preserve">Create.</w:t>
      </w:r>
      <w:r>
        <w:rPr>
          <w:sz w:val="25"/>
        </w:rPr>
        <w:t xml:space="preserve"> </w:t>
      </w:r>
      <w:r>
        <w:rPr>
          <w:sz w:val="25"/>
        </w:rPr>
        <w:t xml:space="preserve">Week 34: create CHTR-06 (One-to-One Coaching Charter), owned by the Change Manager, at the exact moment Exception E2 (Divergence Pattern at UAT) opens.</w:t>
      </w:r>
      <w:r>
        <w:rPr>
          <w:sz w:val="25"/>
        </w:rPr>
        <w:t xml:space="preserve"> </w:t>
      </w:r>
      <w:r>
        <w:rPr>
          <w:iCs/>
          <w:i/>
          <w:sz w:val="25"/>
        </w:rPr>
        <w:t xml:space="preserve">Read / compliance log.</w:t>
      </w:r>
      <w:r>
        <w:rPr>
          <w:sz w:val="25"/>
        </w:rPr>
        <w:t xml:space="preserve"> </w:t>
      </w:r>
      <w:r>
        <w:rPr>
          <w:sz w:val="25"/>
        </w:rPr>
        <w:t xml:space="preserve">Week 35: log a compliance action against CHTR-06 — type in:</w:t>
      </w:r>
      <w:r>
        <w:rPr>
          <w:sz w:val="25"/>
        </w:rPr>
        <w:t xml:space="preserve"> </w:t>
      </w:r>
      <w:r>
        <w:rPr>
          <w:sz w:val="25"/>
        </w:rPr>
        <w:t xml:space="preserve">“</w:t>
      </w:r>
      <w:r>
        <w:rPr>
          <w:sz w:val="25"/>
        </w:rPr>
        <w:t xml:space="preserve">Loss-focused 1:1 held with the flagged Casablanca Finance UAT participant, 35 [date]. Compliant with One-to-One Coaching Charter standard 2 (address the emotional gap directly, not a skills refresher).</w:t>
      </w:r>
      <w:r>
        <w:rPr>
          <w:sz w:val="25"/>
        </w:rPr>
        <w:t xml:space="preserve">”</w:t>
      </w:r>
    </w:p>
    <w:p>
      <w:pPr>
        <w:pStyle w:val="BodyText"/>
      </w:pPr>
      <w:r>
        <w:rPr>
          <w:bCs/>
          <w:b/>
          <w:sz w:val="25"/>
        </w:rPr>
        <w:t xml:space="preserve">Phase 5 — Train.</w:t>
      </w:r>
      <w:r>
        <w:rPr>
          <w:sz w:val="25"/>
        </w:rPr>
        <w:t xml:space="preserve"> </w:t>
      </w:r>
      <w:r>
        <w:rPr>
          <w:iCs/>
          <w:i/>
          <w:sz w:val="25"/>
        </w:rPr>
        <w:t xml:space="preserve">Create.</w:t>
      </w:r>
      <w:r>
        <w:rPr>
          <w:sz w:val="25"/>
        </w:rPr>
        <w:t xml:space="preserve"> </w:t>
      </w:r>
      <w:r>
        <w:rPr>
          <w:sz w:val="25"/>
        </w:rPr>
        <w:t xml:space="preserve">Week 30 (overlapping Build): create CHTR-07 (Mentoring Charter), owned by the Training Lead, at the start of role-based training delivery.</w:t>
      </w:r>
      <w:r>
        <w:rPr>
          <w:sz w:val="25"/>
        </w:rPr>
        <w:t xml:space="preserve"> </w:t>
      </w:r>
      <w:r>
        <w:rPr>
          <w:iCs/>
          <w:i/>
          <w:sz w:val="25"/>
        </w:rPr>
        <w:t xml:space="preserve">Read / compliance log.</w:t>
      </w:r>
      <w:r>
        <w:rPr>
          <w:sz w:val="25"/>
        </w:rPr>
        <w:t xml:space="preserve"> </w:t>
      </w:r>
      <w:r>
        <w:rPr>
          <w:sz w:val="25"/>
        </w:rPr>
        <w:t xml:space="preserve">Week 31–33: log a compliance action against CHTR-07 for each training wave — type in:</w:t>
      </w:r>
      <w:r>
        <w:rPr>
          <w:sz w:val="25"/>
        </w:rPr>
        <w:t xml:space="preserve"> </w:t>
      </w:r>
      <w:r>
        <w:rPr>
          <w:sz w:val="25"/>
        </w:rPr>
        <w:t xml:space="preserve">“</w:t>
      </w:r>
      <w:r>
        <w:rPr>
          <w:sz w:val="25"/>
        </w:rPr>
        <w:t xml:space="preserve">Casablanca Finance training wave 1 delivered per Mentoring Charter’s Trainee → Observer → Autonomous progression, 31 [date].</w:t>
      </w:r>
      <w:r>
        <w:rPr>
          <w:sz w:val="25"/>
        </w:rPr>
        <w:t xml:space="preserve">”</w:t>
      </w:r>
      <w:r>
        <w:rPr>
          <w:sz w:val="25"/>
        </w:rPr>
        <w:t xml:space="preserve"> </w:t>
      </w:r>
      <w:r>
        <w:rPr>
          <w:sz w:val="25"/>
        </w:rPr>
        <w:t xml:space="preserve">Week 42: review CHTR-01 at the Phase 5 gate.</w:t>
      </w:r>
    </w:p>
    <w:p>
      <w:pPr>
        <w:pStyle w:val="BodyText"/>
      </w:pPr>
      <w:r>
        <w:rPr>
          <w:bCs/>
          <w:b/>
          <w:sz w:val="25"/>
        </w:rPr>
        <w:t xml:space="preserve">Phase 6 — Deploy.</w:t>
      </w:r>
      <w:r>
        <w:rPr>
          <w:sz w:val="25"/>
        </w:rPr>
        <w:t xml:space="preserve"> </w:t>
      </w:r>
      <w:r>
        <w:rPr>
          <w:iCs/>
          <w:i/>
          <w:sz w:val="25"/>
        </w:rPr>
        <w:t xml:space="preserve">Read / compliance log.</w:t>
      </w:r>
      <w:r>
        <w:rPr>
          <w:sz w:val="25"/>
        </w:rPr>
        <w:t xml:space="preserve"> </w:t>
      </w:r>
      <w:r>
        <w:rPr>
          <w:sz w:val="25"/>
        </w:rPr>
        <w:t xml:space="preserve">Day 4: log a compliance action against CHTR-01 and CHTR-03 jointly — type in:</w:t>
      </w:r>
      <w:r>
        <w:rPr>
          <w:sz w:val="25"/>
        </w:rPr>
        <w:t xml:space="preserve"> </w:t>
      </w:r>
      <w:r>
        <w:rPr>
          <w:sz w:val="25"/>
        </w:rPr>
        <w:t xml:space="preserve">“</w:t>
      </w:r>
      <w:r>
        <w:rPr>
          <w:sz w:val="25"/>
        </w:rPr>
        <w:t xml:space="preserve">Go-live confirmation sent to all three sites, Day 4. Compliant with Sponsorship Charter standard 1 and Communication Charter standard 2 (saturation-aware, single-message timing).</w:t>
      </w:r>
      <w:r>
        <w:rPr>
          <w:sz w:val="25"/>
        </w:rPr>
        <w:t xml:space="preserve">”</w:t>
      </w:r>
    </w:p>
    <w:p>
      <w:pPr>
        <w:pStyle w:val="BodyText"/>
      </w:pPr>
      <w:r>
        <w:rPr>
          <w:bCs/>
          <w:b/>
          <w:sz w:val="25"/>
        </w:rPr>
        <w:t xml:space="preserve">Phase 7 — Hypercare.</w:t>
      </w:r>
      <w:r>
        <w:rPr>
          <w:sz w:val="25"/>
        </w:rPr>
        <w:t xml:space="preserve"> </w:t>
      </w:r>
      <w:r>
        <w:rPr>
          <w:iCs/>
          <w:i/>
          <w:sz w:val="25"/>
        </w:rPr>
        <w:t xml:space="preserve">Create.</w:t>
      </w:r>
      <w:r>
        <w:rPr>
          <w:sz w:val="25"/>
        </w:rPr>
        <w:t xml:space="preserve"> </w:t>
      </w:r>
      <w:r>
        <w:rPr>
          <w:sz w:val="25"/>
        </w:rPr>
        <w:t xml:space="preserve">Week 46: create CHTR-05 (Team Coaching Charter), owned by the People Manager role, at the exact moment Exception E4 (Sentiment Regression During Hypercare) is resolved — the Kenitra supervisor’s team huddle is the charter’s first compliance action, logged the same week:</w:t>
      </w:r>
      <w:r>
        <w:rPr>
          <w:sz w:val="25"/>
        </w:rPr>
        <w:t xml:space="preserve"> </w:t>
      </w:r>
      <w:r>
        <w:rPr>
          <w:sz w:val="25"/>
        </w:rPr>
        <w:t xml:space="preserve">“</w:t>
      </w:r>
      <w:r>
        <w:rPr>
          <w:sz w:val="25"/>
        </w:rPr>
        <w:t xml:space="preserve">Team huddle held, Defect #31 fix explained. Compliant with Team Coaching Charter standard 1 (direct acknowledgment of a setback with the affected team).</w:t>
      </w:r>
      <w:r>
        <w:rPr>
          <w:sz w:val="25"/>
        </w:rPr>
        <w:t xml:space="preserve">”</w:t>
      </w:r>
      <w:r>
        <w:rPr>
          <w:sz w:val="25"/>
        </w:rPr>
        <w:t xml:space="preserve"> </w:t>
      </w:r>
      <w:r>
        <w:rPr>
          <w:sz w:val="25"/>
        </w:rPr>
        <w:t xml:space="preserve">Week 50: review CHTR-01 at the Phase 7 gate.</w:t>
      </w:r>
    </w:p>
    <w:p>
      <w:pPr>
        <w:pStyle w:val="BodyText"/>
      </w:pPr>
      <w:r>
        <w:rPr>
          <w:bCs/>
          <w:b/>
          <w:sz w:val="25"/>
        </w:rPr>
        <w:t xml:space="preserve">Phase 8 — Sustain.</w:t>
      </w:r>
      <w:r>
        <w:rPr>
          <w:sz w:val="25"/>
        </w:rPr>
        <w:t xml:space="preserve"> </w:t>
      </w:r>
      <w:r>
        <w:rPr>
          <w:iCs/>
          <w:i/>
          <w:sz w:val="25"/>
        </w:rPr>
        <w:t xml:space="preserve">Update.</w:t>
      </w:r>
      <w:r>
        <w:rPr>
          <w:sz w:val="25"/>
        </w:rPr>
        <w:t xml:space="preserve"> </w:t>
      </w:r>
      <w:r>
        <w:rPr>
          <w:sz w:val="25"/>
        </w:rPr>
        <w:t xml:space="preserve">Week 51–64: all 8 charters reviewed for the program’s closing Steering Committee readout; CHTR-08 (Pulse / Interview Charter) is updated from v1.0 to v1.1 — type in the version-history note:</w:t>
      </w:r>
      <w:r>
        <w:rPr>
          <w:sz w:val="25"/>
        </w:rPr>
        <w:t xml:space="preserve"> </w:t>
      </w:r>
      <w:r>
        <w:rPr>
          <w:sz w:val="25"/>
        </w:rPr>
        <w:t xml:space="preserve">“</w:t>
      </w:r>
      <w:r>
        <w:rPr>
          <w:sz w:val="25"/>
        </w:rPr>
        <w:t xml:space="preserve">v1.1, 58 [date]: added a mandatory 90-day-mark readiness pulse to the standard cadence, following the Week 56 Reinforcement Gap (Exception E5).</w:t>
      </w:r>
      <w:r>
        <w:rPr>
          <w:sz w:val="25"/>
        </w:rPr>
        <w:t xml:space="preserve">”</w:t>
      </w:r>
      <w:r>
        <w:rPr>
          <w:sz w:val="25"/>
        </w:rPr>
        <w:t xml:space="preserve"> </w:t>
      </w:r>
      <w:r>
        <w:rPr>
          <w:sz w:val="25"/>
        </w:rPr>
        <w:t xml:space="preserve">No charter is deleted at program close — all 8 remain Active, carried forward as the starting governance baseline for the next Bouregreg CM Project in Part 4’s scenario library.</w:t>
      </w:r>
    </w:p>
    <w:p>
      <w:pPr>
        <w:pStyle w:val="BodyText"/>
      </w:pPr>
      <w:r>
        <w:rPr>
          <w:bCs/>
          <w:b/>
          <w:sz w:val="25"/>
        </w:rPr>
        <w:t xml:space="preserve">What this demonstrates.</w:t>
      </w:r>
      <w:r>
        <w:rPr>
          <w:sz w:val="25"/>
        </w:rPr>
        <w:t xml:space="preserve"> </w:t>
      </w:r>
      <w:r>
        <w:rPr>
          <w:sz w:val="25"/>
        </w:rPr>
        <w:t xml:space="preserve">Across the program, every one of M19 (CM Charters)’s CRUD operations is exercised on real, dated program events, not as an abstract capability: 8 Create actions (one per charter), roughly two dozen Read/compliance-log actions tied to specific weeks and exceptions, at least 5 Update/review actions at Phase Gates, a version Update at Week 58, and one Delete of a mistaken duplicate at Week 6 — the only kind of delete M19 (CM Charters)’s own rule (Active charters cannot be deleted, only Draft or Retired ones) actually permits.</w:t>
      </w:r>
    </w:p>
    <w:p>
      <w:r>
        <w:rPr>
          <w:sz w:val="25"/>
        </w:rPr>
        <w:pict>
          <v:rect style="width:0;height:1.5pt" o:hralign="center" o:hrstd="t" o:hr="t"/>
        </w:pict>
      </w:r>
    </w:p>
    <w:p>
      <w:pPr>
        <w:pStyle w:val="FirstParagraph"/>
      </w:pPr>
    </w:p>
    <w:bookmarkEnd w:id="56"/>
    <w:bookmarkEnd w:id="57"/>
    <w:bookmarkStart w:id="78" w:name="part-2-module-by-module-feature-tour"/>
    <w:p>
      <w:pPr>
        <w:pStyle w:val="Heading2"/>
      </w:pPr>
      <w:r>
        <w:rPr>
          <w:b/>
          <w:color w:val="275650"/>
          <w:sz w:val="34"/>
        </w:rPr>
        <w:t xml:space="preserve">Part 2 — Module-by-Module Feature Tour</w:t>
      </w:r>
    </w:p>
    <w:p>
      <w:pPr>
        <w:pStyle w:val="FirstParagraph"/>
      </w:pPr>
      <w:r>
        <w:rPr>
          <w:sz w:val="25"/>
        </w:rPr>
        <w:t xml:space="preserve">Each entry below covers one module: its purpose (in journi’s own words), how it plays out in the Bouregreg ERP Adoption Program, what a user can create, update, or delete on the page, and who is allowed to do it. General write access — the ability to log data on most day-to-day Change Management modules — belongs to five roles: Super Admin, Group Admin, Org Admin, Change Manager, People Manager, and Practitioner/Contributor. Sponsor, Executive, and Employee accounts are read-only on those same modules by default, seeing dashboards and their own assigned items rather than editing scores. Two roles carry a narrower additional restriction worth stating plainly: Practitioner/Contributor can log data but, unlike the other five, is not one of the roles with individual-level visibility — on modules with named-person detail, a Practitioner sees aggregated cohort views rather than individual scores.</w:t>
      </w:r>
    </w:p>
    <w:bookmarkStart w:id="58" w:name="m1-hierarchy"/>
    <w:p>
      <w:pPr>
        <w:pStyle w:val="Heading3"/>
      </w:pPr>
      <w:r>
        <w:rPr>
          <w:b/>
          <w:color w:val="3F827B"/>
          <w:sz w:val="29"/>
        </w:rPr>
        <w:t xml:space="preserve">M1 — Hierarchy</w:t>
      </w:r>
    </w:p>
    <w:p>
      <w:pPr>
        <w:pStyle w:val="FirstParagraph"/>
      </w:pPr>
      <w:r>
        <w:rPr>
          <w:bCs/>
          <w:b/>
          <w:sz w:val="25"/>
        </w:rPr>
        <w:t xml:space="preserve">Purpose:</w:t>
      </w:r>
      <w:r>
        <w:rPr>
          <w:sz w:val="25"/>
        </w:rPr>
        <w:t xml:space="preserve"> </w:t>
      </w:r>
      <w:r>
        <w:rPr>
          <w:sz w:val="25"/>
        </w:rPr>
        <w:t xml:space="preserve">Group → Organization → Projects, with every Change Management Project carrying an optional link to zero, one, or more Main Projects.</w:t>
      </w:r>
    </w:p>
    <w:p>
      <w:pPr>
        <w:pStyle w:val="BodyText"/>
      </w:pPr>
      <w:r>
        <w:rPr>
          <w:bCs/>
          <w:b/>
          <w:sz w:val="25"/>
        </w:rPr>
        <w:t xml:space="preserve">In the Bouregreg scenario:</w:t>
      </w:r>
      <w:r>
        <w:rPr>
          <w:sz w:val="25"/>
        </w:rPr>
        <w:t xml:space="preserve"> </w:t>
      </w:r>
      <w:r>
        <w:rPr>
          <w:sz w:val="25"/>
        </w:rPr>
        <w:t xml:space="preserve">this is the screen Part 1 used to build Bouregreg Group → Bouregreg Manufacturing Maroc → ERP Platform Unification (Main Project) → Bouregreg ERP Adoption Program (CM Project). As Part 4 adds further CM Projects, they all appear as additional cards under the same Organization.</w:t>
      </w:r>
    </w:p>
    <w:p>
      <w:pPr>
        <w:pStyle w:val="BodyText"/>
      </w:pPr>
      <w:r>
        <w:rPr>
          <w:bCs/>
          <w:b/>
          <w:sz w:val="25"/>
        </w:rPr>
        <w:t xml:space="preserve">Create / update / delete:</w:t>
      </w:r>
      <w:r>
        <w:rPr>
          <w:sz w:val="25"/>
        </w:rPr>
        <w:t xml:space="preserve"> </w:t>
      </w:r>
      <w:r>
        <w:rPr>
          <w:sz w:val="25"/>
        </w:rPr>
        <w:t xml:space="preserve">create and delete Groups; create, edit (including the default-language selector), and delete Organizations; create and delete Main Projects and CM Projects, including editing which Main Projects a CM Project links to.</w:t>
      </w:r>
    </w:p>
    <w:p>
      <w:pPr>
        <w:pStyle w:val="BodyText"/>
      </w:pPr>
      <w:r>
        <w:rPr>
          <w:bCs/>
          <w:b/>
          <w:sz w:val="25"/>
        </w:rPr>
        <w:t xml:space="preserve">Who can edit:</w:t>
      </w:r>
      <w:r>
        <w:rPr>
          <w:sz w:val="25"/>
        </w:rPr>
        <w:t xml:space="preserve"> </w:t>
      </w:r>
      <w:r>
        <w:rPr>
          <w:sz w:val="25"/>
        </w:rPr>
        <w:t xml:space="preserve">gated to whoever holds hierarchy-management rights on the Permission Matrix — by default Super Admin, Group Admin, and Org Admin.</w:t>
      </w:r>
    </w:p>
    <w:p>
      <w:pPr>
        <w:pStyle w:val="BodyText"/>
      </w:pPr>
      <w:r>
        <w:rPr>
          <w:bCs/>
          <w:b/>
          <w:sz w:val="25"/>
        </w:rPr>
        <w:t xml:space="preserve">Key fields:</w:t>
      </w:r>
      <w:r>
        <w:rPr>
          <w:sz w:val="25"/>
        </w:rPr>
        <w:t xml:space="preserve"> </w:t>
      </w:r>
      <w:r>
        <w:rPr>
          <w:sz w:val="25"/>
        </w:rPr>
        <w:t xml:space="preserve">Group name; Organization name, sector, employee count, sites, languages, default language; Main Project name/type/scope/duration/budget band/executive sponsor; CM Project name/linked Main Projects/owner/change type/target population/business driver.</w:t>
      </w:r>
    </w:p>
    <w:bookmarkEnd w:id="58"/>
    <w:bookmarkStart w:id="59" w:name="m2-identity-rbac"/>
    <w:p>
      <w:pPr>
        <w:pStyle w:val="Heading3"/>
      </w:pPr>
      <w:r>
        <w:rPr>
          <w:b/>
          <w:color w:val="3F827B"/>
          <w:sz w:val="29"/>
        </w:rPr>
        <w:t xml:space="preserve">M2 — Identity &amp; RBAC</w:t>
      </w:r>
    </w:p>
    <w:p>
      <w:pPr>
        <w:pStyle w:val="FirstParagraph"/>
      </w:pPr>
      <w:r>
        <w:rPr>
          <w:bCs/>
          <w:b/>
          <w:sz w:val="25"/>
        </w:rPr>
        <w:t xml:space="preserve">Purpose:</w:t>
      </w:r>
      <w:r>
        <w:rPr>
          <w:sz w:val="25"/>
        </w:rPr>
        <w:t xml:space="preserve"> </w:t>
      </w:r>
      <w:r>
        <w:rPr>
          <w:sz w:val="25"/>
        </w:rPr>
        <w:t xml:space="preserve">role-based access control scoped to Group / Organization / Project, with four tabs: Users &amp; Scope, Permission Matrix, Governance Settings, and License &amp; Plan.</w:t>
      </w:r>
    </w:p>
    <w:p>
      <w:pPr>
        <w:pStyle w:val="BodyText"/>
      </w:pPr>
      <w:r>
        <w:rPr>
          <w:bCs/>
          <w:b/>
          <w:sz w:val="25"/>
        </w:rPr>
        <w:t xml:space="preserve">In the Bouregreg scenario:</w:t>
      </w:r>
      <w:r>
        <w:rPr>
          <w:sz w:val="25"/>
        </w:rPr>
        <w:t xml:space="preserve"> </w:t>
      </w:r>
      <w:r>
        <w:rPr>
          <w:sz w:val="25"/>
        </w:rPr>
        <w:t xml:space="preserve">this is where Zineb Alaoui (Super Admin) built out Bouregreg Group’s team in Part 1, and where Anas Bouzid (Group Admin) or Meryem Sabri (Org Admin) approve any employee who self-registers rather than being added directly.</w:t>
      </w:r>
    </w:p>
    <w:p>
      <w:pPr>
        <w:pStyle w:val="BodyText"/>
      </w:pPr>
      <w:r>
        <w:rPr>
          <w:bCs/>
          <w:b/>
          <w:sz w:val="25"/>
        </w:rPr>
        <w:t xml:space="preserve">Create / update / delete:</w:t>
      </w:r>
      <w:r>
        <w:rPr>
          <w:sz w:val="25"/>
        </w:rPr>
        <w:t xml:space="preserve"> </w:t>
      </w:r>
      <w:r>
        <w:rPr>
          <w:sz w:val="25"/>
        </w:rPr>
        <w:t xml:space="preserve">create, edit, and remove user accounts (Users &amp; Scope); toggle any role/capability cell (Permission Matrix, Super Admin only); toggle the justification requirement (Governance Settings); upload a new</w:t>
      </w:r>
      <w:r>
        <w:rPr>
          <w:sz w:val="25"/>
        </w:rPr>
        <w:t xml:space="preserve"> </w:t>
      </w:r>
      <w:r>
        <w:rPr>
          <w:rStyle w:val="VerbatimChar"/>
          <w:sz w:val="25"/>
        </w:rPr>
        <w:t xml:space="preserve">.lic</w:t>
      </w:r>
      <w:r>
        <w:rPr>
          <w:sz w:val="25"/>
        </w:rPr>
        <w:t xml:space="preserve"> </w:t>
      </w:r>
      <w:r>
        <w:rPr>
          <w:sz w:val="25"/>
        </w:rPr>
        <w:t xml:space="preserve">file or revert to SaaS mode (License &amp; Plan, Super Admin only).</w:t>
      </w:r>
    </w:p>
    <w:p>
      <w:pPr>
        <w:pStyle w:val="BodyText"/>
      </w:pPr>
      <w:r>
        <w:rPr>
          <w:bCs/>
          <w:b/>
          <w:sz w:val="25"/>
        </w:rPr>
        <w:t xml:space="preserve">Who can edit:</w:t>
      </w:r>
      <w:r>
        <w:rPr>
          <w:sz w:val="25"/>
        </w:rPr>
        <w:t xml:space="preserve"> </w:t>
      </w:r>
      <w:r>
        <w:rPr>
          <w:sz w:val="25"/>
        </w:rPr>
        <w:t xml:space="preserve">Users &amp; Scope is gated to whoever holds user-management rights (by default Super Admin, Group Admin, Org Admin); the Permission Matrix and License &amp; Plan tabs are Super-Admin-only regardless of the matrix’s own settings, since a role should not be able to grant itself more power through the very table that limits it.</w:t>
      </w:r>
    </w:p>
    <w:p>
      <w:pPr>
        <w:pStyle w:val="BodyText"/>
      </w:pPr>
      <w:r>
        <w:rPr>
          <w:bCs/>
          <w:b/>
          <w:sz w:val="25"/>
        </w:rPr>
        <w:t xml:space="preserve">Key fields:</w:t>
      </w:r>
      <w:r>
        <w:rPr>
          <w:sz w:val="25"/>
        </w:rPr>
        <w:t xml:space="preserve"> </w:t>
      </w:r>
      <w:r>
        <w:rPr>
          <w:sz w:val="25"/>
        </w:rPr>
        <w:t xml:space="preserve">User name, email, role, scope type, scope ID, language; Permission Matrix role × capability checkboxes; Governance justification toggle; License companyName, plan, maxUsers, issueDate, expiryDate, features.</w:t>
      </w:r>
    </w:p>
    <w:bookmarkEnd w:id="59"/>
    <w:bookmarkStart w:id="60" w:name="m3-initiative-registry"/>
    <w:p>
      <w:pPr>
        <w:pStyle w:val="Heading3"/>
      </w:pPr>
      <w:r>
        <w:rPr>
          <w:b/>
          <w:color w:val="3F827B"/>
          <w:sz w:val="29"/>
        </w:rPr>
        <w:t xml:space="preserve">M3 — Initiative Registry</w:t>
      </w:r>
    </w:p>
    <w:p>
      <w:pPr>
        <w:pStyle w:val="FirstParagraph"/>
      </w:pPr>
      <w:r>
        <w:rPr>
          <w:bCs/>
          <w:b/>
          <w:sz w:val="25"/>
        </w:rPr>
        <w:t xml:space="preserve">Purpose:</w:t>
      </w:r>
      <w:r>
        <w:rPr>
          <w:sz w:val="25"/>
        </w:rPr>
        <w:t xml:space="preserve"> </w:t>
      </w:r>
      <w:r>
        <w:rPr>
          <w:sz w:val="25"/>
        </w:rPr>
        <w:t xml:space="preserve">the system of record for every change initiative — business driver, scope, target population, and Lewin macro-state.</w:t>
      </w:r>
    </w:p>
    <w:p>
      <w:pPr>
        <w:pStyle w:val="BodyText"/>
      </w:pPr>
      <w:r>
        <w:rPr>
          <w:bCs/>
          <w:b/>
          <w:sz w:val="25"/>
        </w:rPr>
        <w:t xml:space="preserve">In the Bouregreg scenario:</w:t>
      </w:r>
      <w:r>
        <w:rPr>
          <w:sz w:val="25"/>
        </w:rPr>
        <w:t xml:space="preserve"> </w:t>
      </w:r>
      <w:r>
        <w:rPr>
          <w:sz w:val="25"/>
        </w:rPr>
        <w:t xml:space="preserve">the Bouregreg ERP Adoption Program’s project detail page. Its Lewin phase opened at</w:t>
      </w:r>
      <w:r>
        <w:rPr>
          <w:sz w:val="25"/>
        </w:rPr>
        <w:t xml:space="preserve"> </w:t>
      </w:r>
      <w:r>
        <w:rPr>
          <w:bCs/>
          <w:b/>
          <w:sz w:val="25"/>
        </w:rPr>
        <w:t xml:space="preserve">Unfreeze</w:t>
      </w:r>
      <w:r>
        <w:rPr>
          <w:sz w:val="25"/>
        </w:rPr>
        <w:t xml:space="preserve"> </w:t>
      </w:r>
      <w:r>
        <w:rPr>
          <w:sz w:val="25"/>
        </w:rPr>
        <w:t xml:space="preserve">in Part 1 and is the single field the guide’s later Parts watch move through Change and toward Refreeze.</w:t>
      </w:r>
    </w:p>
    <w:p>
      <w:pPr>
        <w:pStyle w:val="BodyText"/>
      </w:pPr>
      <w:r>
        <w:rPr>
          <w:bCs/>
          <w:b/>
          <w:sz w:val="25"/>
        </w:rPr>
        <w:t xml:space="preserve">Create / update / delete:</w:t>
      </w:r>
      <w:r>
        <w:rPr>
          <w:sz w:val="25"/>
        </w:rPr>
        <w:t xml:space="preserve"> </w:t>
      </w:r>
      <w:r>
        <w:rPr>
          <w:sz w:val="25"/>
        </w:rPr>
        <w:t xml:space="preserve">edit the project’s business driver, scope, target population, and Lewin macro-state; the project record itself is created and deleted from M1.</w:t>
      </w:r>
    </w:p>
    <w:p>
      <w:pPr>
        <w:pStyle w:val="BodyText"/>
      </w:pPr>
      <w:r>
        <w:rPr>
          <w:bCs/>
          <w:b/>
          <w:sz w:val="25"/>
        </w:rPr>
        <w:t xml:space="preserve">Who can edit:</w:t>
      </w:r>
      <w:r>
        <w:rPr>
          <w:sz w:val="25"/>
        </w:rPr>
        <w:t xml:space="preserve"> </w:t>
      </w:r>
      <w:r>
        <w:rPr>
          <w:sz w:val="25"/>
        </w:rPr>
        <w:t xml:space="preserve">general write access; a Lewin phase change is a scored/state change, so under Bouregreg Group’s Governance Setting (Part 1, Step 5) it requires a written justification, logged to the project’s audit trail.</w:t>
      </w:r>
    </w:p>
    <w:p>
      <w:pPr>
        <w:pStyle w:val="BodyText"/>
      </w:pPr>
      <w:r>
        <w:rPr>
          <w:bCs/>
          <w:b/>
          <w:sz w:val="25"/>
        </w:rPr>
        <w:t xml:space="preserve">Key fields:</w:t>
      </w:r>
      <w:r>
        <w:rPr>
          <w:sz w:val="25"/>
        </w:rPr>
        <w:t xml:space="preserve"> </w:t>
      </w:r>
      <w:r>
        <w:rPr>
          <w:sz w:val="25"/>
        </w:rPr>
        <w:t xml:space="preserve">Business driver; scope; target population; Lewin macro-state.</w:t>
      </w:r>
    </w:p>
    <w:bookmarkEnd w:id="60"/>
    <w:bookmarkStart w:id="61" w:name="m4-stakeholder-mapping"/>
    <w:p>
      <w:pPr>
        <w:pStyle w:val="Heading3"/>
      </w:pPr>
      <w:r>
        <w:rPr>
          <w:b/>
          <w:color w:val="3F827B"/>
          <w:sz w:val="29"/>
        </w:rPr>
        <w:t xml:space="preserve">M4 — Stakeholder Mapping</w:t>
      </w:r>
    </w:p>
    <w:p>
      <w:pPr>
        <w:pStyle w:val="FirstParagraph"/>
      </w:pPr>
      <w:r>
        <w:rPr>
          <w:bCs/>
          <w:b/>
          <w:sz w:val="25"/>
        </w:rPr>
        <w:t xml:space="preserve">Purpose:</w:t>
      </w:r>
      <w:r>
        <w:rPr>
          <w:sz w:val="25"/>
        </w:rPr>
        <w:t xml:space="preserve"> </w:t>
      </w:r>
      <w:r>
        <w:rPr>
          <w:sz w:val="25"/>
        </w:rPr>
        <w:t xml:space="preserve">who is affected, how heavily, and in what dimension — impact scores drive tracking depth.</w:t>
      </w:r>
    </w:p>
    <w:p>
      <w:pPr>
        <w:pStyle w:val="BodyText"/>
      </w:pPr>
      <w:r>
        <w:rPr>
          <w:bCs/>
          <w:b/>
          <w:sz w:val="25"/>
        </w:rPr>
        <w:t xml:space="preserve">In the Bouregreg scenario:</w:t>
      </w:r>
      <w:r>
        <w:rPr>
          <w:sz w:val="25"/>
        </w:rPr>
        <w:t xml:space="preserve"> </w:t>
      </w:r>
      <w:r>
        <w:rPr>
          <w:sz w:val="25"/>
        </w:rPr>
        <w:t xml:space="preserve">Meryem Sabri’s team maps all three sites’ functional groups (Order Management, Inventory, Finance, Plant Operations at Kenitra and Settat) against impact dimension and severity, so the Casablanca finance team — losing the most manual workarounds — gets flagged for the deepest tracking.</w:t>
      </w:r>
    </w:p>
    <w:p>
      <w:pPr>
        <w:pStyle w:val="BodyText"/>
      </w:pPr>
      <w:r>
        <w:rPr>
          <w:bCs/>
          <w:b/>
          <w:sz w:val="25"/>
        </w:rPr>
        <w:t xml:space="preserve">Create / update / delete:</w:t>
      </w:r>
      <w:r>
        <w:rPr>
          <w:sz w:val="25"/>
        </w:rPr>
        <w:t xml:space="preserve"> </w:t>
      </w:r>
      <w:r>
        <w:rPr>
          <w:sz w:val="25"/>
        </w:rPr>
        <w:t xml:space="preserve">add, edit, and remove stakeholder/cohort entries, each with a name, dimension, impact severity, and site/department.</w:t>
      </w:r>
    </w:p>
    <w:p>
      <w:pPr>
        <w:pStyle w:val="BodyText"/>
      </w:pPr>
      <w:r>
        <w:rPr>
          <w:bCs/>
          <w:b/>
          <w:sz w:val="25"/>
        </w:rPr>
        <w:t xml:space="preserve">Who can edit:</w:t>
      </w:r>
      <w:r>
        <w:rPr>
          <w:sz w:val="25"/>
        </w:rPr>
        <w:t xml:space="preserve"> </w:t>
      </w:r>
      <w:r>
        <w:rPr>
          <w:sz w:val="25"/>
        </w:rPr>
        <w:t xml:space="preserve">general write access; individual-level detail is visible only to the roles with individual visibility (Super Admin, Group Admin, Org Admin, Change Manager, People Manager) — a Practitioner sees the aggregated map.</w:t>
      </w:r>
    </w:p>
    <w:p>
      <w:pPr>
        <w:pStyle w:val="BodyText"/>
      </w:pPr>
      <w:r>
        <w:rPr>
          <w:bCs/>
          <w:b/>
          <w:sz w:val="25"/>
        </w:rPr>
        <w:t xml:space="preserve">Key fields:</w:t>
      </w:r>
      <w:r>
        <w:rPr>
          <w:sz w:val="25"/>
        </w:rPr>
        <w:t xml:space="preserve"> </w:t>
      </w:r>
      <w:r>
        <w:rPr>
          <w:sz w:val="25"/>
        </w:rPr>
        <w:t xml:space="preserve">Cohort name; impact dimension; impact severity; site/department.</w:t>
      </w:r>
    </w:p>
    <w:bookmarkEnd w:id="61"/>
    <w:bookmarkStart w:id="62" w:name="m5-adkar-engine"/>
    <w:p>
      <w:pPr>
        <w:pStyle w:val="Heading3"/>
      </w:pPr>
      <w:r>
        <w:rPr>
          <w:b/>
          <w:color w:val="3F827B"/>
          <w:sz w:val="29"/>
        </w:rPr>
        <w:t xml:space="preserve">M5 — ADKAR Engine</w:t>
      </w:r>
    </w:p>
    <w:p>
      <w:pPr>
        <w:pStyle w:val="FirstParagraph"/>
      </w:pPr>
      <w:r>
        <w:rPr>
          <w:bCs/>
          <w:b/>
          <w:sz w:val="25"/>
        </w:rPr>
        <w:t xml:space="preserve">Purpose:</w:t>
      </w:r>
      <w:r>
        <w:rPr>
          <w:sz w:val="25"/>
        </w:rPr>
        <w:t xml:space="preserve"> </w:t>
      </w:r>
      <w:r>
        <w:rPr>
          <w:sz w:val="25"/>
        </w:rPr>
        <w:t xml:space="preserve">score cohorts across the five ADKAR blocks — Awareness, Desire, Knowledge, Ability, Reinforcement — with barrier-point diagnosis.</w:t>
      </w:r>
    </w:p>
    <w:p>
      <w:pPr>
        <w:pStyle w:val="BodyText"/>
      </w:pPr>
      <w:r>
        <w:rPr>
          <w:bCs/>
          <w:b/>
          <w:sz w:val="25"/>
        </w:rPr>
        <w:t xml:space="preserve">In the Bouregreg scenario:</w:t>
      </w:r>
      <w:r>
        <w:rPr>
          <w:sz w:val="25"/>
        </w:rPr>
        <w:t xml:space="preserve"> </w:t>
      </w:r>
      <w:r>
        <w:rPr>
          <w:sz w:val="25"/>
        </w:rPr>
        <w:t xml:space="preserve">Driss El Amrani logs the Bouregreg program’s baseline ADKAR pulse here in Week 1 (Part 1’s Step 6), then re-scores each block through Parts 3 and 4 as training and go-live proceed.</w:t>
      </w:r>
    </w:p>
    <w:p>
      <w:pPr>
        <w:pStyle w:val="BodyText"/>
      </w:pPr>
      <w:r>
        <w:rPr>
          <w:bCs/>
          <w:b/>
          <w:sz w:val="25"/>
        </w:rPr>
        <w:t xml:space="preserve">Create / update / delete:</w:t>
      </w:r>
      <w:r>
        <w:rPr>
          <w:sz w:val="25"/>
        </w:rPr>
        <w:t xml:space="preserve"> </w:t>
      </w:r>
      <w:r>
        <w:rPr>
          <w:sz w:val="25"/>
        </w:rPr>
        <w:t xml:space="preserve">set or update each block’s 1–5 score and its note; any score of 2 or below requires a barrier-reason note and auto-escalates.</w:t>
      </w:r>
    </w:p>
    <w:p>
      <w:pPr>
        <w:pStyle w:val="BodyText"/>
      </w:pPr>
      <w:r>
        <w:rPr>
          <w:bCs/>
          <w:b/>
          <w:sz w:val="25"/>
        </w:rPr>
        <w:t xml:space="preserve">Who can edit:</w:t>
      </w:r>
      <w:r>
        <w:rPr>
          <w:sz w:val="25"/>
        </w:rPr>
        <w:t xml:space="preserve"> </w:t>
      </w:r>
      <w:r>
        <w:rPr>
          <w:sz w:val="25"/>
        </w:rPr>
        <w:t xml:space="preserve">general write access, with a mandatory justification on every score change under Bouregreg Group’s Governance Setting.</w:t>
      </w:r>
    </w:p>
    <w:p>
      <w:pPr>
        <w:pStyle w:val="BodyText"/>
      </w:pPr>
      <w:r>
        <w:rPr>
          <w:bCs/>
          <w:b/>
          <w:sz w:val="25"/>
        </w:rPr>
        <w:t xml:space="preserve">Key fields:</w:t>
      </w:r>
      <w:r>
        <w:rPr>
          <w:sz w:val="25"/>
        </w:rPr>
        <w:t xml:space="preserve"> </w:t>
      </w:r>
      <w:r>
        <w:rPr>
          <w:sz w:val="25"/>
        </w:rPr>
        <w:t xml:space="preserve">Five block scores (1–5): Awareness, Desire, Knowledge, Ability, Reinforcement; a barrier-reason note on any score ≤ 2.</w:t>
      </w:r>
    </w:p>
    <w:bookmarkEnd w:id="62"/>
    <w:bookmarkStart w:id="63" w:name="m6-emotional-transition-layer"/>
    <w:p>
      <w:pPr>
        <w:pStyle w:val="Heading3"/>
      </w:pPr>
      <w:r>
        <w:rPr>
          <w:b/>
          <w:color w:val="3F827B"/>
          <w:sz w:val="29"/>
        </w:rPr>
        <w:t xml:space="preserve">M6 — Emotional &amp; Transition Layer</w:t>
      </w:r>
    </w:p>
    <w:p>
      <w:pPr>
        <w:pStyle w:val="FirstParagraph"/>
      </w:pPr>
      <w:r>
        <w:rPr>
          <w:bCs/>
          <w:b/>
          <w:sz w:val="25"/>
        </w:rPr>
        <w:t xml:space="preserve">Purpose:</w:t>
      </w:r>
      <w:r>
        <w:rPr>
          <w:sz w:val="25"/>
        </w:rPr>
        <w:t xml:space="preserve"> </w:t>
      </w:r>
      <w:r>
        <w:rPr>
          <w:sz w:val="25"/>
        </w:rPr>
        <w:t xml:space="preserve">Bridges transition position and Kübler-Ross sentiment, cross-referenced with ADKAR.</w:t>
      </w:r>
    </w:p>
    <w:p>
      <w:pPr>
        <w:pStyle w:val="BodyText"/>
      </w:pPr>
      <w:r>
        <w:rPr>
          <w:bCs/>
          <w:b/>
          <w:sz w:val="25"/>
        </w:rPr>
        <w:t xml:space="preserve">In the Bouregreg scenario:</w:t>
      </w:r>
      <w:r>
        <w:rPr>
          <w:sz w:val="25"/>
        </w:rPr>
        <w:t xml:space="preserve"> </w:t>
      </w:r>
      <w:r>
        <w:rPr>
          <w:sz w:val="25"/>
        </w:rPr>
        <w:t xml:space="preserve">this is where Bouregreg’s Divergence Pattern alert (Part 5) actually gets its second input — if Knowledge and Ability read high here on M5 while Bridges is still logged as</w:t>
      </w:r>
      <w:r>
        <w:rPr>
          <w:sz w:val="25"/>
        </w:rPr>
        <w:t xml:space="preserve"> </w:t>
      </w:r>
      <w:r>
        <w:rPr>
          <w:sz w:val="25"/>
        </w:rPr>
        <w:t xml:space="preserve">“</w:t>
      </w:r>
      <w:r>
        <w:rPr>
          <w:sz w:val="25"/>
        </w:rPr>
        <w:t xml:space="preserve">Ending</w:t>
      </w:r>
      <w:r>
        <w:rPr>
          <w:sz w:val="25"/>
        </w:rPr>
        <w:t xml:space="preserve">”</w:t>
      </w:r>
      <w:r>
        <w:rPr>
          <w:sz w:val="25"/>
        </w:rPr>
        <w:t xml:space="preserve"> </w:t>
      </w:r>
      <w:r>
        <w:rPr>
          <w:sz w:val="25"/>
        </w:rPr>
        <w:t xml:space="preserve">on M6, the two modules together are what the alert is watching.</w:t>
      </w:r>
    </w:p>
    <w:p>
      <w:pPr>
        <w:pStyle w:val="BodyText"/>
      </w:pPr>
      <w:r>
        <w:rPr>
          <w:bCs/>
          <w:b/>
          <w:sz w:val="25"/>
        </w:rPr>
        <w:t xml:space="preserve">Create / update / delete:</w:t>
      </w:r>
      <w:r>
        <w:rPr>
          <w:sz w:val="25"/>
        </w:rPr>
        <w:t xml:space="preserve"> </w:t>
      </w:r>
      <w:r>
        <w:rPr>
          <w:sz w:val="25"/>
        </w:rPr>
        <w:t xml:space="preserve">set or update the Bridges transition stage and the Kübler-Ross sentiment reading, each with a justification note.</w:t>
      </w:r>
    </w:p>
    <w:p>
      <w:pPr>
        <w:pStyle w:val="BodyText"/>
      </w:pPr>
      <w:r>
        <w:rPr>
          <w:bCs/>
          <w:b/>
          <w:sz w:val="25"/>
        </w:rPr>
        <w:t xml:space="preserve">Who can edit:</w:t>
      </w:r>
      <w:r>
        <w:rPr>
          <w:sz w:val="25"/>
        </w:rPr>
        <w:t xml:space="preserve"> </w:t>
      </w:r>
      <w:r>
        <w:rPr>
          <w:sz w:val="25"/>
        </w:rPr>
        <w:t xml:space="preserve">general write access, individual-level detail restricted the same way as M4 and M5.</w:t>
      </w:r>
    </w:p>
    <w:p>
      <w:pPr>
        <w:pStyle w:val="BodyText"/>
      </w:pPr>
      <w:r>
        <w:rPr>
          <w:bCs/>
          <w:b/>
          <w:sz w:val="25"/>
        </w:rPr>
        <w:t xml:space="preserve">Key fields:</w:t>
      </w:r>
      <w:r>
        <w:rPr>
          <w:sz w:val="25"/>
        </w:rPr>
        <w:t xml:space="preserve"> </w:t>
      </w:r>
      <w:r>
        <w:rPr>
          <w:sz w:val="25"/>
        </w:rPr>
        <w:t xml:space="preserve">Bridges stage (Ending / Neutral Zone / New Beginning); Kübler-Ross sentiment (Denial / Resistance-Anger / Exploration / Commitment); justification note.</w:t>
      </w:r>
    </w:p>
    <w:bookmarkEnd w:id="63"/>
    <w:bookmarkStart w:id="64" w:name="m7-sponsor-coalition"/>
    <w:p>
      <w:pPr>
        <w:pStyle w:val="Heading3"/>
      </w:pPr>
      <w:r>
        <w:rPr>
          <w:b/>
          <w:color w:val="3F827B"/>
          <w:sz w:val="29"/>
        </w:rPr>
        <w:t xml:space="preserve">M7 — Sponsor &amp; Coalition</w:t>
      </w:r>
    </w:p>
    <w:p>
      <w:pPr>
        <w:pStyle w:val="FirstParagraph"/>
      </w:pPr>
      <w:r>
        <w:rPr>
          <w:bCs/>
          <w:b/>
          <w:sz w:val="25"/>
        </w:rPr>
        <w:t xml:space="preserve">Purpose:</w:t>
      </w:r>
      <w:r>
        <w:rPr>
          <w:sz w:val="25"/>
        </w:rPr>
        <w:t xml:space="preserve"> </w:t>
      </w:r>
      <w:r>
        <w:rPr>
          <w:sz w:val="25"/>
        </w:rPr>
        <w:t xml:space="preserve">sponsor roadmap, active-versus-passive sponsorship, and guiding coalition strength.</w:t>
      </w:r>
    </w:p>
    <w:p>
      <w:pPr>
        <w:pStyle w:val="BodyText"/>
      </w:pPr>
      <w:r>
        <w:rPr>
          <w:bCs/>
          <w:b/>
          <w:sz w:val="25"/>
        </w:rPr>
        <w:t xml:space="preserve">In the Bouregreg scenario:</w:t>
      </w:r>
      <w:r>
        <w:rPr>
          <w:sz w:val="25"/>
        </w:rPr>
        <w:t xml:space="preserve"> </w:t>
      </w:r>
      <w:r>
        <w:rPr>
          <w:sz w:val="25"/>
        </w:rPr>
        <w:t xml:space="preserve">tracks the CFO’s (Sponsor) visible actions across the program — the kickoff town hall, the go-live message, the closing town hall — and whether the Steering Committee coalition around the CFO is holding or thinning as the program proceeds.</w:t>
      </w:r>
    </w:p>
    <w:p>
      <w:pPr>
        <w:pStyle w:val="BodyText"/>
      </w:pPr>
      <w:r>
        <w:rPr>
          <w:bCs/>
          <w:b/>
          <w:sz w:val="25"/>
        </w:rPr>
        <w:t xml:space="preserve">Create / update / delete:</w:t>
      </w:r>
      <w:r>
        <w:rPr>
          <w:sz w:val="25"/>
        </w:rPr>
        <w:t xml:space="preserve"> </w:t>
      </w:r>
      <w:r>
        <w:rPr>
          <w:sz w:val="25"/>
        </w:rPr>
        <w:t xml:space="preserve">add sponsor actions to the roadmap and mark each one done; edit sponsorship visibility (active/passive) and coalition-strength notes.</w:t>
      </w:r>
    </w:p>
    <w:p>
      <w:pPr>
        <w:pStyle w:val="BodyText"/>
      </w:pPr>
      <w:r>
        <w:rPr>
          <w:bCs/>
          <w:b/>
          <w:sz w:val="25"/>
        </w:rPr>
        <w:t xml:space="preserve">Who can edit:</w:t>
      </w:r>
      <w:r>
        <w:rPr>
          <w:sz w:val="25"/>
        </w:rPr>
        <w:t xml:space="preserve"> </w:t>
      </w:r>
      <w:r>
        <w:rPr>
          <w:sz w:val="25"/>
        </w:rPr>
        <w:t xml:space="preserve">general write access for logging and marking actions; the Sponsor role itself can typically mark their own roadmap actions done without needing full write access, since that toggle is a narrower capability than editing every field on the page.</w:t>
      </w:r>
    </w:p>
    <w:p>
      <w:pPr>
        <w:pStyle w:val="BodyText"/>
      </w:pPr>
      <w:r>
        <w:rPr>
          <w:bCs/>
          <w:b/>
          <w:sz w:val="25"/>
        </w:rPr>
        <w:t xml:space="preserve">Key fields:</w:t>
      </w:r>
      <w:r>
        <w:rPr>
          <w:sz w:val="25"/>
        </w:rPr>
        <w:t xml:space="preserve"> </w:t>
      </w:r>
      <w:r>
        <w:rPr>
          <w:sz w:val="25"/>
        </w:rPr>
        <w:t xml:space="preserve">Sponsor roadmap action and due date; visibility rating (active/weak); coalition member name and role.</w:t>
      </w:r>
    </w:p>
    <w:bookmarkEnd w:id="64"/>
    <w:bookmarkStart w:id="65" w:name="m8-communications"/>
    <w:p>
      <w:pPr>
        <w:pStyle w:val="Heading3"/>
      </w:pPr>
      <w:r>
        <w:rPr>
          <w:b/>
          <w:color w:val="3F827B"/>
          <w:sz w:val="29"/>
        </w:rPr>
        <w:t xml:space="preserve">M8 — Communications</w:t>
      </w:r>
    </w:p>
    <w:p>
      <w:pPr>
        <w:pStyle w:val="FirstParagraph"/>
      </w:pPr>
      <w:r>
        <w:rPr>
          <w:bCs/>
          <w:b/>
          <w:sz w:val="25"/>
        </w:rPr>
        <w:t xml:space="preserve">Purpose:</w:t>
      </w:r>
      <w:r>
        <w:rPr>
          <w:sz w:val="25"/>
        </w:rPr>
        <w:t xml:space="preserve"> </w:t>
      </w:r>
      <w:r>
        <w:rPr>
          <w:sz w:val="25"/>
        </w:rPr>
        <w:t xml:space="preserve">a message × audience × channel × timing matrix, with saturation detection.</w:t>
      </w:r>
    </w:p>
    <w:p>
      <w:pPr>
        <w:pStyle w:val="BodyText"/>
      </w:pPr>
      <w:r>
        <w:rPr>
          <w:bCs/>
          <w:b/>
          <w:sz w:val="25"/>
        </w:rPr>
        <w:t xml:space="preserve">In the Bouregreg scenario:</w:t>
      </w:r>
      <w:r>
        <w:rPr>
          <w:sz w:val="25"/>
        </w:rPr>
        <w:t xml:space="preserve"> </w:t>
      </w:r>
      <w:r>
        <w:rPr>
          <w:sz w:val="25"/>
        </w:rPr>
        <w:t xml:space="preserve">every town hall, FAQ update, and go-live announcement across Casablanca, Kenitra, and Settat is logged here; if the same audience is receiving too many messages in too short a window, journi’s saturation detection flags it.</w:t>
      </w:r>
    </w:p>
    <w:p>
      <w:pPr>
        <w:pStyle w:val="BodyText"/>
      </w:pPr>
      <w:r>
        <w:rPr>
          <w:bCs/>
          <w:b/>
          <w:sz w:val="25"/>
        </w:rPr>
        <w:t xml:space="preserve">Create / update / delete:</w:t>
      </w:r>
      <w:r>
        <w:rPr>
          <w:sz w:val="25"/>
        </w:rPr>
        <w:t xml:space="preserve"> </w:t>
      </w:r>
      <w:r>
        <w:rPr>
          <w:sz w:val="25"/>
        </w:rPr>
        <w:t xml:space="preserve">add a new communication (message, audience, channel, timing); delete an existing one. There is no inline</w:t>
      </w:r>
      <w:r>
        <w:rPr>
          <w:sz w:val="25"/>
        </w:rPr>
        <w:t xml:space="preserve"> </w:t>
      </w:r>
      <w:r>
        <w:rPr>
          <w:sz w:val="25"/>
        </w:rPr>
        <w:t xml:space="preserve">“</w:t>
      </w:r>
      <w:r>
        <w:rPr>
          <w:sz w:val="25"/>
        </w:rPr>
        <w:t xml:space="preserve">reschedule</w:t>
      </w:r>
      <w:r>
        <w:rPr>
          <w:sz w:val="25"/>
        </w:rPr>
        <w:t xml:space="preserve">”</w:t>
      </w:r>
      <w:r>
        <w:rPr>
          <w:sz w:val="25"/>
        </w:rPr>
        <w:t xml:space="preserve"> </w:t>
      </w:r>
      <w:r>
        <w:rPr>
          <w:sz w:val="25"/>
        </w:rPr>
        <w:t xml:space="preserve">on an existing entry — a superseding communication is logged as a new entry, consistent with the audit trail this module is built to support.</w:t>
      </w:r>
    </w:p>
    <w:p>
      <w:pPr>
        <w:pStyle w:val="BodyText"/>
      </w:pPr>
      <w:r>
        <w:rPr>
          <w:bCs/>
          <w:b/>
          <w:sz w:val="25"/>
        </w:rPr>
        <w:t xml:space="preserve">Who can edit:</w:t>
      </w:r>
      <w:r>
        <w:rPr>
          <w:sz w:val="25"/>
        </w:rPr>
        <w:t xml:space="preserve"> </w:t>
      </w:r>
      <w:r>
        <w:rPr>
          <w:sz w:val="25"/>
        </w:rPr>
        <w:t xml:space="preserve">general write access.</w:t>
      </w:r>
    </w:p>
    <w:p>
      <w:pPr>
        <w:pStyle w:val="BodyText"/>
      </w:pPr>
      <w:r>
        <w:rPr>
          <w:bCs/>
          <w:b/>
          <w:sz w:val="25"/>
        </w:rPr>
        <w:t xml:space="preserve">Key fields:</w:t>
      </w:r>
      <w:r>
        <w:rPr>
          <w:sz w:val="25"/>
        </w:rPr>
        <w:t xml:space="preserve"> </w:t>
      </w:r>
      <w:r>
        <w:rPr>
          <w:sz w:val="25"/>
        </w:rPr>
        <w:t xml:space="preserve">Message text; audience/cohort; channel; timing; status (queued/sent).</w:t>
      </w:r>
    </w:p>
    <w:bookmarkEnd w:id="65"/>
    <w:bookmarkStart w:id="66" w:name="m9-training"/>
    <w:p>
      <w:pPr>
        <w:pStyle w:val="Heading3"/>
      </w:pPr>
      <w:r>
        <w:rPr>
          <w:b/>
          <w:color w:val="3F827B"/>
          <w:sz w:val="29"/>
        </w:rPr>
        <w:t xml:space="preserve">M9 — Training</w:t>
      </w:r>
    </w:p>
    <w:p>
      <w:pPr>
        <w:pStyle w:val="FirstParagraph"/>
      </w:pPr>
      <w:r>
        <w:rPr>
          <w:bCs/>
          <w:b/>
          <w:sz w:val="25"/>
        </w:rPr>
        <w:t xml:space="preserve">Purpose:</w:t>
      </w:r>
      <w:r>
        <w:rPr>
          <w:sz w:val="25"/>
        </w:rPr>
        <w:t xml:space="preserve"> </w:t>
      </w:r>
      <w:r>
        <w:rPr>
          <w:sz w:val="25"/>
        </w:rPr>
        <w:t xml:space="preserve">curriculum coverage, completion, and demonstrated capability — trained versus capable.</w:t>
      </w:r>
    </w:p>
    <w:p>
      <w:pPr>
        <w:pStyle w:val="BodyText"/>
      </w:pPr>
      <w:r>
        <w:rPr>
          <w:bCs/>
          <w:b/>
          <w:sz w:val="25"/>
        </w:rPr>
        <w:t xml:space="preserve">In the Bouregreg scenario:</w:t>
      </w:r>
      <w:r>
        <w:rPr>
          <w:sz w:val="25"/>
        </w:rPr>
        <w:t xml:space="preserve"> </w:t>
      </w:r>
      <w:r>
        <w:rPr>
          <w:sz w:val="25"/>
        </w:rPr>
        <w:t xml:space="preserve">the curriculum built for Casablanca finance, Kenitra plant operations, and Settat plant operations, each entry tracked from enrollment through the Certified toggle once a cohort demonstrates real capability, not just attendance.</w:t>
      </w:r>
    </w:p>
    <w:p>
      <w:pPr>
        <w:pStyle w:val="BodyText"/>
      </w:pPr>
      <w:r>
        <w:rPr>
          <w:bCs/>
          <w:b/>
          <w:sz w:val="25"/>
        </w:rPr>
        <w:t xml:space="preserve">Create / update / delete:</w:t>
      </w:r>
      <w:r>
        <w:rPr>
          <w:sz w:val="25"/>
        </w:rPr>
        <w:t xml:space="preserve"> </w:t>
      </w:r>
      <w:r>
        <w:rPr>
          <w:sz w:val="25"/>
        </w:rPr>
        <w:t xml:space="preserve">add a new curriculum entry; toggle Certified on an existing one; delete an entry. Completion percentage is not editable in place on an existing row — as with Communications, a new entry supersedes rather than silently overwrites.</w:t>
      </w:r>
    </w:p>
    <w:p>
      <w:pPr>
        <w:pStyle w:val="BodyText"/>
      </w:pPr>
      <w:r>
        <w:rPr>
          <w:bCs/>
          <w:b/>
          <w:sz w:val="25"/>
        </w:rPr>
        <w:t xml:space="preserve">Who can edit:</w:t>
      </w:r>
      <w:r>
        <w:rPr>
          <w:sz w:val="25"/>
        </w:rPr>
        <w:t xml:space="preserve"> </w:t>
      </w:r>
      <w:r>
        <w:rPr>
          <w:sz w:val="25"/>
        </w:rPr>
        <w:t xml:space="preserve">general write access.</w:t>
      </w:r>
    </w:p>
    <w:p>
      <w:pPr>
        <w:pStyle w:val="BodyText"/>
      </w:pPr>
      <w:r>
        <w:rPr>
          <w:bCs/>
          <w:b/>
          <w:sz w:val="25"/>
        </w:rPr>
        <w:t xml:space="preserve">Key fields:</w:t>
      </w:r>
      <w:r>
        <w:rPr>
          <w:sz w:val="25"/>
        </w:rPr>
        <w:t xml:space="preserve"> </w:t>
      </w:r>
      <w:r>
        <w:rPr>
          <w:sz w:val="25"/>
        </w:rPr>
        <w:t xml:space="preserve">Curriculum entry name; cohort; completion percentage; Certified toggle.</w:t>
      </w:r>
    </w:p>
    <w:bookmarkEnd w:id="66"/>
    <w:bookmarkStart w:id="67" w:name="m10-resistance"/>
    <w:p>
      <w:pPr>
        <w:pStyle w:val="Heading3"/>
      </w:pPr>
      <w:r>
        <w:rPr>
          <w:b/>
          <w:color w:val="3F827B"/>
          <w:sz w:val="29"/>
        </w:rPr>
        <w:t xml:space="preserve">M10 — Resistance</w:t>
      </w:r>
    </w:p>
    <w:p>
      <w:pPr>
        <w:pStyle w:val="FirstParagraph"/>
      </w:pPr>
      <w:r>
        <w:rPr>
          <w:bCs/>
          <w:b/>
          <w:sz w:val="25"/>
        </w:rPr>
        <w:t xml:space="preserve">Purpose:</w:t>
      </w:r>
      <w:r>
        <w:rPr>
          <w:sz w:val="25"/>
        </w:rPr>
        <w:t xml:space="preserve"> </w:t>
      </w:r>
      <w:r>
        <w:rPr>
          <w:sz w:val="25"/>
        </w:rPr>
        <w:t xml:space="preserve">log, classify, and resolve resistance, linked to concrete mitigation actions — with a Qualitative Coding Workbench for tagging interview and free-text evidence.</w:t>
      </w:r>
    </w:p>
    <w:p>
      <w:pPr>
        <w:pStyle w:val="BodyText"/>
      </w:pPr>
      <w:r>
        <w:rPr>
          <w:bCs/>
          <w:b/>
          <w:sz w:val="25"/>
        </w:rPr>
        <w:t xml:space="preserve">In the Bouregreg scenario:</w:t>
      </w:r>
      <w:r>
        <w:rPr>
          <w:sz w:val="25"/>
        </w:rPr>
        <w:t xml:space="preserve"> </w:t>
      </w:r>
      <w:r>
        <w:rPr>
          <w:sz w:val="25"/>
        </w:rPr>
        <w:t xml:space="preserve">where the Settat plant’s early resistance to the new inventory workflow is logged, classified by root cause, and linked to the mitigation actions Houda Zerouali and the plant supervisors run in response; the Coding Workbench is where Ghita Bennis tags supervisor 1:1 notes against a shared codebook so recurring themes surface across entries rather than staying anecdotal.</w:t>
      </w:r>
    </w:p>
    <w:p>
      <w:pPr>
        <w:pStyle w:val="BodyText"/>
      </w:pPr>
      <w:r>
        <w:rPr>
          <w:bCs/>
          <w:b/>
          <w:sz w:val="25"/>
        </w:rPr>
        <w:t xml:space="preserve">Create / update / delete:</w:t>
      </w:r>
      <w:r>
        <w:rPr>
          <w:sz w:val="25"/>
        </w:rPr>
        <w:t xml:space="preserve"> </w:t>
      </w:r>
      <w:r>
        <w:rPr>
          <w:sz w:val="25"/>
        </w:rPr>
        <w:t xml:space="preserve">log, edit, and resolve resistance entries with linked mitigation actions; add and remove codes from the Organization’s codebook; tag and untag evidence against those codes.</w:t>
      </w:r>
    </w:p>
    <w:p>
      <w:pPr>
        <w:pStyle w:val="BodyText"/>
      </w:pPr>
      <w:r>
        <w:rPr>
          <w:bCs/>
          <w:b/>
          <w:sz w:val="25"/>
        </w:rPr>
        <w:t xml:space="preserve">Who can edit:</w:t>
      </w:r>
      <w:r>
        <w:rPr>
          <w:sz w:val="25"/>
        </w:rPr>
        <w:t xml:space="preserve"> </w:t>
      </w:r>
      <w:r>
        <w:rPr>
          <w:sz w:val="25"/>
        </w:rPr>
        <w:t xml:space="preserve">general write access; the Codebook itself (the set of codes available to tag against) is typically managed by whoever holds hierarchy-management rights, since it is shared across every project in the Organization, not owned by one CM Project.</w:t>
      </w:r>
    </w:p>
    <w:p>
      <w:pPr>
        <w:pStyle w:val="BodyText"/>
      </w:pPr>
      <w:r>
        <w:rPr>
          <w:bCs/>
          <w:b/>
          <w:sz w:val="25"/>
        </w:rPr>
        <w:t xml:space="preserve">Key fields:</w:t>
      </w:r>
      <w:r>
        <w:rPr>
          <w:sz w:val="25"/>
        </w:rPr>
        <w:t xml:space="preserve"> </w:t>
      </w:r>
      <w:r>
        <w:rPr>
          <w:sz w:val="25"/>
        </w:rPr>
        <w:t xml:space="preserve">Resistance entry description; root cause; status (open/closed); linked mitigation action; Codebook code name; tagged evidence (interview note, free-text source).</w:t>
      </w:r>
    </w:p>
    <w:bookmarkEnd w:id="67"/>
    <w:bookmarkStart w:id="68" w:name="m11-manager-as-coach"/>
    <w:p>
      <w:pPr>
        <w:pStyle w:val="Heading3"/>
      </w:pPr>
      <w:r>
        <w:rPr>
          <w:b/>
          <w:color w:val="3F827B"/>
          <w:sz w:val="29"/>
        </w:rPr>
        <w:t xml:space="preserve">M11 — Manager as Coach</w:t>
      </w:r>
    </w:p>
    <w:p>
      <w:pPr>
        <w:pStyle w:val="FirstParagraph"/>
      </w:pPr>
      <w:r>
        <w:rPr>
          <w:bCs/>
          <w:b/>
          <w:sz w:val="25"/>
        </w:rPr>
        <w:t xml:space="preserve">Purpose:</w:t>
      </w:r>
      <w:r>
        <w:rPr>
          <w:sz w:val="25"/>
        </w:rPr>
        <w:t xml:space="preserve"> </w:t>
      </w:r>
      <w:r>
        <w:rPr>
          <w:sz w:val="25"/>
        </w:rPr>
        <w:t xml:space="preserve">a team-scoped ADKAR heatmap with suggested coaching actions per barrier.</w:t>
      </w:r>
    </w:p>
    <w:p>
      <w:pPr>
        <w:pStyle w:val="BodyText"/>
      </w:pPr>
      <w:r>
        <w:rPr>
          <w:bCs/>
          <w:b/>
          <w:sz w:val="25"/>
        </w:rPr>
        <w:t xml:space="preserve">In the Bouregreg scenario:</w:t>
      </w:r>
      <w:r>
        <w:rPr>
          <w:sz w:val="25"/>
        </w:rPr>
        <w:t xml:space="preserve"> </w:t>
      </w:r>
      <w:r>
        <w:rPr>
          <w:sz w:val="25"/>
        </w:rPr>
        <w:t xml:space="preserve">Kenitra and Settat plant supervisors — People Manager role — open this to see their own team’s ADKAR heatmap (not the whole program’s) and a suggested coaching action for whichever block is weakest, without needing to interpret raw scores themselves.</w:t>
      </w:r>
    </w:p>
    <w:p>
      <w:pPr>
        <w:pStyle w:val="BodyText"/>
      </w:pPr>
      <w:r>
        <w:rPr>
          <w:bCs/>
          <w:b/>
          <w:sz w:val="25"/>
        </w:rPr>
        <w:t xml:space="preserve">Create / update / delete:</w:t>
      </w:r>
      <w:r>
        <w:rPr>
          <w:sz w:val="25"/>
        </w:rPr>
        <w:t xml:space="preserve"> </w:t>
      </w:r>
      <w:r>
        <w:rPr>
          <w:sz w:val="25"/>
        </w:rPr>
        <w:t xml:space="preserve">the heatmap itself is computed from M5/M6 data already logged elsewhere; a People Manager logs their own coaching actions taken against the suggestions shown.</w:t>
      </w:r>
    </w:p>
    <w:p>
      <w:pPr>
        <w:pStyle w:val="BodyText"/>
      </w:pPr>
      <w:r>
        <w:rPr>
          <w:bCs/>
          <w:b/>
          <w:sz w:val="25"/>
        </w:rPr>
        <w:t xml:space="preserve">Who can edit:</w:t>
      </w:r>
      <w:r>
        <w:rPr>
          <w:sz w:val="25"/>
        </w:rPr>
        <w:t xml:space="preserve"> </w:t>
      </w:r>
      <w:r>
        <w:rPr>
          <w:sz w:val="25"/>
        </w:rPr>
        <w:t xml:space="preserve">People Managers see their own team’s view by default; Change Manager and above see across teams.</w:t>
      </w:r>
    </w:p>
    <w:p>
      <w:pPr>
        <w:pStyle w:val="BodyText"/>
      </w:pPr>
      <w:r>
        <w:rPr>
          <w:bCs/>
          <w:b/>
          <w:sz w:val="25"/>
        </w:rPr>
        <w:t xml:space="preserve">Key fields:</w:t>
      </w:r>
      <w:r>
        <w:rPr>
          <w:sz w:val="25"/>
        </w:rPr>
        <w:t xml:space="preserve"> </w:t>
      </w:r>
      <w:r>
        <w:rPr>
          <w:sz w:val="25"/>
        </w:rPr>
        <w:t xml:space="preserve">(Computed heatmap, not a data-entry field); logged coaching action per barrier.</w:t>
      </w:r>
    </w:p>
    <w:bookmarkEnd w:id="68"/>
    <w:bookmarkStart w:id="69" w:name="m12-sustainment"/>
    <w:p>
      <w:pPr>
        <w:pStyle w:val="Heading3"/>
      </w:pPr>
      <w:r>
        <w:rPr>
          <w:b/>
          <w:color w:val="3F827B"/>
          <w:sz w:val="29"/>
        </w:rPr>
        <w:t xml:space="preserve">M12 — Sustainment</w:t>
      </w:r>
    </w:p>
    <w:p>
      <w:pPr>
        <w:pStyle w:val="FirstParagraph"/>
      </w:pPr>
      <w:r>
        <w:rPr>
          <w:bCs/>
          <w:b/>
          <w:sz w:val="25"/>
        </w:rPr>
        <w:t xml:space="preserve">Purpose:</w:t>
      </w:r>
      <w:r>
        <w:rPr>
          <w:sz w:val="25"/>
        </w:rPr>
        <w:t xml:space="preserve"> </w:t>
      </w:r>
      <w:r>
        <w:rPr>
          <w:sz w:val="25"/>
        </w:rPr>
        <w:t xml:space="preserve">post-go-live adoption audits, regression detection, and sustainment sign-off.</w:t>
      </w:r>
    </w:p>
    <w:p>
      <w:pPr>
        <w:pStyle w:val="BodyText"/>
      </w:pPr>
      <w:r>
        <w:rPr>
          <w:bCs/>
          <w:b/>
          <w:sz w:val="25"/>
        </w:rPr>
        <w:t xml:space="preserve">In the Bouregreg scenario:</w:t>
      </w:r>
      <w:r>
        <w:rPr>
          <w:sz w:val="25"/>
        </w:rPr>
        <w:t xml:space="preserve"> </w:t>
      </w:r>
      <w:r>
        <w:rPr>
          <w:sz w:val="25"/>
        </w:rPr>
        <w:t xml:space="preserve">the module Driss El Amrani uses from go-live onward — checkpoint reviews at 30/60/90 days, logged quick wins, a running lessons-learned log, and the formal sign-off that closes the program once evidence, not the calendar, supports it.</w:t>
      </w:r>
    </w:p>
    <w:p>
      <w:pPr>
        <w:pStyle w:val="BodyText"/>
      </w:pPr>
      <w:r>
        <w:rPr>
          <w:bCs/>
          <w:b/>
          <w:sz w:val="25"/>
        </w:rPr>
        <w:t xml:space="preserve">Create / update / delete:</w:t>
      </w:r>
      <w:r>
        <w:rPr>
          <w:sz w:val="25"/>
        </w:rPr>
        <w:t xml:space="preserve"> </w:t>
      </w:r>
      <w:r>
        <w:rPr>
          <w:sz w:val="25"/>
        </w:rPr>
        <w:t xml:space="preserve">log and update sustainment checkpoints; add quick wins; add and edit lessons-learned entries; toggle the sign-off once criteria are met.</w:t>
      </w:r>
    </w:p>
    <w:p>
      <w:pPr>
        <w:pStyle w:val="BodyText"/>
      </w:pPr>
      <w:r>
        <w:rPr>
          <w:bCs/>
          <w:b/>
          <w:sz w:val="25"/>
        </w:rPr>
        <w:t xml:space="preserve">Who can edit:</w:t>
      </w:r>
      <w:r>
        <w:rPr>
          <w:sz w:val="25"/>
        </w:rPr>
        <w:t xml:space="preserve"> </w:t>
      </w:r>
      <w:r>
        <w:rPr>
          <w:sz w:val="25"/>
        </w:rPr>
        <w:t xml:space="preserve">general write access; sign-off is typically reserved for the Change Manager and above.</w:t>
      </w:r>
    </w:p>
    <w:p>
      <w:pPr>
        <w:pStyle w:val="BodyText"/>
      </w:pPr>
      <w:r>
        <w:rPr>
          <w:bCs/>
          <w:b/>
          <w:sz w:val="25"/>
        </w:rPr>
        <w:t xml:space="preserve">Key fields:</w:t>
      </w:r>
      <w:r>
        <w:rPr>
          <w:sz w:val="25"/>
        </w:rPr>
        <w:t xml:space="preserve"> </w:t>
      </w:r>
      <w:r>
        <w:rPr>
          <w:sz w:val="25"/>
        </w:rPr>
        <w:t xml:space="preserve">Checkpoint label and date; status (planned/complete); regression-risk flag (low/high); quick-win entry; lesson-learned entry; sign-off toggle.</w:t>
      </w:r>
    </w:p>
    <w:bookmarkEnd w:id="69"/>
    <w:bookmarkStart w:id="70" w:name="m13-risk-register"/>
    <w:p>
      <w:pPr>
        <w:pStyle w:val="Heading3"/>
      </w:pPr>
      <w:r>
        <w:rPr>
          <w:b/>
          <w:color w:val="3F827B"/>
          <w:sz w:val="29"/>
        </w:rPr>
        <w:t xml:space="preserve">M13 — Risk Register</w:t>
      </w:r>
    </w:p>
    <w:p>
      <w:pPr>
        <w:pStyle w:val="FirstParagraph"/>
      </w:pPr>
      <w:r>
        <w:rPr>
          <w:bCs/>
          <w:b/>
          <w:sz w:val="25"/>
        </w:rPr>
        <w:t xml:space="preserve">Purpose:</w:t>
      </w:r>
      <w:r>
        <w:rPr>
          <w:sz w:val="25"/>
        </w:rPr>
        <w:t xml:space="preserve"> </w:t>
      </w:r>
      <w:r>
        <w:rPr>
          <w:sz w:val="25"/>
        </w:rPr>
        <w:t xml:space="preserve">adoption, sponsorship, capacity, and saturation risk — distinct from generic project risk, which lives in the Main Project’s own PM tooling, not in journi.</w:t>
      </w:r>
    </w:p>
    <w:p>
      <w:pPr>
        <w:pStyle w:val="BodyText"/>
      </w:pPr>
      <w:r>
        <w:rPr>
          <w:bCs/>
          <w:b/>
          <w:sz w:val="25"/>
        </w:rPr>
        <w:t xml:space="preserve">In the Bouregreg scenario:</w:t>
      </w:r>
      <w:r>
        <w:rPr>
          <w:sz w:val="25"/>
        </w:rPr>
        <w:t xml:space="preserve"> </w:t>
      </w:r>
      <w:r>
        <w:rPr>
          <w:sz w:val="25"/>
        </w:rPr>
        <w:t xml:space="preserve">tracks Change-Management-specific risks — for example, Kenitra’s plant-floor capacity to absorb training during peak production weeks — separately from the ERP Platform Unification Main Project’s technical and schedule risk.</w:t>
      </w:r>
    </w:p>
    <w:p>
      <w:pPr>
        <w:pStyle w:val="BodyText"/>
      </w:pPr>
      <w:r>
        <w:rPr>
          <w:bCs/>
          <w:b/>
          <w:sz w:val="25"/>
        </w:rPr>
        <w:t xml:space="preserve">Create / update / delete:</w:t>
      </w:r>
      <w:r>
        <w:rPr>
          <w:sz w:val="25"/>
        </w:rPr>
        <w:t xml:space="preserve"> </w:t>
      </w:r>
      <w:r>
        <w:rPr>
          <w:sz w:val="25"/>
        </w:rPr>
        <w:t xml:space="preserve">add, edit, and close risk entries, each with a category, severity, and status.</w:t>
      </w:r>
    </w:p>
    <w:p>
      <w:pPr>
        <w:pStyle w:val="BodyText"/>
      </w:pPr>
      <w:r>
        <w:rPr>
          <w:bCs/>
          <w:b/>
          <w:sz w:val="25"/>
        </w:rPr>
        <w:t xml:space="preserve">Who can edit:</w:t>
      </w:r>
      <w:r>
        <w:rPr>
          <w:sz w:val="25"/>
        </w:rPr>
        <w:t xml:space="preserve"> </w:t>
      </w:r>
      <w:r>
        <w:rPr>
          <w:sz w:val="25"/>
        </w:rPr>
        <w:t xml:space="preserve">general write access.</w:t>
      </w:r>
    </w:p>
    <w:p>
      <w:pPr>
        <w:pStyle w:val="BodyText"/>
      </w:pPr>
      <w:r>
        <w:rPr>
          <w:bCs/>
          <w:b/>
          <w:sz w:val="25"/>
        </w:rPr>
        <w:t xml:space="preserve">Key fields:</w:t>
      </w:r>
      <w:r>
        <w:rPr>
          <w:sz w:val="25"/>
        </w:rPr>
        <w:t xml:space="preserve"> </w:t>
      </w:r>
      <w:r>
        <w:rPr>
          <w:sz w:val="25"/>
        </w:rPr>
        <w:t xml:space="preserve">Risk description; category; severity; status (open/closed).</w:t>
      </w:r>
    </w:p>
    <w:bookmarkEnd w:id="70"/>
    <w:bookmarkStart w:id="71" w:name="m14-analytics"/>
    <w:p>
      <w:pPr>
        <w:pStyle w:val="Heading3"/>
      </w:pPr>
      <w:r>
        <w:rPr>
          <w:b/>
          <w:color w:val="3F827B"/>
          <w:sz w:val="29"/>
        </w:rPr>
        <w:t xml:space="preserve">M14 — Analytics</w:t>
      </w:r>
    </w:p>
    <w:p>
      <w:pPr>
        <w:pStyle w:val="FirstParagraph"/>
      </w:pPr>
      <w:r>
        <w:rPr>
          <w:bCs/>
          <w:b/>
          <w:sz w:val="25"/>
        </w:rPr>
        <w:t xml:space="preserve">Purpose:</w:t>
      </w:r>
      <w:r>
        <w:rPr>
          <w:sz w:val="25"/>
        </w:rPr>
        <w:t xml:space="preserve"> </w:t>
      </w:r>
      <w:r>
        <w:rPr>
          <w:sz w:val="25"/>
        </w:rPr>
        <w:t xml:space="preserve">the Composite Readiness Index, adoption curves, and correlation analysis — journi’s benchmarking dashboard.</w:t>
      </w:r>
    </w:p>
    <w:p>
      <w:pPr>
        <w:pStyle w:val="BodyText"/>
      </w:pPr>
      <w:r>
        <w:rPr>
          <w:bCs/>
          <w:b/>
          <w:sz w:val="25"/>
        </w:rPr>
        <w:t xml:space="preserve">In the Bouregreg scenario:</w:t>
      </w:r>
      <w:r>
        <w:rPr>
          <w:sz w:val="25"/>
        </w:rPr>
        <w:t xml:space="preserve"> </w:t>
      </w:r>
      <w:r>
        <w:rPr>
          <w:sz w:val="25"/>
        </w:rPr>
        <w:t xml:space="preserve">the dashboard the Steering Committee reviews at every phase gate — the blended readiness score (ADKAR 50%, Kübler-Ross sentiment 25%, training completion 25%) trending against the benchmark band expected at that point in the program, and the correlation view showing which input is actually driving the trend.</w:t>
      </w:r>
    </w:p>
    <w:p>
      <w:pPr>
        <w:pStyle w:val="BodyText"/>
      </w:pPr>
      <w:r>
        <w:rPr>
          <w:bCs/>
          <w:b/>
          <w:sz w:val="25"/>
        </w:rPr>
        <w:t xml:space="preserve">Create / update / delete:</w:t>
      </w:r>
      <w:r>
        <w:rPr>
          <w:sz w:val="25"/>
        </w:rPr>
        <w:t xml:space="preserve"> </w:t>
      </w:r>
      <w:r>
        <w:rPr>
          <w:sz w:val="25"/>
        </w:rPr>
        <w:t xml:space="preserve">this module is entirely computed — there is nothing to create, update, or delete here; it reads live from M5, M6, and M9.</w:t>
      </w:r>
    </w:p>
    <w:p>
      <w:pPr>
        <w:pStyle w:val="BodyText"/>
      </w:pPr>
      <w:r>
        <w:rPr>
          <w:bCs/>
          <w:b/>
          <w:sz w:val="25"/>
        </w:rPr>
        <w:t xml:space="preserve">Who can edit:</w:t>
      </w:r>
      <w:r>
        <w:rPr>
          <w:sz w:val="25"/>
        </w:rPr>
        <w:t xml:space="preserve"> </w:t>
      </w:r>
      <w:r>
        <w:rPr>
          <w:sz w:val="25"/>
        </w:rPr>
        <w:t xml:space="preserve">read access follows each role’s normal visibility; there is no write capability on this module.</w:t>
      </w:r>
    </w:p>
    <w:p>
      <w:pPr>
        <w:pStyle w:val="BodyText"/>
      </w:pPr>
      <w:r>
        <w:rPr>
          <w:bCs/>
          <w:b/>
          <w:sz w:val="25"/>
        </w:rPr>
        <w:t xml:space="preserve">Key fields:</w:t>
      </w:r>
      <w:r>
        <w:rPr>
          <w:sz w:val="25"/>
        </w:rPr>
        <w:t xml:space="preserve"> </w:t>
      </w:r>
      <w:r>
        <w:rPr>
          <w:sz w:val="25"/>
        </w:rPr>
        <w:t xml:space="preserve">(Computed) Composite Readiness Index; adoption curve; correlation view — no direct data entry.</w:t>
      </w:r>
    </w:p>
    <w:bookmarkEnd w:id="71"/>
    <w:bookmarkStart w:id="72" w:name="m15-journey-map"/>
    <w:p>
      <w:pPr>
        <w:pStyle w:val="Heading3"/>
      </w:pPr>
      <w:r>
        <w:rPr>
          <w:b/>
          <w:color w:val="3F827B"/>
          <w:sz w:val="29"/>
        </w:rPr>
        <w:t xml:space="preserve">M15 — Journey Map</w:t>
      </w:r>
    </w:p>
    <w:p>
      <w:pPr>
        <w:pStyle w:val="FirstParagraph"/>
      </w:pPr>
      <w:r>
        <w:rPr>
          <w:bCs/>
          <w:b/>
          <w:sz w:val="25"/>
        </w:rPr>
        <w:t xml:space="preserve">Purpose:</w:t>
      </w:r>
      <w:r>
        <w:rPr>
          <w:sz w:val="25"/>
        </w:rPr>
        <w:t xml:space="preserve"> </w:t>
      </w:r>
      <w:r>
        <w:rPr>
          <w:sz w:val="25"/>
        </w:rPr>
        <w:t xml:space="preserve">a literal, visual timeline combining ADKAR stage, Bridges phase, and sentiment.</w:t>
      </w:r>
    </w:p>
    <w:p>
      <w:pPr>
        <w:pStyle w:val="BodyText"/>
      </w:pPr>
      <w:r>
        <w:rPr>
          <w:bCs/>
          <w:b/>
          <w:sz w:val="25"/>
        </w:rPr>
        <w:t xml:space="preserve">In the Bouregreg scenario:</w:t>
      </w:r>
      <w:r>
        <w:rPr>
          <w:sz w:val="25"/>
        </w:rPr>
        <w:t xml:space="preserve"> </w:t>
      </w:r>
      <w:r>
        <w:rPr>
          <w:sz w:val="25"/>
        </w:rPr>
        <w:t xml:space="preserve">the single visual a Steering Committee member glances at to see, at a point in time, where the Bouregreg program actually sits across all three readings at once, rather than checking three separate modules.</w:t>
      </w:r>
    </w:p>
    <w:p>
      <w:pPr>
        <w:pStyle w:val="BodyText"/>
      </w:pPr>
      <w:r>
        <w:rPr>
          <w:bCs/>
          <w:b/>
          <w:sz w:val="25"/>
        </w:rPr>
        <w:t xml:space="preserve">Create / update / delete:</w:t>
      </w:r>
      <w:r>
        <w:rPr>
          <w:sz w:val="25"/>
        </w:rPr>
        <w:t xml:space="preserve"> </w:t>
      </w:r>
      <w:r>
        <w:rPr>
          <w:sz w:val="25"/>
        </w:rPr>
        <w:t xml:space="preserve">computed from M5/M6 data already logged; nothing is created or edited directly on this page.</w:t>
      </w:r>
    </w:p>
    <w:p>
      <w:pPr>
        <w:pStyle w:val="BodyText"/>
      </w:pPr>
      <w:r>
        <w:rPr>
          <w:bCs/>
          <w:b/>
          <w:sz w:val="25"/>
        </w:rPr>
        <w:t xml:space="preserve">Who can edit:</w:t>
      </w:r>
      <w:r>
        <w:rPr>
          <w:sz w:val="25"/>
        </w:rPr>
        <w:t xml:space="preserve"> </w:t>
      </w:r>
      <w:r>
        <w:rPr>
          <w:sz w:val="25"/>
        </w:rPr>
        <w:t xml:space="preserve">read-only, following each role’s normal visibility.</w:t>
      </w:r>
    </w:p>
    <w:p>
      <w:pPr>
        <w:pStyle w:val="BodyText"/>
      </w:pPr>
      <w:r>
        <w:rPr>
          <w:bCs/>
          <w:b/>
          <w:sz w:val="25"/>
        </w:rPr>
        <w:t xml:space="preserve">Key fields:</w:t>
      </w:r>
      <w:r>
        <w:rPr>
          <w:sz w:val="25"/>
        </w:rPr>
        <w:t xml:space="preserve"> </w:t>
      </w:r>
      <w:r>
        <w:rPr>
          <w:sz w:val="25"/>
        </w:rPr>
        <w:t xml:space="preserve">(Computed) combined ADKAR/Bridges/sentiment timeline — no direct data entry.</w:t>
      </w:r>
    </w:p>
    <w:bookmarkEnd w:id="72"/>
    <w:bookmarkStart w:id="73" w:name="m16-ai-use-case-library"/>
    <w:p>
      <w:pPr>
        <w:pStyle w:val="Heading3"/>
      </w:pPr>
      <w:r>
        <w:rPr>
          <w:b/>
          <w:color w:val="3F827B"/>
          <w:sz w:val="29"/>
        </w:rPr>
        <w:t xml:space="preserve">M16 — AI Use Case Library</w:t>
      </w:r>
    </w:p>
    <w:p>
      <w:pPr>
        <w:pStyle w:val="FirstParagraph"/>
      </w:pPr>
      <w:r>
        <w:rPr>
          <w:bCs/>
          <w:b/>
          <w:sz w:val="25"/>
        </w:rPr>
        <w:t xml:space="preserve">Purpose:</w:t>
      </w:r>
      <w:r>
        <w:rPr>
          <w:sz w:val="25"/>
        </w:rPr>
        <w:t xml:space="preserve"> </w:t>
      </w:r>
      <w:r>
        <w:rPr>
          <w:sz w:val="25"/>
        </w:rPr>
        <w:t xml:space="preserve">a governed catalog of Assistive and Augmented AI use cases. No use case acts autonomously.</w:t>
      </w:r>
    </w:p>
    <w:p>
      <w:pPr>
        <w:pStyle w:val="BodyText"/>
      </w:pPr>
      <w:r>
        <w:rPr>
          <w:bCs/>
          <w:b/>
          <w:sz w:val="25"/>
        </w:rPr>
        <w:t xml:space="preserve">In the Bouregreg scenario:</w:t>
      </w:r>
      <w:r>
        <w:rPr>
          <w:sz w:val="25"/>
        </w:rPr>
        <w:t xml:space="preserve"> </w:t>
      </w:r>
      <w:r>
        <w:rPr>
          <w:sz w:val="25"/>
        </w:rPr>
        <w:t xml:space="preserve">Meryem Sabri activates the specific AI-assisted use cases Bouregreg Group’s contract permits (for example, drafting a first pass of a communication or summarizing coded resistance themes) at the Organization level; a Change Manager can further restrict which of those activated use cases their own project actually uses.</w:t>
      </w:r>
    </w:p>
    <w:p>
      <w:pPr>
        <w:pStyle w:val="BodyText"/>
      </w:pPr>
      <w:r>
        <w:rPr>
          <w:bCs/>
          <w:b/>
          <w:sz w:val="25"/>
        </w:rPr>
        <w:t xml:space="preserve">Create / update / delete:</w:t>
      </w:r>
      <w:r>
        <w:rPr>
          <w:sz w:val="25"/>
        </w:rPr>
        <w:t xml:space="preserve"> </w:t>
      </w:r>
      <w:r>
        <w:rPr>
          <w:sz w:val="25"/>
        </w:rPr>
        <w:t xml:space="preserve">the catalog of use cases itself is a fixed reference list, not editable; what is editable is the activation toggle per Organization and the override toggle per Project, plus the usage log every actual AI call writes to.</w:t>
      </w:r>
    </w:p>
    <w:p>
      <w:pPr>
        <w:pStyle w:val="BodyText"/>
      </w:pPr>
      <w:r>
        <w:rPr>
          <w:bCs/>
          <w:b/>
          <w:sz w:val="25"/>
        </w:rPr>
        <w:t xml:space="preserve">Who can edit:</w:t>
      </w:r>
      <w:r>
        <w:rPr>
          <w:sz w:val="25"/>
        </w:rPr>
        <w:t xml:space="preserve"> </w:t>
      </w:r>
      <w:r>
        <w:rPr>
          <w:sz w:val="25"/>
        </w:rPr>
        <w:t xml:space="preserve">activation is gated to Org-Admin-and-above; project-level overrides to the Change Manager on that project.</w:t>
      </w:r>
    </w:p>
    <w:p>
      <w:pPr>
        <w:pStyle w:val="BodyText"/>
      </w:pPr>
      <w:r>
        <w:rPr>
          <w:bCs/>
          <w:b/>
          <w:sz w:val="25"/>
        </w:rPr>
        <w:t xml:space="preserve">Key fields:</w:t>
      </w:r>
      <w:r>
        <w:rPr>
          <w:sz w:val="25"/>
        </w:rPr>
        <w:t xml:space="preserve"> </w:t>
      </w:r>
      <w:r>
        <w:rPr>
          <w:sz w:val="25"/>
        </w:rPr>
        <w:t xml:space="preserve">Use-case activation toggle (per Organization); override toggle (per Project); usage-log entry.</w:t>
      </w:r>
    </w:p>
    <w:bookmarkEnd w:id="73"/>
    <w:bookmarkStart w:id="74" w:name="m17-wbs-gantt"/>
    <w:p>
      <w:pPr>
        <w:pStyle w:val="Heading3"/>
      </w:pPr>
      <w:r>
        <w:rPr>
          <w:b/>
          <w:color w:val="3F827B"/>
          <w:sz w:val="29"/>
        </w:rPr>
        <w:t xml:space="preserve">M17 — WBS &amp; Gantt</w:t>
      </w:r>
    </w:p>
    <w:p>
      <w:pPr>
        <w:pStyle w:val="FirstParagraph"/>
      </w:pPr>
      <w:r>
        <w:rPr>
          <w:bCs/>
          <w:b/>
          <w:sz w:val="25"/>
        </w:rPr>
        <w:t xml:space="preserve">Purpose:</w:t>
      </w:r>
      <w:r>
        <w:rPr>
          <w:sz w:val="25"/>
        </w:rPr>
        <w:t xml:space="preserve"> </w:t>
      </w:r>
      <w:r>
        <w:rPr>
          <w:sz w:val="25"/>
        </w:rPr>
        <w:t xml:space="preserve">one Work Breakdown Structure spanning Project Management, Change Management, and the Lewin/Prosci/Bridges/ADKAR framework milestones — baseline versus actual dates, with the schedule gap called out task by task.</w:t>
      </w:r>
    </w:p>
    <w:p>
      <w:pPr>
        <w:pStyle w:val="BodyText"/>
      </w:pPr>
      <w:r>
        <w:rPr>
          <w:bCs/>
          <w:b/>
          <w:sz w:val="25"/>
        </w:rPr>
        <w:t xml:space="preserve">In the Bouregreg scenario:</w:t>
      </w:r>
      <w:r>
        <w:rPr>
          <w:sz w:val="25"/>
        </w:rPr>
        <w:t xml:space="preserve"> </w:t>
      </w:r>
      <w:r>
        <w:rPr>
          <w:sz w:val="25"/>
        </w:rPr>
        <w:t xml:space="preserve">Driss El Amrani loads a phase template at kickoff to seed the 14-month program’s baseline schedule, then keeps actual dates and status current against it as Parts 3 and 4 of this guide play out — so a reader can see, task by task, where the real program has drifted from plan.</w:t>
      </w:r>
    </w:p>
    <w:p>
      <w:pPr>
        <w:pStyle w:val="BodyText"/>
      </w:pPr>
      <w:r>
        <w:rPr>
          <w:bCs/>
          <w:b/>
          <w:sz w:val="25"/>
        </w:rPr>
        <w:t xml:space="preserve">Create / update / delete:</w:t>
      </w:r>
      <w:r>
        <w:rPr>
          <w:sz w:val="25"/>
        </w:rPr>
        <w:t xml:space="preserve"> </w:t>
      </w:r>
      <w:r>
        <w:rPr>
          <w:sz w:val="25"/>
        </w:rPr>
        <w:t xml:space="preserve">load a phase template to seed the WBS; edit individual task dates and status against the loaded baseline; Phase Gates are the checklist/sign-off items attached to each phase boundary.</w:t>
      </w:r>
    </w:p>
    <w:p>
      <w:pPr>
        <w:pStyle w:val="BodyText"/>
      </w:pPr>
      <w:r>
        <w:rPr>
          <w:bCs/>
          <w:b/>
          <w:sz w:val="25"/>
        </w:rPr>
        <w:t xml:space="preserve">Who can edit:</w:t>
      </w:r>
      <w:r>
        <w:rPr>
          <w:sz w:val="25"/>
        </w:rPr>
        <w:t xml:space="preserve"> </w:t>
      </w:r>
      <w:r>
        <w:rPr>
          <w:sz w:val="25"/>
        </w:rPr>
        <w:t xml:space="preserve">general write access.</w:t>
      </w:r>
    </w:p>
    <w:p>
      <w:pPr>
        <w:pStyle w:val="BodyText"/>
      </w:pPr>
      <w:r>
        <w:rPr>
          <w:bCs/>
          <w:b/>
          <w:sz w:val="25"/>
        </w:rPr>
        <w:t xml:space="preserve">Key fields:</w:t>
      </w:r>
      <w:r>
        <w:rPr>
          <w:sz w:val="25"/>
        </w:rPr>
        <w:t xml:space="preserve"> </w:t>
      </w:r>
      <w:r>
        <w:rPr>
          <w:sz w:val="25"/>
        </w:rPr>
        <w:t xml:space="preserve">Task name; track (PM/CM/framework); baseline start/end date; actual start/end date; status; Phase Gate Joint Decision (Go / Go with Conditions / No-Go).</w:t>
      </w:r>
    </w:p>
    <w:bookmarkEnd w:id="74"/>
    <w:bookmarkStart w:id="75" w:name="m18-process-registry"/>
    <w:p>
      <w:pPr>
        <w:pStyle w:val="Heading3"/>
      </w:pPr>
      <w:r>
        <w:rPr>
          <w:b/>
          <w:color w:val="3F827B"/>
          <w:sz w:val="29"/>
        </w:rPr>
        <w:t xml:space="preserve">M18 — Process Registry</w:t>
      </w:r>
    </w:p>
    <w:p>
      <w:pPr>
        <w:pStyle w:val="FirstParagraph"/>
      </w:pPr>
      <w:r>
        <w:rPr>
          <w:bCs/>
          <w:b/>
          <w:sz w:val="25"/>
        </w:rPr>
        <w:t xml:space="preserve">Purpose:</w:t>
      </w:r>
      <w:r>
        <w:rPr>
          <w:sz w:val="25"/>
        </w:rPr>
        <w:t xml:space="preserve"> </w:t>
      </w:r>
      <w:r>
        <w:rPr>
          <w:sz w:val="25"/>
        </w:rPr>
        <w:t xml:space="preserve">the process backbone every module is built on — the 10 macro processes, the 16 registered end-to-end chains (core lifecycle, cross-cutting loops, and one per transformation type), and who is Responsible / Accountable / Consulted / Sign-off / Informed for each.</w:t>
      </w:r>
    </w:p>
    <w:p>
      <w:pPr>
        <w:pStyle w:val="BodyText"/>
      </w:pPr>
      <w:r>
        <w:rPr>
          <w:bCs/>
          <w:b/>
          <w:sz w:val="25"/>
        </w:rPr>
        <w:t xml:space="preserve">In the Bouregreg scenario:</w:t>
      </w:r>
      <w:r>
        <w:rPr>
          <w:sz w:val="25"/>
        </w:rPr>
        <w:t xml:space="preserve"> </w:t>
      </w:r>
      <w:r>
        <w:rPr>
          <w:sz w:val="25"/>
        </w:rPr>
        <w:t xml:space="preserve">the reference Part 3 of this guide walks in full — every one of the 16 processes, read here and then exercised against Bouregreg’s live data elsewhere in journi.</w:t>
      </w:r>
    </w:p>
    <w:p>
      <w:pPr>
        <w:pStyle w:val="BodyText"/>
      </w:pPr>
      <w:r>
        <w:rPr>
          <w:bCs/>
          <w:b/>
          <w:sz w:val="25"/>
        </w:rPr>
        <w:t xml:space="preserve">Create / update / delete:</w:t>
      </w:r>
      <w:r>
        <w:rPr>
          <w:sz w:val="25"/>
        </w:rPr>
        <w:t xml:space="preserve"> </w:t>
      </w:r>
      <w:r>
        <w:rPr>
          <w:sz w:val="25"/>
        </w:rPr>
        <w:t xml:space="preserve">the Macro Process and End-to-End Process catalogs are fixed reference content, shared platform-wide and not editable per tenant. The RACSI grid — who holds each of the five roles for each macro process — is editable cell by cell.</w:t>
      </w:r>
    </w:p>
    <w:p>
      <w:pPr>
        <w:pStyle w:val="BodyText"/>
      </w:pPr>
      <w:r>
        <w:rPr>
          <w:bCs/>
          <w:b/>
          <w:sz w:val="25"/>
        </w:rPr>
        <w:t xml:space="preserve">Who can edit:</w:t>
      </w:r>
      <w:r>
        <w:rPr>
          <w:sz w:val="25"/>
        </w:rPr>
        <w:t xml:space="preserve"> </w:t>
      </w:r>
      <w:r>
        <w:rPr>
          <w:sz w:val="25"/>
        </w:rPr>
        <w:t xml:space="preserve">RACSI grid edits are gated to whoever holds that capability on the Permission Matrix, by default Org-Admin-and-above; the process catalogs themselves are read-only for every role.</w:t>
      </w:r>
    </w:p>
    <w:p>
      <w:pPr>
        <w:pStyle w:val="BodyText"/>
      </w:pPr>
      <w:r>
        <w:rPr>
          <w:bCs/>
          <w:b/>
          <w:sz w:val="25"/>
        </w:rPr>
        <w:t xml:space="preserve">Key fields:</w:t>
      </w:r>
      <w:r>
        <w:rPr>
          <w:sz w:val="25"/>
        </w:rPr>
        <w:t xml:space="preserve"> </w:t>
      </w:r>
      <w:r>
        <w:rPr>
          <w:sz w:val="25"/>
        </w:rPr>
        <w:t xml:space="preserve">RACSI grid cell (role × macro process); Macro Process and End-to-End Process catalogs (read-only reference).</w:t>
      </w:r>
    </w:p>
    <w:bookmarkEnd w:id="75"/>
    <w:bookmarkStart w:id="76" w:name="m19-cm-charters"/>
    <w:p>
      <w:pPr>
        <w:pStyle w:val="Heading3"/>
      </w:pPr>
      <w:r>
        <w:rPr>
          <w:b/>
          <w:color w:val="3F827B"/>
          <w:sz w:val="29"/>
        </w:rPr>
        <w:t xml:space="preserve">M19 — CM Charters</w:t>
      </w:r>
    </w:p>
    <w:p>
      <w:pPr>
        <w:pStyle w:val="FirstParagraph"/>
      </w:pPr>
      <w:r>
        <w:rPr>
          <w:bCs/>
          <w:b/>
          <w:sz w:val="25"/>
        </w:rPr>
        <w:t xml:space="preserve">Purpose:</w:t>
      </w:r>
      <w:r>
        <w:rPr>
          <w:sz w:val="25"/>
        </w:rPr>
        <w:t xml:space="preserve"> </w:t>
      </w:r>
      <w:r>
        <w:rPr>
          <w:sz w:val="25"/>
        </w:rPr>
        <w:t xml:space="preserve">the 8 signed, trackable behavioral standards governing sponsorship, frontline engagement, communication, impact assessment, coaching and mentoring, and pulse/interview diagnostics — with concrete action mapping and a per-project compliance log, so charter governance is trackable, not just aspirational.</w:t>
      </w:r>
    </w:p>
    <w:p>
      <w:pPr>
        <w:pStyle w:val="BodyText"/>
      </w:pPr>
      <w:r>
        <w:rPr>
          <w:bCs/>
          <w:b/>
          <w:sz w:val="25"/>
        </w:rPr>
        <w:t xml:space="preserve">In the Bouregreg scenario:</w:t>
      </w:r>
      <w:r>
        <w:rPr>
          <w:sz w:val="25"/>
        </w:rPr>
        <w:t xml:space="preserve"> </w:t>
      </w:r>
      <w:r>
        <w:rPr>
          <w:sz w:val="25"/>
        </w:rPr>
        <w:t xml:space="preserve">the CFO’s Sponsor Charter is signed at kickoff and its compliance log tracks whether the CFO’s actual visible behavior (from M7) matches what was signed up to; new or revised Charters can be drafted here as Bouregreg Group’s own governance model matures.</w:t>
      </w:r>
    </w:p>
    <w:p>
      <w:pPr>
        <w:pStyle w:val="BodyText"/>
      </w:pPr>
      <w:r>
        <w:rPr>
          <w:bCs/>
          <w:b/>
          <w:sz w:val="25"/>
        </w:rPr>
        <w:t xml:space="preserve">Create / update / delete:</w:t>
      </w:r>
      <w:r>
        <w:rPr>
          <w:sz w:val="25"/>
        </w:rPr>
        <w:t xml:space="preserve"> </w:t>
      </w:r>
      <w:r>
        <w:rPr>
          <w:sz w:val="25"/>
        </w:rPr>
        <w:t xml:space="preserve">full Charter CRUD — create a new Charter, edit an existing one (including its RACSI, status, and review frequency), and delete one, though a Charter must be moved out of Active status (to Draft or Retired) before it can be deleted. Separately, log compliance actions against a Charter’s action mapping and delete individual log entries.</w:t>
      </w:r>
    </w:p>
    <w:p>
      <w:pPr>
        <w:pStyle w:val="BodyText"/>
      </w:pPr>
      <w:r>
        <w:rPr>
          <w:bCs/>
          <w:b/>
          <w:sz w:val="25"/>
        </w:rPr>
        <w:t xml:space="preserve">Who can edit:</w:t>
      </w:r>
      <w:r>
        <w:rPr>
          <w:sz w:val="25"/>
        </w:rPr>
        <w:t xml:space="preserve"> </w:t>
      </w:r>
      <w:r>
        <w:rPr>
          <w:sz w:val="25"/>
        </w:rPr>
        <w:t xml:space="preserve">Charter create/edit is gated to whoever holds Charter-management rights on the Permission Matrix; delete is further restricted to Org-Admin-and-above, matching the sensitivity of removing a governance record outright.</w:t>
      </w:r>
    </w:p>
    <w:p>
      <w:pPr>
        <w:pStyle w:val="BodyText"/>
      </w:pPr>
      <w:r>
        <w:rPr>
          <w:bCs/>
          <w:b/>
          <w:sz w:val="25"/>
        </w:rPr>
        <w:t xml:space="preserve">Key fields:</w:t>
      </w:r>
      <w:r>
        <w:rPr>
          <w:sz w:val="25"/>
        </w:rPr>
        <w:t xml:space="preserve"> </w:t>
      </w:r>
      <w:r>
        <w:rPr>
          <w:sz w:val="25"/>
        </w:rPr>
        <w:t xml:space="preserve">Charter name; category; RACSI (R/A/C/S/I); status (Active/Draft/Retired); version; effective date; review frequency; compliance-log entry.</w:t>
      </w:r>
    </w:p>
    <w:bookmarkEnd w:id="76"/>
    <w:bookmarkStart w:id="77" w:name="m20-journeys-analytics"/>
    <w:p>
      <w:pPr>
        <w:pStyle w:val="Heading3"/>
      </w:pPr>
      <w:r>
        <w:rPr>
          <w:b/>
          <w:color w:val="3F827B"/>
          <w:sz w:val="29"/>
        </w:rPr>
        <w:t xml:space="preserve">M20 — Journeys &amp; Analytics</w:t>
      </w:r>
    </w:p>
    <w:p>
      <w:pPr>
        <w:pStyle w:val="FirstParagraph"/>
      </w:pPr>
      <w:r>
        <w:rPr>
          <w:bCs/>
          <w:b/>
          <w:sz w:val="25"/>
        </w:rPr>
        <w:t xml:space="preserve">Purpose:</w:t>
      </w:r>
      <w:r>
        <w:rPr>
          <w:sz w:val="25"/>
        </w:rPr>
        <w:t xml:space="preserve"> </w:t>
      </w:r>
      <w:r>
        <w:rPr>
          <w:sz w:val="25"/>
        </w:rPr>
        <w:t xml:space="preserve">the experience-layer companion to the score-centric dashboards elsewhere in journi — 8 persona/exception/system journeys, their concrete touchpoints with success criteria and evidence, 5 journey analytics dashboards, and a project-context overlay distinguishing each case from the generic template.</w:t>
      </w:r>
    </w:p>
    <w:p>
      <w:pPr>
        <w:pStyle w:val="BodyText"/>
      </w:pPr>
      <w:r>
        <w:rPr>
          <w:bCs/>
          <w:b/>
          <w:sz w:val="25"/>
        </w:rPr>
        <w:t xml:space="preserve">In the Bouregreg scenario:</w:t>
      </w:r>
      <w:r>
        <w:rPr>
          <w:sz w:val="25"/>
        </w:rPr>
        <w:t xml:space="preserve"> </w:t>
      </w:r>
      <w:r>
        <w:rPr>
          <w:sz w:val="25"/>
        </w:rPr>
        <w:t xml:space="preserve">where a reader sees the End User’s actual journey through the ERP rollout — not as a score, but as a sequence of concrete touchpoints (first town hall, first login, first live transaction, first month using the new system unsupervised) each with its own success criteria and logged evidence, overlaid with Bouregreg’s real project context rather than the generic template.</w:t>
      </w:r>
    </w:p>
    <w:p>
      <w:pPr>
        <w:pStyle w:val="BodyText"/>
      </w:pPr>
      <w:r>
        <w:rPr>
          <w:bCs/>
          <w:b/>
          <w:sz w:val="25"/>
        </w:rPr>
        <w:t xml:space="preserve">Create / update / delete:</w:t>
      </w:r>
      <w:r>
        <w:rPr>
          <w:sz w:val="25"/>
        </w:rPr>
        <w:t xml:space="preserve"> </w:t>
      </w:r>
      <w:r>
        <w:rPr>
          <w:sz w:val="25"/>
        </w:rPr>
        <w:t xml:space="preserve">log evidence and mark success criteria met against a journey’s touchpoints for the current project; the 8 journey templates themselves are shared reference content.</w:t>
      </w:r>
    </w:p>
    <w:p>
      <w:pPr>
        <w:pStyle w:val="BodyText"/>
      </w:pPr>
      <w:r>
        <w:rPr>
          <w:bCs/>
          <w:b/>
          <w:sz w:val="25"/>
        </w:rPr>
        <w:t xml:space="preserve">Who can edit:</w:t>
      </w:r>
      <w:r>
        <w:rPr>
          <w:sz w:val="25"/>
        </w:rPr>
        <w:t xml:space="preserve"> </w:t>
      </w:r>
      <w:r>
        <w:rPr>
          <w:sz w:val="25"/>
        </w:rPr>
        <w:t xml:space="preserve">general write access for logging evidence; the underlying journey templates are read-only for every role.</w:t>
      </w:r>
    </w:p>
    <w:p>
      <w:pPr>
        <w:pStyle w:val="BodyText"/>
      </w:pPr>
      <w:r>
        <w:rPr>
          <w:bCs/>
          <w:b/>
          <w:sz w:val="25"/>
        </w:rPr>
        <w:t xml:space="preserve">Key fields:</w:t>
      </w:r>
      <w:r>
        <w:rPr>
          <w:sz w:val="25"/>
        </w:rPr>
        <w:t xml:space="preserve"> </w:t>
      </w:r>
      <w:r>
        <w:rPr>
          <w:sz w:val="25"/>
        </w:rPr>
        <w:t xml:space="preserve">Journey touchpoint; success criterion; logged evidence.</w:t>
      </w:r>
    </w:p>
    <w:p>
      <w:r>
        <w:rPr>
          <w:sz w:val="25"/>
        </w:rPr>
        <w:pict>
          <v:rect style="width:0;height:1.5pt" o:hralign="center" o:hrstd="t" o:hr="t"/>
        </w:pict>
      </w:r>
    </w:p>
    <w:p>
      <w:r>
        <w:rPr>
          <w:sz w:val="25"/>
        </w:rPr>
        <w:pict>
          <v:rect style="width:0;height:1.5pt" o:hralign="center" o:hrstd="t" o:hr="t"/>
        </w:pict>
      </w:r>
    </w:p>
    <w:p>
      <w:pPr>
        <w:pStyle w:val="FirstParagraph"/>
      </w:pPr>
    </w:p>
    <w:bookmarkEnd w:id="77"/>
    <w:bookmarkEnd w:id="78"/>
    <w:bookmarkStart w:id="91" w:name="X3a691c7b5e904e251e49707e934744bde62b737"/>
    <w:p>
      <w:pPr>
        <w:pStyle w:val="Heading2"/>
      </w:pPr>
      <w:r>
        <w:rPr>
          <w:b/>
          <w:color w:val="275650"/>
          <w:sz w:val="34"/>
        </w:rPr>
        <w:t xml:space="preserve">Part 3 — All 16 End-to-End Process Walkthroughs</w:t>
      </w:r>
    </w:p>
    <w:p>
      <w:pPr>
        <w:pStyle w:val="FirstParagraph"/>
      </w:pPr>
      <w:r>
        <w:rPr>
          <w:sz w:val="25"/>
        </w:rPr>
        <w:t xml:space="preserve">Module 18’s Process Registry holds 16 registered end-to-end chains: 4 core chains spanning the whole Change Management lifecycle, 4 cross-cutting loops that make an existing cross-module dependency explicit and traceable, and 8 transformation-type lifecycles — one per archetype, each with its own Phase Template in M17. Every chain is built from journi’s 10 Macro Processes (MP-01 through MP-10); this Part walks each of the 16 against Bouregreg Group’s data, and for the 8 transformation-type lifecycles, against the specific Change Management Project in Part 4 that archetype belongs to.</w:t>
      </w:r>
    </w:p>
    <w:bookmarkStart w:id="79" w:name="the-10-macro-processes-reference"/>
    <w:p>
      <w:pPr>
        <w:pStyle w:val="Heading3"/>
      </w:pPr>
      <w:r>
        <w:rPr>
          <w:b/>
          <w:color w:val="3F827B"/>
          <w:sz w:val="29"/>
        </w:rPr>
        <w:t xml:space="preserve">The 10 Macro Processes (reference)</w:t>
      </w:r>
    </w:p>
    <w:tbl>
      <w:tblPr>
        <w:tblStyle w:val="Table"/>
        <w:tblW w:type="auto" w:w="0"/>
        <w:tblLook w:firstRow="1" w:lastRow="0" w:firstColumn="0" w:lastColumn="0" w:noHBand="0" w:noVBand="0" w:val="0020"/>
        <w:jc w:val="start"/>
      </w:tblPr>
      <w:tblGrid>
        <w:gridCol w:w="3960"/>
        <w:gridCol w:w="3960"/>
      </w:tblGrid>
      <w:tr>
        <w:trPr>
          <w:tblHeader w:val="true"/>
          <w:cantSplit/>
        </w:trPr>
        <w:tc>
          <w:tcPr>
            <w:shd w:val="clear" w:fill="1F4B45"/>
          </w:tcPr>
          <w:p>
            <w:pPr>
              <w:pStyle w:val="Compact"/>
              <w:jc w:val="left"/>
            </w:pPr>
            <w:r>
              <w:rPr>
                <w:b/>
                <w:color w:val="FFFFFF"/>
                <w:sz w:val="22"/>
              </w:rPr>
              <w:t xml:space="preserve">Code</w:t>
            </w:r>
          </w:p>
        </w:tc>
        <w:tc>
          <w:tcPr>
            <w:shd w:val="clear" w:fill="1F4B45"/>
          </w:tcPr>
          <w:p>
            <w:pPr>
              <w:pStyle w:val="Compact"/>
              <w:jc w:val="left"/>
            </w:pPr>
            <w:r>
              <w:rPr>
                <w:b/>
                <w:color w:val="FFFFFF"/>
                <w:sz w:val="22"/>
              </w:rPr>
              <w:t xml:space="preserve">Macro Process</w:t>
            </w:r>
          </w:p>
        </w:tc>
      </w:tr>
      <w:tr>
        <w:trPr>
          <w:cantSplit/>
        </w:trPr>
        <w:tc>
          <w:tcPr/>
          <w:p>
            <w:pPr>
              <w:pStyle w:val="Compact"/>
              <w:jc w:val="left"/>
            </w:pPr>
            <w:r>
              <w:rPr>
                <w:sz w:val="22"/>
              </w:rPr>
              <w:t xml:space="preserve">MP-01</w:t>
            </w:r>
          </w:p>
        </w:tc>
        <w:tc>
          <w:tcPr/>
          <w:p>
            <w:pPr>
              <w:pStyle w:val="Compact"/>
              <w:jc w:val="left"/>
            </w:pPr>
            <w:r>
              <w:rPr>
                <w:sz w:val="22"/>
              </w:rPr>
              <w:t xml:space="preserve">Change Impact &amp; Stakeholder Assessment</w:t>
            </w:r>
          </w:p>
        </w:tc>
      </w:tr>
      <w:tr>
        <w:trPr>
          <w:cantSplit/>
        </w:trPr>
        <w:tc>
          <w:tcPr/>
          <w:p>
            <w:pPr>
              <w:pStyle w:val="Compact"/>
              <w:jc w:val="left"/>
            </w:pPr>
            <w:r>
              <w:rPr>
                <w:sz w:val="22"/>
              </w:rPr>
              <w:t xml:space="preserve">MP-02</w:t>
            </w:r>
          </w:p>
        </w:tc>
        <w:tc>
          <w:tcPr/>
          <w:p>
            <w:pPr>
              <w:pStyle w:val="Compact"/>
              <w:jc w:val="left"/>
            </w:pPr>
            <w:r>
              <w:rPr>
                <w:sz w:val="22"/>
              </w:rPr>
              <w:t xml:space="preserve">Sponsorship &amp; Governance Management</w:t>
            </w:r>
          </w:p>
        </w:tc>
      </w:tr>
      <w:tr>
        <w:trPr>
          <w:cantSplit/>
        </w:trPr>
        <w:tc>
          <w:tcPr/>
          <w:p>
            <w:pPr>
              <w:pStyle w:val="Compact"/>
              <w:jc w:val="left"/>
            </w:pPr>
            <w:r>
              <w:rPr>
                <w:sz w:val="22"/>
              </w:rPr>
              <w:t xml:space="preserve">MP-03</w:t>
            </w:r>
          </w:p>
        </w:tc>
        <w:tc>
          <w:tcPr/>
          <w:p>
            <w:pPr>
              <w:pStyle w:val="Compact"/>
              <w:jc w:val="left"/>
            </w:pPr>
            <w:r>
              <w:rPr>
                <w:sz w:val="22"/>
              </w:rPr>
              <w:t xml:space="preserve">Communication &amp; Awareness Management</w:t>
            </w:r>
          </w:p>
        </w:tc>
      </w:tr>
      <w:tr>
        <w:trPr>
          <w:cantSplit/>
        </w:trPr>
        <w:tc>
          <w:tcPr/>
          <w:p>
            <w:pPr>
              <w:pStyle w:val="Compact"/>
              <w:jc w:val="left"/>
            </w:pPr>
            <w:r>
              <w:rPr>
                <w:sz w:val="22"/>
              </w:rPr>
              <w:t xml:space="preserve">MP-04</w:t>
            </w:r>
          </w:p>
        </w:tc>
        <w:tc>
          <w:tcPr/>
          <w:p>
            <w:pPr>
              <w:pStyle w:val="Compact"/>
              <w:jc w:val="left"/>
            </w:pPr>
            <w:r>
              <w:rPr>
                <w:sz w:val="22"/>
              </w:rPr>
              <w:t xml:space="preserve">Resistance &amp; Barrier Management</w:t>
            </w:r>
          </w:p>
        </w:tc>
      </w:tr>
      <w:tr>
        <w:trPr>
          <w:cantSplit/>
        </w:trPr>
        <w:tc>
          <w:tcPr/>
          <w:p>
            <w:pPr>
              <w:pStyle w:val="Compact"/>
              <w:jc w:val="left"/>
            </w:pPr>
            <w:r>
              <w:rPr>
                <w:sz w:val="22"/>
              </w:rPr>
              <w:t xml:space="preserve">MP-05</w:t>
            </w:r>
          </w:p>
        </w:tc>
        <w:tc>
          <w:tcPr/>
          <w:p>
            <w:pPr>
              <w:pStyle w:val="Compact"/>
              <w:jc w:val="left"/>
            </w:pPr>
            <w:r>
              <w:rPr>
                <w:sz w:val="22"/>
              </w:rPr>
              <w:t xml:space="preserve">Training &amp; Capability Enablement</w:t>
            </w:r>
          </w:p>
        </w:tc>
      </w:tr>
      <w:tr>
        <w:trPr>
          <w:cantSplit/>
        </w:trPr>
        <w:tc>
          <w:tcPr/>
          <w:p>
            <w:pPr>
              <w:pStyle w:val="Compact"/>
              <w:jc w:val="left"/>
            </w:pPr>
            <w:r>
              <w:rPr>
                <w:sz w:val="22"/>
              </w:rPr>
              <w:t xml:space="preserve">MP-06</w:t>
            </w:r>
          </w:p>
        </w:tc>
        <w:tc>
          <w:tcPr/>
          <w:p>
            <w:pPr>
              <w:pStyle w:val="Compact"/>
              <w:jc w:val="left"/>
            </w:pPr>
            <w:r>
              <w:rPr>
                <w:sz w:val="22"/>
              </w:rPr>
              <w:t xml:space="preserve">Champion Network Management</w:t>
            </w:r>
          </w:p>
        </w:tc>
      </w:tr>
      <w:tr>
        <w:trPr>
          <w:cantSplit/>
        </w:trPr>
        <w:tc>
          <w:tcPr/>
          <w:p>
            <w:pPr>
              <w:pStyle w:val="Compact"/>
              <w:jc w:val="left"/>
            </w:pPr>
            <w:r>
              <w:rPr>
                <w:sz w:val="22"/>
              </w:rPr>
              <w:t xml:space="preserve">MP-07</w:t>
            </w:r>
          </w:p>
        </w:tc>
        <w:tc>
          <w:tcPr/>
          <w:p>
            <w:pPr>
              <w:pStyle w:val="Compact"/>
              <w:jc w:val="left"/>
            </w:pPr>
            <w:r>
              <w:rPr>
                <w:sz w:val="22"/>
              </w:rPr>
              <w:t xml:space="preserve">Readiness Diagnostics &amp; Signal Capture</w:t>
            </w:r>
          </w:p>
        </w:tc>
      </w:tr>
      <w:tr>
        <w:trPr>
          <w:cantSplit/>
        </w:trPr>
        <w:tc>
          <w:tcPr/>
          <w:p>
            <w:pPr>
              <w:pStyle w:val="Compact"/>
              <w:jc w:val="left"/>
            </w:pPr>
            <w:r>
              <w:rPr>
                <w:sz w:val="22"/>
              </w:rPr>
              <w:t xml:space="preserve">MP-08</w:t>
            </w:r>
          </w:p>
        </w:tc>
        <w:tc>
          <w:tcPr/>
          <w:p>
            <w:pPr>
              <w:pStyle w:val="Compact"/>
              <w:jc w:val="left"/>
            </w:pPr>
            <w:r>
              <w:rPr>
                <w:sz w:val="22"/>
              </w:rPr>
              <w:t xml:space="preserve">Divergence &amp; Risk Detection</w:t>
            </w:r>
          </w:p>
        </w:tc>
      </w:tr>
      <w:tr>
        <w:trPr>
          <w:cantSplit/>
        </w:trPr>
        <w:tc>
          <w:tcPr/>
          <w:p>
            <w:pPr>
              <w:pStyle w:val="Compact"/>
              <w:jc w:val="left"/>
            </w:pPr>
            <w:r>
              <w:rPr>
                <w:sz w:val="22"/>
              </w:rPr>
              <w:t xml:space="preserve">MP-09</w:t>
            </w:r>
          </w:p>
        </w:tc>
        <w:tc>
          <w:tcPr/>
          <w:p>
            <w:pPr>
              <w:pStyle w:val="Compact"/>
              <w:jc w:val="left"/>
            </w:pPr>
            <w:r>
              <w:rPr>
                <w:sz w:val="22"/>
              </w:rPr>
              <w:t xml:space="preserve">Hypercare &amp; Floor Coaching Support</w:t>
            </w:r>
          </w:p>
        </w:tc>
      </w:tr>
      <w:tr>
        <w:trPr>
          <w:cantSplit/>
        </w:trPr>
        <w:tc>
          <w:tcPr/>
          <w:p>
            <w:pPr>
              <w:pStyle w:val="Compact"/>
              <w:jc w:val="left"/>
            </w:pPr>
            <w:r>
              <w:rPr>
                <w:sz w:val="22"/>
              </w:rPr>
              <w:t xml:space="preserve">MP-10</w:t>
            </w:r>
          </w:p>
        </w:tc>
        <w:tc>
          <w:tcPr/>
          <w:p>
            <w:pPr>
              <w:pStyle w:val="Compact"/>
              <w:jc w:val="left"/>
            </w:pPr>
            <w:r>
              <w:rPr>
                <w:sz w:val="22"/>
              </w:rPr>
              <w:t xml:space="preserve">Reinforcement &amp; Sustainment Management</w:t>
            </w:r>
          </w:p>
        </w:tc>
      </w:tr>
    </w:tbl>
    <w:bookmarkEnd w:id="79"/>
    <w:bookmarkStart w:id="84" w:name="core-chains-e2e-01-e2e-04"/>
    <w:p>
      <w:pPr>
        <w:pStyle w:val="Heading3"/>
      </w:pPr>
      <w:r>
        <w:rPr>
          <w:b/>
          <w:color w:val="3F827B"/>
          <w:sz w:val="29"/>
        </w:rPr>
        <w:t xml:space="preserve">Core Chains (E2E-01 — E2E-04)</w:t>
      </w:r>
    </w:p>
    <w:bookmarkStart w:id="80" w:name="Xdd0f15b280f76ef8f06812aee34f7e528fe2da1"/>
    <w:p>
      <w:pPr>
        <w:pStyle w:val="Heading4"/>
      </w:pPr>
      <w:r>
        <w:rPr>
          <w:b/>
          <w:color w:val="5A8F89"/>
          <w:sz w:val="26"/>
        </w:rPr>
        <w:t xml:space="preserve">E2E-01 — Readiness &amp; Mobilization (Awareness → Launch-Readiness)</w:t>
      </w:r>
    </w:p>
    <w:p>
      <w:pPr>
        <w:pStyle w:val="FirstParagraph"/>
      </w:pPr>
      <w:r>
        <w:rPr>
          <w:bCs/>
          <w:b/>
          <w:sz w:val="25"/>
        </w:rPr>
        <w:t xml:space="preserve">Composition:</w:t>
      </w:r>
      <w:r>
        <w:rPr>
          <w:sz w:val="25"/>
        </w:rPr>
        <w:t xml:space="preserve"> </w:t>
      </w:r>
      <w:r>
        <w:rPr>
          <w:sz w:val="25"/>
        </w:rPr>
        <w:t xml:space="preserve">MP-01 → MP-02 → MP-03 → MP-06 → MP-07 ·</w:t>
      </w:r>
      <w:r>
        <w:rPr>
          <w:sz w:val="25"/>
        </w:rPr>
        <w:t xml:space="preserve"> </w:t>
      </w:r>
      <w:r>
        <w:rPr>
          <w:bCs/>
          <w:b/>
          <w:sz w:val="25"/>
        </w:rPr>
        <w:t xml:space="preserve">Trigger:</w:t>
      </w:r>
      <w:r>
        <w:rPr>
          <w:sz w:val="25"/>
        </w:rPr>
        <w:t xml:space="preserve"> </w:t>
      </w:r>
      <w:r>
        <w:rPr>
          <w:sz w:val="25"/>
        </w:rPr>
        <w:t xml:space="preserve">business case and stakeholder map opened ·</w:t>
      </w:r>
      <w:r>
        <w:rPr>
          <w:sz w:val="25"/>
        </w:rPr>
        <w:t xml:space="preserve"> </w:t>
      </w:r>
      <w:r>
        <w:rPr>
          <w:bCs/>
          <w:b/>
          <w:sz w:val="25"/>
        </w:rPr>
        <w:t xml:space="preserve">Terminal state:</w:t>
      </w:r>
      <w:r>
        <w:rPr>
          <w:sz w:val="25"/>
        </w:rPr>
        <w:t xml:space="preserve"> </w:t>
      </w:r>
      <w:r>
        <w:rPr>
          <w:sz w:val="25"/>
        </w:rPr>
        <w:t xml:space="preserve">mobilized sponsorship, informed and diagnosed population, active champion network ·</w:t>
      </w:r>
      <w:r>
        <w:rPr>
          <w:sz w:val="25"/>
        </w:rPr>
        <w:t xml:space="preserve"> </w:t>
      </w:r>
      <w:r>
        <w:rPr>
          <w:bCs/>
          <w:b/>
          <w:sz w:val="25"/>
        </w:rPr>
        <w:t xml:space="preserve">RACSI:</w:t>
      </w:r>
      <w:r>
        <w:rPr>
          <w:sz w:val="25"/>
        </w:rPr>
        <w:t xml:space="preserve"> </w:t>
      </w:r>
      <w:r>
        <w:rPr>
          <w:sz w:val="25"/>
        </w:rPr>
        <w:t xml:space="preserve">R=CM, A=ES, C=FPO/PM, S=SUP, I=EU</w:t>
      </w:r>
    </w:p>
    <w:p>
      <w:pPr>
        <w:pStyle w:val="BodyText"/>
      </w:pPr>
      <w:r>
        <w:rPr>
          <w:bCs/>
          <w:b/>
          <w:sz w:val="25"/>
        </w:rPr>
        <w:t xml:space="preserve">In the Bouregreg scenario:</w:t>
      </w:r>
      <w:r>
        <w:rPr>
          <w:sz w:val="25"/>
        </w:rPr>
        <w:t xml:space="preserve"> </w:t>
      </w:r>
      <w:r>
        <w:rPr>
          <w:sz w:val="25"/>
        </w:rPr>
        <w:t xml:space="preserve">Meryem Sabri opens the Stakeholder Map (M4) for all three sites (MP-01); the CFO’s Sponsor roadmap and Steering Committee are stood up on M7 (MP-02); Driss El Amrani launches the kickoff communications wave on M8 (MP-03); the champion network across Casablanca, Kenitra, and Settat is recruited and logged on M4 (MP-06); and the baseline ADKAR/Bridges/Kübler-Ross pulse is read on M5/M6 (MP-07). The chain closes when the CFO’s sponsorship is visibly active, the population is informed, and the champion network is live — exactly the state Part 1’s tenant setup ends at.</w:t>
      </w:r>
    </w:p>
    <w:p>
      <w:pPr>
        <w:pStyle w:val="BodyText"/>
      </w:pPr>
      <w:r>
        <w:rPr>
          <w:bCs/>
          <w:b/>
          <w:sz w:val="25"/>
        </w:rPr>
        <w:t xml:space="preserve">Week reference:</w:t>
      </w:r>
      <w:r>
        <w:rPr>
          <w:sz w:val="25"/>
        </w:rPr>
        <w:t xml:space="preserve"> </w:t>
      </w:r>
      <w:r>
        <w:rPr>
          <w:sz w:val="25"/>
        </w:rPr>
        <w:t xml:space="preserve">W1–14, spanning Discovery and Design (Part 1B.3, Phases 1–2) — the same window Part 1B.6’s Month 1–3 narrative covers.</w:t>
      </w:r>
    </w:p>
    <w:bookmarkEnd w:id="80"/>
    <w:bookmarkStart w:id="81" w:name="X102d98e98069ee5353b9ffb28a6892e1ec4d314"/>
    <w:p>
      <w:pPr>
        <w:pStyle w:val="Heading4"/>
      </w:pPr>
      <w:r>
        <w:rPr>
          <w:b/>
          <w:color w:val="5A8F89"/>
          <w:sz w:val="26"/>
        </w:rPr>
        <w:t xml:space="preserve">E2E-02 — Capability &amp; Divergence Management (Training → Verified Competence)</w:t>
      </w:r>
    </w:p>
    <w:p>
      <w:pPr>
        <w:pStyle w:val="FirstParagraph"/>
      </w:pPr>
      <w:r>
        <w:rPr>
          <w:bCs/>
          <w:b/>
          <w:sz w:val="25"/>
        </w:rPr>
        <w:t xml:space="preserve">Composition:</w:t>
      </w:r>
      <w:r>
        <w:rPr>
          <w:sz w:val="25"/>
        </w:rPr>
        <w:t xml:space="preserve"> </w:t>
      </w:r>
      <w:r>
        <w:rPr>
          <w:sz w:val="25"/>
        </w:rPr>
        <w:t xml:space="preserve">MP-05 → MP-08 → MP-07 ·</w:t>
      </w:r>
      <w:r>
        <w:rPr>
          <w:sz w:val="25"/>
        </w:rPr>
        <w:t xml:space="preserve"> </w:t>
      </w:r>
      <w:r>
        <w:rPr>
          <w:bCs/>
          <w:b/>
          <w:sz w:val="25"/>
        </w:rPr>
        <w:t xml:space="preserve">Trigger:</w:t>
      </w:r>
      <w:r>
        <w:rPr>
          <w:sz w:val="25"/>
        </w:rPr>
        <w:t xml:space="preserve"> </w:t>
      </w:r>
      <w:r>
        <w:rPr>
          <w:sz w:val="25"/>
        </w:rPr>
        <w:t xml:space="preserve">curriculum, sandbox, and cohort segmentation confirmed from E2E-01 ·</w:t>
      </w:r>
      <w:r>
        <w:rPr>
          <w:sz w:val="25"/>
        </w:rPr>
        <w:t xml:space="preserve"> </w:t>
      </w:r>
      <w:r>
        <w:rPr>
          <w:bCs/>
          <w:b/>
          <w:sz w:val="25"/>
        </w:rPr>
        <w:t xml:space="preserve">Terminal state:</w:t>
      </w:r>
      <w:r>
        <w:rPr>
          <w:sz w:val="25"/>
        </w:rPr>
        <w:t xml:space="preserve"> </w:t>
      </w:r>
      <w:r>
        <w:rPr>
          <w:sz w:val="25"/>
        </w:rPr>
        <w:t xml:space="preserve">verified capable and emotionally-ready cohorts; Divergence Pattern log ·</w:t>
      </w:r>
      <w:r>
        <w:rPr>
          <w:sz w:val="25"/>
        </w:rPr>
        <w:t xml:space="preserve"> </w:t>
      </w:r>
      <w:r>
        <w:rPr>
          <w:bCs/>
          <w:b/>
          <w:sz w:val="25"/>
        </w:rPr>
        <w:t xml:space="preserve">RACSI:</w:t>
      </w:r>
      <w:r>
        <w:rPr>
          <w:sz w:val="25"/>
        </w:rPr>
        <w:t xml:space="preserve"> </w:t>
      </w:r>
      <w:r>
        <w:rPr>
          <w:sz w:val="25"/>
        </w:rPr>
        <w:t xml:space="preserve">R=CM, A=CM, C=FPO/ITL, S=PM/SUP, I=ES/EU</w:t>
      </w:r>
    </w:p>
    <w:p>
      <w:pPr>
        <w:pStyle w:val="BodyText"/>
      </w:pPr>
      <w:r>
        <w:rPr>
          <w:bCs/>
          <w:b/>
          <w:sz w:val="25"/>
        </w:rPr>
        <w:t xml:space="preserve">In the Bouregreg scenario:</w:t>
      </w:r>
      <w:r>
        <w:rPr>
          <w:sz w:val="25"/>
        </w:rPr>
        <w:t xml:space="preserve"> </w:t>
      </w:r>
      <w:r>
        <w:rPr>
          <w:sz w:val="25"/>
        </w:rPr>
        <w:t xml:space="preserve">the training curriculum built for Casablanca finance, Kenitra plant operations, and Settat plant operations runs through M9 (MP-05); as cohorts show real Knowledge/Ability scores on M5, the Divergence Pattern Detector cross-checks them against the Bridges reading on M6 (MP-08); the result feeds back into the readiness diagnostics on M5/M6/M14 (MP-07). This is the chain a Change Manager runs at UAT time — the first point a cohort’s paper knowledge and their actual emotional readiness can visibly diverge.</w:t>
      </w:r>
    </w:p>
    <w:p>
      <w:pPr>
        <w:pStyle w:val="BodyText"/>
      </w:pPr>
      <w:r>
        <w:rPr>
          <w:bCs/>
          <w:b/>
          <w:sz w:val="25"/>
        </w:rPr>
        <w:t xml:space="preserve">Week reference:</w:t>
      </w:r>
      <w:r>
        <w:rPr>
          <w:sz w:val="25"/>
        </w:rPr>
        <w:t xml:space="preserve"> </w:t>
      </w:r>
      <w:r>
        <w:rPr>
          <w:sz w:val="25"/>
        </w:rPr>
        <w:t xml:space="preserve">W28–42, spanning Test and Train (Phases 4–5) — the exact window Exception E2 (Part 1B.4) fires in, Month 8 of Part 1B.6’s narrative.</w:t>
      </w:r>
    </w:p>
    <w:bookmarkEnd w:id="81"/>
    <w:bookmarkStart w:id="82" w:name="Xf7155a6f5c22b3c8b7321cba8536c1b62ce4ef0"/>
    <w:p>
      <w:pPr>
        <w:pStyle w:val="Heading4"/>
      </w:pPr>
      <w:r>
        <w:rPr>
          <w:b/>
          <w:color w:val="5A8F89"/>
          <w:sz w:val="26"/>
        </w:rPr>
        <w:t xml:space="preserve">E2E-03 — Resistance-to-Commitment (Barrier Detection → Buy-In)</w:t>
      </w:r>
    </w:p>
    <w:p>
      <w:pPr>
        <w:pStyle w:val="FirstParagraph"/>
      </w:pPr>
      <w:r>
        <w:rPr>
          <w:bCs/>
          <w:b/>
          <w:sz w:val="25"/>
        </w:rPr>
        <w:t xml:space="preserve">Composition:</w:t>
      </w:r>
      <w:r>
        <w:rPr>
          <w:sz w:val="25"/>
        </w:rPr>
        <w:t xml:space="preserve"> </w:t>
      </w:r>
      <w:r>
        <w:rPr>
          <w:sz w:val="25"/>
        </w:rPr>
        <w:t xml:space="preserve">MP-04 → MP-06 → MP-07 → MP-09 ·</w:t>
      </w:r>
      <w:r>
        <w:rPr>
          <w:sz w:val="25"/>
        </w:rPr>
        <w:t xml:space="preserve"> </w:t>
      </w:r>
      <w:r>
        <w:rPr>
          <w:bCs/>
          <w:b/>
          <w:sz w:val="25"/>
        </w:rPr>
        <w:t xml:space="preserve">Trigger:</w:t>
      </w:r>
      <w:r>
        <w:rPr>
          <w:sz w:val="25"/>
        </w:rPr>
        <w:t xml:space="preserve"> </w:t>
      </w:r>
      <w:r>
        <w:rPr>
          <w:sz w:val="25"/>
        </w:rPr>
        <w:t xml:space="preserve">a stalled Desire score or negative sentiment pulse is first logged ·</w:t>
      </w:r>
      <w:r>
        <w:rPr>
          <w:sz w:val="25"/>
        </w:rPr>
        <w:t xml:space="preserve"> </w:t>
      </w:r>
      <w:r>
        <w:rPr>
          <w:bCs/>
          <w:b/>
          <w:sz w:val="25"/>
        </w:rPr>
        <w:t xml:space="preserve">Terminal state:</w:t>
      </w:r>
      <w:r>
        <w:rPr>
          <w:sz w:val="25"/>
        </w:rPr>
        <w:t xml:space="preserve"> </w:t>
      </w:r>
      <w:r>
        <w:rPr>
          <w:sz w:val="25"/>
        </w:rPr>
        <w:t xml:space="preserve">resolved barriers; recovered Desire/sentiment scores; sustained commitment ·</w:t>
      </w:r>
      <w:r>
        <w:rPr>
          <w:sz w:val="25"/>
        </w:rPr>
        <w:t xml:space="preserve"> </w:t>
      </w:r>
      <w:r>
        <w:rPr>
          <w:bCs/>
          <w:b/>
          <w:sz w:val="25"/>
        </w:rPr>
        <w:t xml:space="preserve">RACSI:</w:t>
      </w:r>
      <w:r>
        <w:rPr>
          <w:sz w:val="25"/>
        </w:rPr>
        <w:t xml:space="preserve"> </w:t>
      </w:r>
      <w:r>
        <w:rPr>
          <w:sz w:val="25"/>
        </w:rPr>
        <w:t xml:space="preserve">R=CM, A=CM, C=ES/SUP, S=PM, I=FPO/EU</w:t>
      </w:r>
    </w:p>
    <w:p>
      <w:pPr>
        <w:pStyle w:val="BodyText"/>
      </w:pPr>
      <w:r>
        <w:rPr>
          <w:bCs/>
          <w:b/>
          <w:sz w:val="25"/>
        </w:rPr>
        <w:t xml:space="preserve">In the Bouregreg scenario:</w:t>
      </w:r>
      <w:r>
        <w:rPr>
          <w:sz w:val="25"/>
        </w:rPr>
        <w:t xml:space="preserve"> </w:t>
      </w:r>
      <w:r>
        <w:rPr>
          <w:sz w:val="25"/>
        </w:rPr>
        <w:t xml:space="preserve">when Settat’s plant floor logs a Desire score of 2 or below on M5, it auto-escalates and is logged as a barrier on M10 (MP-04); the champion network on M4 surfaces the underlying concern (MP-06); the readiness diagnostics on M5/M6 register the drop (MP-07); and Houda Zerouali’s floor-coaching response on M11 is what actually moves the score back up (MP-09). This chain is the backbone of Part 4’s compliance and cultural scenarios below, where resistance is the central story rather than a side event.</w:t>
      </w:r>
    </w:p>
    <w:p>
      <w:pPr>
        <w:pStyle w:val="BodyText"/>
      </w:pPr>
      <w:r>
        <w:rPr>
          <w:bCs/>
          <w:b/>
          <w:sz w:val="25"/>
        </w:rPr>
        <w:t xml:space="preserve">Week reference:</w:t>
      </w:r>
      <w:r>
        <w:rPr>
          <w:sz w:val="25"/>
        </w:rPr>
        <w:t xml:space="preserve"> </w:t>
      </w:r>
      <w:r>
        <w:rPr>
          <w:sz w:val="25"/>
        </w:rPr>
        <w:t xml:space="preserve">first opens W18–22 (Build, Phase 3) with Exception E1, and recurs at any later point a Desire or sentiment score stalls — see also the Order-to-Cash and Settat Restructuring cases in Part 4, both built around this exact chain.</w:t>
      </w:r>
    </w:p>
    <w:bookmarkEnd w:id="82"/>
    <w:bookmarkStart w:id="83" w:name="X45b7bee2c9af545f78ba5e1ca9e039e3d7fb2c7"/>
    <w:p>
      <w:pPr>
        <w:pStyle w:val="Heading4"/>
      </w:pPr>
      <w:r>
        <w:rPr>
          <w:b/>
          <w:color w:val="5A8F89"/>
          <w:sz w:val="26"/>
        </w:rPr>
        <w:t xml:space="preserve">E2E-04 — Adoption-to-Sustainment (Go-Live → Refreeze)</w:t>
      </w:r>
    </w:p>
    <w:p>
      <w:pPr>
        <w:pStyle w:val="FirstParagraph"/>
      </w:pPr>
      <w:r>
        <w:rPr>
          <w:bCs/>
          <w:b/>
          <w:sz w:val="25"/>
        </w:rPr>
        <w:t xml:space="preserve">Composition:</w:t>
      </w:r>
      <w:r>
        <w:rPr>
          <w:sz w:val="25"/>
        </w:rPr>
        <w:t xml:space="preserve"> </w:t>
      </w:r>
      <w:r>
        <w:rPr>
          <w:sz w:val="25"/>
        </w:rPr>
        <w:t xml:space="preserve">MP-09 → MP-10 → MP-07 ·</w:t>
      </w:r>
      <w:r>
        <w:rPr>
          <w:sz w:val="25"/>
        </w:rPr>
        <w:t xml:space="preserve"> </w:t>
      </w:r>
      <w:r>
        <w:rPr>
          <w:bCs/>
          <w:b/>
          <w:sz w:val="25"/>
        </w:rPr>
        <w:t xml:space="preserve">Trigger:</w:t>
      </w:r>
      <w:r>
        <w:rPr>
          <w:sz w:val="25"/>
        </w:rPr>
        <w:t xml:space="preserve"> </w:t>
      </w:r>
      <w:r>
        <w:rPr>
          <w:sz w:val="25"/>
        </w:rPr>
        <w:t xml:space="preserve">go-live cutover executed ·</w:t>
      </w:r>
      <w:r>
        <w:rPr>
          <w:sz w:val="25"/>
        </w:rPr>
        <w:t xml:space="preserve"> </w:t>
      </w:r>
      <w:r>
        <w:rPr>
          <w:bCs/>
          <w:b/>
          <w:sz w:val="25"/>
        </w:rPr>
        <w:t xml:space="preserve">Terminal state:</w:t>
      </w:r>
      <w:r>
        <w:rPr>
          <w:sz w:val="25"/>
        </w:rPr>
        <w:t xml:space="preserve"> </w:t>
      </w:r>
      <w:r>
        <w:rPr>
          <w:sz w:val="25"/>
        </w:rPr>
        <w:t xml:space="preserve">stabilized new-normal performance; embedded reinforcement; confirmed Refreeze; closed project ·</w:t>
      </w:r>
      <w:r>
        <w:rPr>
          <w:sz w:val="25"/>
        </w:rPr>
        <w:t xml:space="preserve"> </w:t>
      </w:r>
      <w:r>
        <w:rPr>
          <w:bCs/>
          <w:b/>
          <w:sz w:val="25"/>
        </w:rPr>
        <w:t xml:space="preserve">RACSI:</w:t>
      </w:r>
      <w:r>
        <w:rPr>
          <w:sz w:val="25"/>
        </w:rPr>
        <w:t xml:space="preserve"> </w:t>
      </w:r>
      <w:r>
        <w:rPr>
          <w:sz w:val="25"/>
        </w:rPr>
        <w:t xml:space="preserve">R=CM, A=ES, C=PM/FPO, S=SUP, I=ITL/EU</w:t>
      </w:r>
    </w:p>
    <w:p>
      <w:pPr>
        <w:pStyle w:val="BodyText"/>
      </w:pPr>
      <w:r>
        <w:rPr>
          <w:bCs/>
          <w:b/>
          <w:sz w:val="25"/>
        </w:rPr>
        <w:t xml:space="preserve">In the Bouregreg scenario:</w:t>
      </w:r>
      <w:r>
        <w:rPr>
          <w:sz w:val="25"/>
        </w:rPr>
        <w:t xml:space="preserve"> </w:t>
      </w:r>
      <w:r>
        <w:rPr>
          <w:sz w:val="25"/>
        </w:rPr>
        <w:t xml:space="preserve">from ERP go-live day, hypercare and floor coaching run on M11/M12 (MP-09); reinforcement mechanisms — recognition, manager check-ins, revoked legacy-system access — are confirmed active on M12 (MP-10); and the Lewin phase is only called</w:t>
      </w:r>
      <w:r>
        <w:rPr>
          <w:sz w:val="25"/>
        </w:rPr>
        <w:t xml:space="preserve"> </w:t>
      </w:r>
      <w:r>
        <w:rPr>
          <w:sz w:val="25"/>
        </w:rPr>
        <w:t xml:space="preserve">“</w:t>
      </w:r>
      <w:r>
        <w:rPr>
          <w:sz w:val="25"/>
        </w:rPr>
        <w:t xml:space="preserve">Refreeze</w:t>
      </w:r>
      <w:r>
        <w:rPr>
          <w:sz w:val="25"/>
        </w:rPr>
        <w:t xml:space="preserve">”</w:t>
      </w:r>
      <w:r>
        <w:rPr>
          <w:sz w:val="25"/>
        </w:rPr>
        <w:t xml:space="preserve"> </w:t>
      </w:r>
      <w:r>
        <w:rPr>
          <w:sz w:val="25"/>
        </w:rPr>
        <w:t xml:space="preserve">on M3 once the readiness diagnostics on M14 support it, not on the calendar date (MP-07). This is the same discipline the ERP User Guide’s Exception E3 (Two-Clock Problem) and Exception E5 (Reinforcement Gap) protect against.</w:t>
      </w:r>
    </w:p>
    <w:p>
      <w:pPr>
        <w:pStyle w:val="BodyText"/>
      </w:pPr>
      <w:r>
        <w:rPr>
          <w:bCs/>
          <w:b/>
          <w:sz w:val="25"/>
        </w:rPr>
        <w:t xml:space="preserve">Week reference:</w:t>
      </w:r>
      <w:r>
        <w:rPr>
          <w:sz w:val="25"/>
        </w:rPr>
        <w:t xml:space="preserve"> </w:t>
      </w:r>
      <w:r>
        <w:rPr>
          <w:sz w:val="25"/>
        </w:rPr>
        <w:t xml:space="preserve">W43 through W64, spanning Deploy, Hypercare, and Sustain (Phases 6–8) — the closing third of Part 1B.6’s month-by-month narrative, Months 11 through 14.</w:t>
      </w:r>
    </w:p>
    <w:bookmarkEnd w:id="83"/>
    <w:bookmarkEnd w:id="84"/>
    <w:bookmarkStart w:id="89" w:name="cross-cutting-loops-e2e-05-e2e-08"/>
    <w:p>
      <w:pPr>
        <w:pStyle w:val="Heading3"/>
      </w:pPr>
      <w:r>
        <w:rPr>
          <w:b/>
          <w:color w:val="3F827B"/>
          <w:sz w:val="29"/>
        </w:rPr>
        <w:t xml:space="preserve">Cross-Cutting Loops (E2E-05 — E2E-08)</w:t>
      </w:r>
    </w:p>
    <w:bookmarkStart w:id="85" w:name="e2e-05-signal-aggregation-loop"/>
    <w:p>
      <w:pPr>
        <w:pStyle w:val="Heading4"/>
      </w:pPr>
      <w:r>
        <w:rPr>
          <w:b/>
          <w:color w:val="5A8F89"/>
          <w:sz w:val="26"/>
        </w:rPr>
        <w:t xml:space="preserve">E2E-05 — Signal Aggregation Loop</w:t>
      </w:r>
    </w:p>
    <w:p>
      <w:pPr>
        <w:pStyle w:val="FirstParagraph"/>
      </w:pPr>
      <w:r>
        <w:rPr>
          <w:bCs/>
          <w:b/>
          <w:sz w:val="25"/>
        </w:rPr>
        <w:t xml:space="preserve">Composition:</w:t>
      </w:r>
      <w:r>
        <w:rPr>
          <w:sz w:val="25"/>
        </w:rPr>
        <w:t xml:space="preserve"> </w:t>
      </w:r>
      <w:r>
        <w:rPr>
          <w:sz w:val="25"/>
        </w:rPr>
        <w:t xml:space="preserve">MP-03 → MP-05 → MP-07 → MP-08 ·</w:t>
      </w:r>
      <w:r>
        <w:rPr>
          <w:sz w:val="25"/>
        </w:rPr>
        <w:t xml:space="preserve"> </w:t>
      </w:r>
      <w:r>
        <w:rPr>
          <w:bCs/>
          <w:b/>
          <w:sz w:val="25"/>
        </w:rPr>
        <w:t xml:space="preserve">Trigger:</w:t>
      </w:r>
      <w:r>
        <w:rPr>
          <w:sz w:val="25"/>
        </w:rPr>
        <w:t xml:space="preserve"> </w:t>
      </w:r>
      <w:r>
        <w:rPr>
          <w:sz w:val="25"/>
        </w:rPr>
        <w:t xml:space="preserve">new awareness (MP-03) or knowledge/ability (MP-05) signal recorded ·</w:t>
      </w:r>
      <w:r>
        <w:rPr>
          <w:sz w:val="25"/>
        </w:rPr>
        <w:t xml:space="preserve"> </w:t>
      </w:r>
      <w:r>
        <w:rPr>
          <w:bCs/>
          <w:b/>
          <w:sz w:val="25"/>
        </w:rPr>
        <w:t xml:space="preserve">Terminal state:</w:t>
      </w:r>
      <w:r>
        <w:rPr>
          <w:sz w:val="25"/>
        </w:rPr>
        <w:t xml:space="preserve"> </w:t>
      </w:r>
      <w:r>
        <w:rPr>
          <w:sz w:val="25"/>
        </w:rPr>
        <w:t xml:space="preserve">Composite Readiness Index (MP-07) recalculated and evaluated by the Divergence Pattern Detector (MP-08)</w:t>
      </w:r>
    </w:p>
    <w:p>
      <w:pPr>
        <w:pStyle w:val="BodyText"/>
      </w:pPr>
      <w:r>
        <w:rPr>
          <w:bCs/>
          <w:b/>
          <w:sz w:val="25"/>
        </w:rPr>
        <w:t xml:space="preserve">In the Bouregreg scenario:</w:t>
      </w:r>
      <w:r>
        <w:rPr>
          <w:sz w:val="25"/>
        </w:rPr>
        <w:t xml:space="preserve"> </w:t>
      </w:r>
      <w:r>
        <w:rPr>
          <w:sz w:val="25"/>
        </w:rPr>
        <w:t xml:space="preserve">this loop is not a separate data-entry screen — it is the traceable path from a new Communications entry (M8) or Training completion (M9) through to the Composite Readiness Index recalculation on M14 and a fresh Divergence Pattern check on M6. It makes explicit a dependency that already exists in journi’s data model: Communications and Training feed ADKAR, and ADKAR feeds the Risk Register.</w:t>
      </w:r>
    </w:p>
    <w:p>
      <w:pPr>
        <w:pStyle w:val="BodyText"/>
      </w:pPr>
      <w:r>
        <w:rPr>
          <w:bCs/>
          <w:b/>
          <w:sz w:val="25"/>
        </w:rPr>
        <w:t xml:space="preserve">Week reference:</w:t>
      </w:r>
      <w:r>
        <w:rPr>
          <w:sz w:val="25"/>
        </w:rPr>
        <w:t xml:space="preserve"> </w:t>
      </w:r>
      <w:r>
        <w:rPr>
          <w:sz w:val="25"/>
        </w:rPr>
        <w:t xml:space="preserve">continuous, W1 through close — this loop has no phase of its own because it is the connective tissue running underneath every phase in Part 1B.3.</w:t>
      </w:r>
    </w:p>
    <w:bookmarkEnd w:id="85"/>
    <w:bookmarkStart w:id="86" w:name="e2e-06-pm-cm-governance-bridge"/>
    <w:p>
      <w:pPr>
        <w:pStyle w:val="Heading4"/>
      </w:pPr>
      <w:r>
        <w:rPr>
          <w:b/>
          <w:color w:val="5A8F89"/>
          <w:sz w:val="26"/>
        </w:rPr>
        <w:t xml:space="preserve">E2E-06 — PM ↔ CM Governance Bridge</w:t>
      </w:r>
    </w:p>
    <w:p>
      <w:pPr>
        <w:pStyle w:val="FirstParagraph"/>
      </w:pPr>
      <w:r>
        <w:rPr>
          <w:bCs/>
          <w:b/>
          <w:sz w:val="25"/>
        </w:rPr>
        <w:t xml:space="preserve">Composition:</w:t>
      </w:r>
      <w:r>
        <w:rPr>
          <w:sz w:val="25"/>
        </w:rPr>
        <w:t xml:space="preserve"> </w:t>
      </w:r>
      <w:r>
        <w:rPr>
          <w:sz w:val="25"/>
        </w:rPr>
        <w:t xml:space="preserve">MP-02 → MP-08 ·</w:t>
      </w:r>
      <w:r>
        <w:rPr>
          <w:sz w:val="25"/>
        </w:rPr>
        <w:t xml:space="preserve"> </w:t>
      </w:r>
      <w:r>
        <w:rPr>
          <w:bCs/>
          <w:b/>
          <w:sz w:val="25"/>
        </w:rPr>
        <w:t xml:space="preserve">Trigger:</w:t>
      </w:r>
      <w:r>
        <w:rPr>
          <w:sz w:val="25"/>
        </w:rPr>
        <w:t xml:space="preserve"> </w:t>
      </w:r>
      <w:r>
        <w:rPr>
          <w:sz w:val="25"/>
        </w:rPr>
        <w:t xml:space="preserve">Main Project schedule slip logged, or a Phase Gate checkpoint reached ·</w:t>
      </w:r>
      <w:r>
        <w:rPr>
          <w:sz w:val="25"/>
        </w:rPr>
        <w:t xml:space="preserve"> </w:t>
      </w:r>
      <w:r>
        <w:rPr>
          <w:bCs/>
          <w:b/>
          <w:sz w:val="25"/>
        </w:rPr>
        <w:t xml:space="preserve">Terminal state:</w:t>
      </w:r>
      <w:r>
        <w:rPr>
          <w:sz w:val="25"/>
        </w:rPr>
        <w:t xml:space="preserve"> </w:t>
      </w:r>
      <w:r>
        <w:rPr>
          <w:sz w:val="25"/>
        </w:rPr>
        <w:t xml:space="preserve">a Joint Decision Record (Go / Go with Conditions / No-Go), with PM and CM inputs preserved independently and exactly one Accountable role named — selectable, and may differ from either input’s author</w:t>
      </w:r>
    </w:p>
    <w:p>
      <w:pPr>
        <w:pStyle w:val="BodyText"/>
      </w:pPr>
      <w:r>
        <w:rPr>
          <w:bCs/>
          <w:b/>
          <w:sz w:val="25"/>
        </w:rPr>
        <w:t xml:space="preserve">In the Bouregreg scenario:</w:t>
      </w:r>
      <w:r>
        <w:rPr>
          <w:sz w:val="25"/>
        </w:rPr>
        <w:t xml:space="preserve"> </w:t>
      </w:r>
      <w:r>
        <w:rPr>
          <w:sz w:val="25"/>
        </w:rPr>
        <w:t xml:space="preserve">when the ERP Platform Unification Main Project’s technical schedule slips against a Phase Gate on M17, the Joint Decision Record captures both Driss El Amrani’s Change Management read and the Main Project’s PM read independently, then names one Accountable role for the actual Go/No-Go call — so a schedule slip never gets silently resolved by whichever discipline happens to write to the record last.</w:t>
      </w:r>
    </w:p>
    <w:p>
      <w:pPr>
        <w:pStyle w:val="BodyText"/>
      </w:pPr>
      <w:r>
        <w:rPr>
          <w:bCs/>
          <w:b/>
          <w:sz w:val="25"/>
        </w:rPr>
        <w:t xml:space="preserve">Week reference:</w:t>
      </w:r>
      <w:r>
        <w:rPr>
          <w:sz w:val="25"/>
        </w:rPr>
        <w:t xml:space="preserve"> </w:t>
      </w:r>
      <w:r>
        <w:rPr>
          <w:sz w:val="25"/>
        </w:rPr>
        <w:t xml:space="preserve">most active at each phase gate in Part 1B.3 — W8, W14, W30, W38, W42, W43, W50, and W64 — since a Phase Gate checkpoint is this loop’s most common trigger.</w:t>
      </w:r>
    </w:p>
    <w:bookmarkEnd w:id="86"/>
    <w:bookmarkStart w:id="87" w:name="e2e-07-champion-early-warning-loop"/>
    <w:p>
      <w:pPr>
        <w:pStyle w:val="Heading4"/>
      </w:pPr>
      <w:r>
        <w:rPr>
          <w:b/>
          <w:color w:val="5A8F89"/>
          <w:sz w:val="26"/>
        </w:rPr>
        <w:t xml:space="preserve">E2E-07 — Champion Early-Warning Loop</w:t>
      </w:r>
    </w:p>
    <w:p>
      <w:pPr>
        <w:pStyle w:val="FirstParagraph"/>
      </w:pPr>
      <w:r>
        <w:rPr>
          <w:bCs/>
          <w:b/>
          <w:sz w:val="25"/>
        </w:rPr>
        <w:t xml:space="preserve">Composition:</w:t>
      </w:r>
      <w:r>
        <w:rPr>
          <w:sz w:val="25"/>
        </w:rPr>
        <w:t xml:space="preserve"> </w:t>
      </w:r>
      <w:r>
        <w:rPr>
          <w:sz w:val="25"/>
        </w:rPr>
        <w:t xml:space="preserve">MP-06 → MP-04 ·</w:t>
      </w:r>
      <w:r>
        <w:rPr>
          <w:sz w:val="25"/>
        </w:rPr>
        <w:t xml:space="preserve"> </w:t>
      </w:r>
      <w:r>
        <w:rPr>
          <w:bCs/>
          <w:b/>
          <w:sz w:val="25"/>
        </w:rPr>
        <w:t xml:space="preserve">Trigger:</w:t>
      </w:r>
      <w:r>
        <w:rPr>
          <w:sz w:val="25"/>
        </w:rPr>
        <w:t xml:space="preserve"> </w:t>
      </w:r>
      <w:r>
        <w:rPr>
          <w:sz w:val="25"/>
        </w:rPr>
        <w:t xml:space="preserve">champion floor-level observation logged ·</w:t>
      </w:r>
      <w:r>
        <w:rPr>
          <w:sz w:val="25"/>
        </w:rPr>
        <w:t xml:space="preserve"> </w:t>
      </w:r>
      <w:r>
        <w:rPr>
          <w:bCs/>
          <w:b/>
          <w:sz w:val="25"/>
        </w:rPr>
        <w:t xml:space="preserve">Terminal state:</w:t>
      </w:r>
      <w:r>
        <w:rPr>
          <w:sz w:val="25"/>
        </w:rPr>
        <w:t xml:space="preserve"> </w:t>
      </w:r>
      <w:r>
        <w:rPr>
          <w:sz w:val="25"/>
        </w:rPr>
        <w:t xml:space="preserve">the observation formalized into a Resistance Log barrier record</w:t>
      </w:r>
    </w:p>
    <w:p>
      <w:pPr>
        <w:pStyle w:val="BodyText"/>
      </w:pPr>
      <w:r>
        <w:rPr>
          <w:bCs/>
          <w:b/>
          <w:sz w:val="25"/>
        </w:rPr>
        <w:t xml:space="preserve">In the Bouregreg scenario:</w:t>
      </w:r>
      <w:r>
        <w:rPr>
          <w:sz w:val="25"/>
        </w:rPr>
        <w:t xml:space="preserve"> </w:t>
      </w:r>
      <w:r>
        <w:rPr>
          <w:sz w:val="25"/>
        </w:rPr>
        <w:t xml:space="preserve">a Kenitra plant champion notices workaround behavior on the floor before it shows up in any score; logging that observation against the champion network on M4 is what turns it into a formal barrier record on M10 — the earliest possible point resistance becomes visible to the program, ahead of a score actually moving.</w:t>
      </w:r>
    </w:p>
    <w:p>
      <w:pPr>
        <w:pStyle w:val="BodyText"/>
      </w:pPr>
      <w:r>
        <w:rPr>
          <w:bCs/>
          <w:b/>
          <w:sz w:val="25"/>
        </w:rPr>
        <w:t xml:space="preserve">Week reference:</w:t>
      </w:r>
      <w:r>
        <w:rPr>
          <w:sz w:val="25"/>
        </w:rPr>
        <w:t xml:space="preserve"> </w:t>
      </w:r>
      <w:r>
        <w:rPr>
          <w:sz w:val="25"/>
        </w:rPr>
        <w:t xml:space="preserve">operational from W12 onward, once Build’s Task 2 formally briefs the champion network (Phase 3) — and the exact mechanism that could have surfaced Exception E1’s Settat concern even earlier than the Desire score did.</w:t>
      </w:r>
    </w:p>
    <w:bookmarkEnd w:id="87"/>
    <w:bookmarkStart w:id="88" w:name="e2e-08-governance-escalation-loop"/>
    <w:p>
      <w:pPr>
        <w:pStyle w:val="Heading4"/>
      </w:pPr>
      <w:r>
        <w:rPr>
          <w:b/>
          <w:color w:val="5A8F89"/>
          <w:sz w:val="26"/>
        </w:rPr>
        <w:t xml:space="preserve">E2E-08 — Governance Escalation Loop</w:t>
      </w:r>
    </w:p>
    <w:p>
      <w:pPr>
        <w:pStyle w:val="FirstParagraph"/>
      </w:pPr>
      <w:r>
        <w:rPr>
          <w:bCs/>
          <w:b/>
          <w:sz w:val="25"/>
        </w:rPr>
        <w:t xml:space="preserve">Composition:</w:t>
      </w:r>
      <w:r>
        <w:rPr>
          <w:sz w:val="25"/>
        </w:rPr>
        <w:t xml:space="preserve"> </w:t>
      </w:r>
      <w:r>
        <w:rPr>
          <w:sz w:val="25"/>
        </w:rPr>
        <w:t xml:space="preserve">MP-02 → MP-10 ·</w:t>
      </w:r>
      <w:r>
        <w:rPr>
          <w:sz w:val="25"/>
        </w:rPr>
        <w:t xml:space="preserve"> </w:t>
      </w:r>
      <w:r>
        <w:rPr>
          <w:bCs/>
          <w:b/>
          <w:sz w:val="25"/>
        </w:rPr>
        <w:t xml:space="preserve">Trigger:</w:t>
      </w:r>
      <w:r>
        <w:rPr>
          <w:sz w:val="25"/>
        </w:rPr>
        <w:t xml:space="preserve"> </w:t>
      </w:r>
      <w:r>
        <w:rPr>
          <w:sz w:val="25"/>
        </w:rPr>
        <w:t xml:space="preserve">a Sponsor escalation action is logged ·</w:t>
      </w:r>
      <w:r>
        <w:rPr>
          <w:sz w:val="25"/>
        </w:rPr>
        <w:t xml:space="preserve"> </w:t>
      </w:r>
      <w:r>
        <w:rPr>
          <w:bCs/>
          <w:b/>
          <w:sz w:val="25"/>
        </w:rPr>
        <w:t xml:space="preserve">Terminal state:</w:t>
      </w:r>
      <w:r>
        <w:rPr>
          <w:sz w:val="25"/>
        </w:rPr>
        <w:t xml:space="preserve"> </w:t>
      </w:r>
      <w:r>
        <w:rPr>
          <w:sz w:val="25"/>
        </w:rPr>
        <w:t xml:space="preserve">the escalation resolved and reflected in the sustainment sign-off</w:t>
      </w:r>
    </w:p>
    <w:p>
      <w:pPr>
        <w:pStyle w:val="BodyText"/>
      </w:pPr>
      <w:r>
        <w:rPr>
          <w:bCs/>
          <w:b/>
          <w:sz w:val="25"/>
        </w:rPr>
        <w:t xml:space="preserve">In the Bouregreg scenario:</w:t>
      </w:r>
      <w:r>
        <w:rPr>
          <w:sz w:val="25"/>
        </w:rPr>
        <w:t xml:space="preserve"> </w:t>
      </w:r>
      <w:r>
        <w:rPr>
          <w:sz w:val="25"/>
        </w:rPr>
        <w:t xml:space="preserve">journi’s own documentation flags this as its weakest-evidence proposed loop, included for completeness rather than as a distinct workflow — in practice it is largely covered by the CFO’s existing escalation actions on M7 and the sustainment checkpoints on M12, and this guide states that plainly rather than overstate the loop’s independence from those two modules.</w:t>
      </w:r>
    </w:p>
    <w:p>
      <w:pPr>
        <w:pStyle w:val="BodyText"/>
      </w:pPr>
      <w:r>
        <w:rPr>
          <w:bCs/>
          <w:b/>
          <w:sz w:val="25"/>
        </w:rPr>
        <w:t xml:space="preserve">Week reference:</w:t>
      </w:r>
      <w:r>
        <w:rPr>
          <w:sz w:val="25"/>
        </w:rPr>
        <w:t xml:space="preserve"> </w:t>
      </w:r>
      <w:r>
        <w:rPr>
          <w:sz w:val="25"/>
        </w:rPr>
        <w:t xml:space="preserve">no fixed window — like E2E-05, it runs continuously wherever a Sponsor escalation and a sustainment checkpoint happen to coincide, most plausibly around Exception E5 in Part 1B.6’s Month 14.</w:t>
      </w:r>
    </w:p>
    <w:bookmarkEnd w:id="88"/>
    <w:bookmarkEnd w:id="89"/>
    <w:bookmarkStart w:id="90" w:name="X07935886bc9ab7c2d95bb977c10a7667c12258d"/>
    <w:p>
      <w:pPr>
        <w:pStyle w:val="Heading3"/>
      </w:pPr>
      <w:r>
        <w:rPr>
          <w:b/>
          <w:color w:val="3F827B"/>
          <w:sz w:val="29"/>
        </w:rPr>
        <w:t xml:space="preserve">Transformation-Type Lifecycles (8 archetypes, each with its own Phase Template)</w:t>
      </w:r>
    </w:p>
    <w:p>
      <w:pPr>
        <w:pStyle w:val="FirstParagraph"/>
      </w:pPr>
      <w:r>
        <w:rPr>
          <w:sz w:val="25"/>
        </w:rPr>
        <w:t xml:space="preserve">Each of the following pairs one of the 8 registered transformation types with the specific Change Management Project in Part 4 that exercises it. Two of Main Project’s ten available archetypes — Restructuring and M&amp;A — do not have a dedicated lifecycle or Phase Template of their own; Part 4 states that distinction explicitly where it matters.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shd w:val="clear" w:fill="1F4B45"/>
          </w:tcPr>
          <w:p>
            <w:pPr>
              <w:pStyle w:val="Compact"/>
              <w:jc w:val="left"/>
            </w:pPr>
            <w:r>
              <w:rPr>
                <w:b/>
                <w:color w:val="FFFFFF"/>
                <w:sz w:val="22"/>
              </w:rPr>
              <w:t xml:space="preserve">E2E ID</w:t>
            </w:r>
          </w:p>
        </w:tc>
        <w:tc>
          <w:tcPr>
            <w:shd w:val="clear" w:fill="1F4B45"/>
          </w:tcPr>
          <w:p>
            <w:pPr>
              <w:pStyle w:val="Compact"/>
              <w:jc w:val="left"/>
            </w:pPr>
            <w:r>
              <w:rPr>
                <w:b/>
                <w:color w:val="FFFFFF"/>
                <w:sz w:val="22"/>
              </w:rPr>
              <w:t xml:space="preserve">Lifecycle</w:t>
            </w:r>
          </w:p>
        </w:tc>
        <w:tc>
          <w:tcPr>
            <w:shd w:val="clear" w:fill="1F4B45"/>
          </w:tcPr>
          <w:p>
            <w:pPr>
              <w:pStyle w:val="Compact"/>
              <w:jc w:val="left"/>
            </w:pPr>
            <w:r>
              <w:rPr>
                <w:b/>
                <w:color w:val="FFFFFF"/>
                <w:sz w:val="22"/>
              </w:rPr>
              <w:t xml:space="preserve">Composition</w:t>
            </w:r>
          </w:p>
        </w:tc>
        <w:tc>
          <w:tcPr>
            <w:shd w:val="clear" w:fill="1F4B45"/>
          </w:tcPr>
          <w:p>
            <w:pPr>
              <w:pStyle w:val="Compact"/>
              <w:jc w:val="left"/>
            </w:pPr>
            <w:r>
              <w:rPr>
                <w:b/>
                <w:color w:val="FFFFFF"/>
                <w:sz w:val="22"/>
              </w:rPr>
              <w:t xml:space="preserve">Phase Template</w:t>
            </w:r>
          </w:p>
        </w:tc>
        <w:tc>
          <w:tcPr>
            <w:shd w:val="clear" w:fill="1F4B45"/>
          </w:tcPr>
          <w:p>
            <w:pPr>
              <w:pStyle w:val="Compact"/>
              <w:jc w:val="left"/>
            </w:pPr>
            <w:r>
              <w:rPr>
                <w:b/>
                <w:color w:val="FFFFFF"/>
                <w:sz w:val="22"/>
              </w:rPr>
              <w:t xml:space="preserve">Part 4 case</w:t>
            </w:r>
          </w:p>
        </w:tc>
      </w:tr>
      <w:tr>
        <w:trPr>
          <w:cantSplit/>
        </w:trPr>
        <w:tc>
          <w:tcPr/>
          <w:p>
            <w:pPr>
              <w:pStyle w:val="Compact"/>
              <w:jc w:val="left"/>
            </w:pPr>
            <w:r>
              <w:rPr>
                <w:sz w:val="22"/>
              </w:rPr>
              <w:t xml:space="preserve">E2E-ERP</w:t>
            </w:r>
          </w:p>
        </w:tc>
        <w:tc>
          <w:tcPr/>
          <w:p>
            <w:pPr>
              <w:pStyle w:val="Compact"/>
              <w:jc w:val="left"/>
            </w:pPr>
            <w:r>
              <w:rPr>
                <w:sz w:val="22"/>
              </w:rPr>
              <w:t xml:space="preserve">ERP Implementation</w:t>
            </w:r>
          </w:p>
        </w:tc>
        <w:tc>
          <w:tcPr/>
          <w:p>
            <w:pPr>
              <w:pStyle w:val="Compact"/>
              <w:jc w:val="left"/>
            </w:pPr>
            <w:r>
              <w:rPr>
                <w:sz w:val="22"/>
              </w:rPr>
              <w:t xml:space="preserve">MP-01→02→03→05→07→09→10</w:t>
            </w:r>
          </w:p>
        </w:tc>
        <w:tc>
          <w:tcPr/>
          <w:p>
            <w:pPr>
              <w:pStyle w:val="Compact"/>
              <w:jc w:val="left"/>
            </w:pPr>
            <w:r>
              <w:rPr>
                <w:sz w:val="22"/>
              </w:rPr>
              <w:t xml:space="preserve">TPL-ERP-8</w:t>
            </w:r>
          </w:p>
        </w:tc>
        <w:tc>
          <w:tcPr/>
          <w:p>
            <w:pPr>
              <w:pStyle w:val="Compact"/>
              <w:jc w:val="left"/>
            </w:pPr>
            <w:r>
              <w:rPr>
                <w:sz w:val="22"/>
              </w:rPr>
              <w:t xml:space="preserve">Bouregreg ERP Adoption Program (Part 1’s throughline)</w:t>
            </w:r>
          </w:p>
        </w:tc>
      </w:tr>
      <w:tr>
        <w:trPr>
          <w:cantSplit/>
        </w:trPr>
        <w:tc>
          <w:tcPr/>
          <w:p>
            <w:pPr>
              <w:pStyle w:val="Compact"/>
              <w:jc w:val="left"/>
            </w:pPr>
            <w:r>
              <w:rPr>
                <w:sz w:val="22"/>
              </w:rPr>
              <w:t xml:space="preserve">E2E-BPR</w:t>
            </w:r>
          </w:p>
        </w:tc>
        <w:tc>
          <w:tcPr/>
          <w:p>
            <w:pPr>
              <w:pStyle w:val="Compact"/>
              <w:jc w:val="left"/>
            </w:pPr>
            <w:r>
              <w:rPr>
                <w:sz w:val="22"/>
              </w:rPr>
              <w:t xml:space="preserve">Business Process Reengineering</w:t>
            </w:r>
          </w:p>
        </w:tc>
        <w:tc>
          <w:tcPr/>
          <w:p>
            <w:pPr>
              <w:pStyle w:val="Compact"/>
              <w:jc w:val="left"/>
            </w:pPr>
            <w:r>
              <w:rPr>
                <w:sz w:val="22"/>
              </w:rPr>
              <w:t xml:space="preserve">MP-01→02→03→05→07→08→09→10</w:t>
            </w:r>
          </w:p>
        </w:tc>
        <w:tc>
          <w:tcPr/>
          <w:p>
            <w:pPr>
              <w:pStyle w:val="Compact"/>
              <w:jc w:val="left"/>
            </w:pPr>
            <w:r>
              <w:rPr>
                <w:sz w:val="22"/>
              </w:rPr>
              <w:t xml:space="preserve">TPL-BPR-7</w:t>
            </w:r>
          </w:p>
        </w:tc>
        <w:tc>
          <w:tcPr/>
          <w:p>
            <w:pPr>
              <w:pStyle w:val="Compact"/>
              <w:jc w:val="left"/>
            </w:pPr>
            <w:r>
              <w:rPr>
                <w:sz w:val="22"/>
              </w:rPr>
              <w:t xml:space="preserve">Order-to-Cash Process Redesign</w:t>
            </w:r>
          </w:p>
        </w:tc>
      </w:tr>
      <w:tr>
        <w:trPr>
          <w:cantSplit/>
        </w:trPr>
        <w:tc>
          <w:tcPr/>
          <w:p>
            <w:pPr>
              <w:pStyle w:val="Compact"/>
              <w:jc w:val="left"/>
            </w:pPr>
            <w:r>
              <w:rPr>
                <w:sz w:val="22"/>
              </w:rPr>
              <w:t xml:space="preserve">E2E-BPA</w:t>
            </w:r>
          </w:p>
        </w:tc>
        <w:tc>
          <w:tcPr/>
          <w:p>
            <w:pPr>
              <w:pStyle w:val="Compact"/>
              <w:jc w:val="left"/>
            </w:pPr>
            <w:r>
              <w:rPr>
                <w:sz w:val="22"/>
              </w:rPr>
              <w:t xml:space="preserve">Business Process Automation</w:t>
            </w:r>
          </w:p>
        </w:tc>
        <w:tc>
          <w:tcPr/>
          <w:p>
            <w:pPr>
              <w:pStyle w:val="Compact"/>
              <w:jc w:val="left"/>
            </w:pPr>
            <w:r>
              <w:rPr>
                <w:sz w:val="22"/>
              </w:rPr>
              <w:t xml:space="preserve">MP-01→02→03→05→07→08→09→10</w:t>
            </w:r>
          </w:p>
        </w:tc>
        <w:tc>
          <w:tcPr/>
          <w:p>
            <w:pPr>
              <w:pStyle w:val="Compact"/>
              <w:jc w:val="left"/>
            </w:pPr>
            <w:r>
              <w:rPr>
                <w:sz w:val="22"/>
              </w:rPr>
              <w:t xml:space="preserve">TPL-BPA-7</w:t>
            </w:r>
          </w:p>
        </w:tc>
        <w:tc>
          <w:tcPr/>
          <w:p>
            <w:pPr>
              <w:pStyle w:val="Compact"/>
              <w:jc w:val="left"/>
            </w:pPr>
            <w:r>
              <w:rPr>
                <w:sz w:val="22"/>
              </w:rPr>
              <w:t xml:space="preserve">Kenitra Invoice-Matching Automation</w:t>
            </w:r>
          </w:p>
        </w:tc>
      </w:tr>
      <w:tr>
        <w:trPr>
          <w:cantSplit/>
        </w:trPr>
        <w:tc>
          <w:tcPr/>
          <w:p>
            <w:pPr>
              <w:pStyle w:val="Compact"/>
              <w:jc w:val="left"/>
            </w:pPr>
            <w:r>
              <w:rPr>
                <w:sz w:val="22"/>
              </w:rPr>
              <w:t xml:space="preserve">E2E-IMS</w:t>
            </w:r>
          </w:p>
        </w:tc>
        <w:tc>
          <w:tcPr/>
          <w:p>
            <w:pPr>
              <w:pStyle w:val="Compact"/>
              <w:jc w:val="left"/>
            </w:pPr>
            <w:r>
              <w:rPr>
                <w:sz w:val="22"/>
              </w:rPr>
              <w:t xml:space="preserve">Integrated Management System</w:t>
            </w:r>
          </w:p>
        </w:tc>
        <w:tc>
          <w:tcPr/>
          <w:p>
            <w:pPr>
              <w:pStyle w:val="Compact"/>
              <w:jc w:val="left"/>
            </w:pPr>
            <w:r>
              <w:rPr>
                <w:sz w:val="22"/>
              </w:rPr>
              <w:t xml:space="preserve">MP-01→02→03→05→07→08→09→10</w:t>
            </w:r>
          </w:p>
        </w:tc>
        <w:tc>
          <w:tcPr/>
          <w:p>
            <w:pPr>
              <w:pStyle w:val="Compact"/>
              <w:jc w:val="left"/>
            </w:pPr>
            <w:r>
              <w:rPr>
                <w:sz w:val="22"/>
              </w:rPr>
              <w:t xml:space="preserve">TPL-IMS-7</w:t>
            </w:r>
          </w:p>
        </w:tc>
        <w:tc>
          <w:tcPr/>
          <w:p>
            <w:pPr>
              <w:pStyle w:val="Compact"/>
              <w:jc w:val="left"/>
            </w:pPr>
            <w:r>
              <w:rPr>
                <w:sz w:val="22"/>
              </w:rPr>
              <w:t xml:space="preserve">ISO 9001/14001 Integrated Management System</w:t>
            </w:r>
          </w:p>
        </w:tc>
      </w:tr>
      <w:tr>
        <w:trPr>
          <w:cantSplit/>
        </w:trPr>
        <w:tc>
          <w:tcPr/>
          <w:p>
            <w:pPr>
              <w:pStyle w:val="Compact"/>
              <w:jc w:val="left"/>
            </w:pPr>
            <w:r>
              <w:rPr>
                <w:sz w:val="22"/>
              </w:rPr>
              <w:t xml:space="preserve">E2E-CULT</w:t>
            </w:r>
          </w:p>
        </w:tc>
        <w:tc>
          <w:tcPr/>
          <w:p>
            <w:pPr>
              <w:pStyle w:val="Compact"/>
              <w:jc w:val="left"/>
            </w:pPr>
            <w:r>
              <w:rPr>
                <w:sz w:val="22"/>
              </w:rPr>
              <w:t xml:space="preserve">Cultural / Values Transformation</w:t>
            </w:r>
          </w:p>
        </w:tc>
        <w:tc>
          <w:tcPr/>
          <w:p>
            <w:pPr>
              <w:pStyle w:val="Compact"/>
              <w:jc w:val="left"/>
            </w:pPr>
            <w:r>
              <w:rPr>
                <w:sz w:val="22"/>
              </w:rPr>
              <w:t xml:space="preserve">MP-01→02→03→04→06→07→08→09→10</w:t>
            </w:r>
          </w:p>
        </w:tc>
        <w:tc>
          <w:tcPr/>
          <w:p>
            <w:pPr>
              <w:pStyle w:val="Compact"/>
              <w:jc w:val="left"/>
            </w:pPr>
            <w:r>
              <w:rPr>
                <w:sz w:val="22"/>
              </w:rPr>
              <w:t xml:space="preserve">TPL-CULT-7</w:t>
            </w:r>
          </w:p>
        </w:tc>
        <w:tc>
          <w:tcPr/>
          <w:p>
            <w:pPr>
              <w:pStyle w:val="Compact"/>
              <w:jc w:val="left"/>
            </w:pPr>
            <w:r>
              <w:rPr>
                <w:sz w:val="22"/>
              </w:rPr>
              <w:t xml:space="preserve">One Bouregreg: Post-Acquisition Culture Integration</w:t>
            </w:r>
          </w:p>
        </w:tc>
      </w:tr>
      <w:tr>
        <w:trPr>
          <w:cantSplit/>
        </w:trPr>
        <w:tc>
          <w:tcPr/>
          <w:p>
            <w:pPr>
              <w:pStyle w:val="Compact"/>
              <w:jc w:val="left"/>
            </w:pPr>
            <w:r>
              <w:rPr>
                <w:sz w:val="22"/>
              </w:rPr>
              <w:t xml:space="preserve">E2E-OM</w:t>
            </w:r>
          </w:p>
        </w:tc>
        <w:tc>
          <w:tcPr/>
          <w:p>
            <w:pPr>
              <w:pStyle w:val="Compact"/>
              <w:jc w:val="left"/>
            </w:pPr>
            <w:r>
              <w:rPr>
                <w:sz w:val="22"/>
              </w:rPr>
              <w:t xml:space="preserve">Operating Model Redesign</w:t>
            </w:r>
          </w:p>
        </w:tc>
        <w:tc>
          <w:tcPr/>
          <w:p>
            <w:pPr>
              <w:pStyle w:val="Compact"/>
              <w:jc w:val="left"/>
            </w:pPr>
            <w:r>
              <w:rPr>
                <w:sz w:val="22"/>
              </w:rPr>
              <w:t xml:space="preserve">MP-01→02→03→05→07→08→09→10</w:t>
            </w:r>
          </w:p>
        </w:tc>
        <w:tc>
          <w:tcPr/>
          <w:p>
            <w:pPr>
              <w:pStyle w:val="Compact"/>
              <w:jc w:val="left"/>
            </w:pPr>
            <w:r>
              <w:rPr>
                <w:sz w:val="22"/>
              </w:rPr>
              <w:t xml:space="preserve">TPL-OM-7</w:t>
            </w:r>
          </w:p>
        </w:tc>
        <w:tc>
          <w:tcPr/>
          <w:p>
            <w:pPr>
              <w:pStyle w:val="Compact"/>
              <w:jc w:val="left"/>
            </w:pPr>
            <w:r>
              <w:rPr>
                <w:sz w:val="22"/>
              </w:rPr>
              <w:t xml:space="preserve">Regional Operating Model Redesign</w:t>
            </w:r>
          </w:p>
        </w:tc>
      </w:tr>
      <w:tr>
        <w:trPr>
          <w:cantSplit/>
        </w:trPr>
        <w:tc>
          <w:tcPr/>
          <w:p>
            <w:pPr>
              <w:pStyle w:val="Compact"/>
              <w:jc w:val="left"/>
            </w:pPr>
            <w:r>
              <w:rPr>
                <w:sz w:val="22"/>
              </w:rPr>
              <w:t xml:space="preserve">E2E-COMP</w:t>
            </w:r>
          </w:p>
        </w:tc>
        <w:tc>
          <w:tcPr/>
          <w:p>
            <w:pPr>
              <w:pStyle w:val="Compact"/>
              <w:jc w:val="left"/>
            </w:pPr>
            <w:r>
              <w:rPr>
                <w:sz w:val="22"/>
              </w:rPr>
              <w:t xml:space="preserve">Compliance-Driven Change</w:t>
            </w:r>
          </w:p>
        </w:tc>
        <w:tc>
          <w:tcPr/>
          <w:p>
            <w:pPr>
              <w:pStyle w:val="Compact"/>
              <w:jc w:val="left"/>
            </w:pPr>
            <w:r>
              <w:rPr>
                <w:sz w:val="22"/>
              </w:rPr>
              <w:t xml:space="preserve">MP-01→02→03→05→07→08→09→10</w:t>
            </w:r>
          </w:p>
        </w:tc>
        <w:tc>
          <w:tcPr/>
          <w:p>
            <w:pPr>
              <w:pStyle w:val="Compact"/>
              <w:jc w:val="left"/>
            </w:pPr>
            <w:r>
              <w:rPr>
                <w:sz w:val="22"/>
              </w:rPr>
              <w:t xml:space="preserve">TPL-COMP-7</w:t>
            </w:r>
          </w:p>
        </w:tc>
        <w:tc>
          <w:tcPr/>
          <w:p>
            <w:pPr>
              <w:pStyle w:val="Compact"/>
              <w:jc w:val="left"/>
            </w:pPr>
            <w:r>
              <w:rPr>
                <w:sz w:val="22"/>
              </w:rPr>
              <w:t xml:space="preserve">Loi 09-08 Data Protection Compliance Program</w:t>
            </w:r>
          </w:p>
        </w:tc>
      </w:tr>
      <w:tr>
        <w:trPr>
          <w:cantSplit/>
        </w:trPr>
        <w:tc>
          <w:tcPr/>
          <w:p>
            <w:pPr>
              <w:pStyle w:val="Compact"/>
              <w:jc w:val="left"/>
            </w:pPr>
            <w:r>
              <w:rPr>
                <w:sz w:val="22"/>
              </w:rPr>
              <w:t xml:space="preserve">E2E-TSD</w:t>
            </w:r>
          </w:p>
        </w:tc>
        <w:tc>
          <w:tcPr/>
          <w:p>
            <w:pPr>
              <w:pStyle w:val="Compact"/>
              <w:jc w:val="left"/>
            </w:pPr>
            <w:r>
              <w:rPr>
                <w:sz w:val="22"/>
              </w:rPr>
              <w:t xml:space="preserve">Training &amp; Skills Development</w:t>
            </w:r>
          </w:p>
        </w:tc>
        <w:tc>
          <w:tcPr/>
          <w:p>
            <w:pPr>
              <w:pStyle w:val="Compact"/>
              <w:jc w:val="left"/>
            </w:pPr>
            <w:r>
              <w:rPr>
                <w:sz w:val="22"/>
              </w:rPr>
              <w:t xml:space="preserve">MP-01→02→03→05→06→07→08→09→10</w:t>
            </w:r>
          </w:p>
        </w:tc>
        <w:tc>
          <w:tcPr/>
          <w:p>
            <w:pPr>
              <w:pStyle w:val="Compact"/>
              <w:jc w:val="left"/>
            </w:pPr>
            <w:r>
              <w:rPr>
                <w:sz w:val="22"/>
              </w:rPr>
              <w:t xml:space="preserve">TPL-TSD-7</w:t>
            </w:r>
          </w:p>
        </w:tc>
        <w:tc>
          <w:tcPr/>
          <w:p>
            <w:pPr>
              <w:pStyle w:val="Compact"/>
              <w:jc w:val="left"/>
            </w:pPr>
            <w:r>
              <w:rPr>
                <w:sz w:val="22"/>
              </w:rPr>
              <w:t xml:space="preserve">Plant Digital Skills Upskilling Program</w:t>
            </w:r>
          </w:p>
        </w:tc>
      </w:tr>
    </w:tbl>
    <w:p>
      <w:pPr>
        <w:pStyle w:val="BodyText"/>
      </w:pPr>
      <w:r>
        <w:rPr>
          <w:sz w:val="25"/>
        </w:rPr>
        <w:t xml:space="preserve">Each lifecycle’s SIPOC supplier/customer roles are fixed by its type (for example, ERP names the Executive Sponsor, PM, and Change Manager as suppliers and the Steering Committee, End Users, and Sustainment Team as customers; Compliance instead names Legal/Compliance as supplier and the Regulator as customer) — Part 4 walks each case with its own supplier/customer cast named concretely rather than generically.</w:t>
      </w:r>
    </w:p>
    <w:p>
      <w:r>
        <w:rPr>
          <w:sz w:val="25"/>
        </w:rPr>
        <w:pict>
          <v:rect style="width:0;height:1.5pt" o:hralign="center" o:hrstd="t" o:hr="t"/>
        </w:pict>
      </w:r>
    </w:p>
    <w:p>
      <w:r>
        <w:rPr>
          <w:sz w:val="25"/>
        </w:rPr>
        <w:pict>
          <v:rect style="width:0;height:1.5pt" o:hralign="center" o:hrstd="t" o:hr="t"/>
        </w:pict>
      </w:r>
    </w:p>
    <w:p>
      <w:pPr>
        <w:pStyle w:val="FirstParagraph"/>
      </w:pPr>
    </w:p>
    <w:bookmarkEnd w:id="90"/>
    <w:bookmarkEnd w:id="91"/>
    <w:bookmarkStart w:id="103" w:name="Xb062a9495713b8c8b037dca833442cfc66017b0"/>
    <w:p>
      <w:pPr>
        <w:pStyle w:val="Heading2"/>
      </w:pPr>
      <w:r>
        <w:rPr>
          <w:b/>
          <w:color w:val="275650"/>
          <w:sz w:val="34"/>
        </w:rPr>
        <w:t xml:space="preserve">Part 4 — Change Management Scenario Library</w:t>
      </w:r>
    </w:p>
    <w:p>
      <w:pPr>
        <w:pStyle w:val="FirstParagraph"/>
      </w:pPr>
      <w:r>
        <w:rPr>
          <w:sz w:val="25"/>
        </w:rPr>
        <w:t xml:space="preserve">Bouregreg Group’s single tenant (Part 1) holds one Organization, Bouregreg Manufacturing Maroc, under which every Change Management Project in this Part runs. journi’s own data model makes this the natural way to show</w:t>
      </w:r>
      <w:r>
        <w:rPr>
          <w:sz w:val="25"/>
        </w:rPr>
        <w:t xml:space="preserve"> </w:t>
      </w:r>
      <w:r>
        <w:rPr>
          <w:sz w:val="25"/>
        </w:rPr>
        <w:t xml:space="preserve">“</w:t>
      </w:r>
      <w:r>
        <w:rPr>
          <w:sz w:val="25"/>
        </w:rPr>
        <w:t xml:space="preserve">more than one kind of change</w:t>
      </w:r>
      <w:r>
        <w:rPr>
          <w:sz w:val="25"/>
        </w:rPr>
        <w:t xml:space="preserve">”</w:t>
      </w:r>
      <w:r>
        <w:rPr>
          <w:sz w:val="25"/>
        </w:rPr>
        <w:t xml:space="preserve"> </w:t>
      </w:r>
      <w:r>
        <w:rPr>
          <w:sz w:val="25"/>
        </w:rPr>
        <w:t xml:space="preserve">without a second tenant: several CM Projects share one Organization, one Stakeholder Map, one Codebook, and one Permission Matrix, while each keeps its own Lewin phase, ADKAR scores, resistance log, and sustainment record. Running eight further projects alongside the ERP program also does something no single scenario can: two of journi’s live alerts — Change Saturation and Communication Overload — only fire when several projects target the same population at once, so this library is what actually makes those two alerts real rather than theoretical.</w:t>
      </w:r>
    </w:p>
    <w:p>
      <w:pPr>
        <w:pStyle w:val="BodyText"/>
      </w:pPr>
      <w:r>
        <w:rPr>
          <w:sz w:val="25"/>
        </w:rPr>
        <w:t xml:space="preserve">Each case below states its archetype, business driver, target population, starting readiness pattern, and — concretely, not abstractly — which of journi’s 9 live-computed alerts it is built to exercise.</w:t>
      </w:r>
    </w:p>
    <w:bookmarkStart w:id="92" w:name="the-scenario-library-at-a-glance"/>
    <w:p>
      <w:pPr>
        <w:pStyle w:val="Heading3"/>
      </w:pPr>
      <w:r>
        <w:rPr>
          <w:b/>
          <w:color w:val="3F827B"/>
          <w:sz w:val="29"/>
        </w:rPr>
        <w:t xml:space="preserve">The Scenario Library at a Glance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shd w:val="clear" w:fill="1F4B45"/>
          </w:tcPr>
          <w:p>
            <w:pPr>
              <w:pStyle w:val="Compact"/>
              <w:jc w:val="left"/>
            </w:pPr>
            <w:r>
              <w:rPr>
                <w:b/>
                <w:color w:val="FFFFFF"/>
                <w:sz w:val="22"/>
              </w:rPr>
              <w:t xml:space="preserve">Case</w:t>
            </w:r>
          </w:p>
        </w:tc>
        <w:tc>
          <w:tcPr>
            <w:shd w:val="clear" w:fill="1F4B45"/>
          </w:tcPr>
          <w:p>
            <w:pPr>
              <w:pStyle w:val="Compact"/>
              <w:jc w:val="left"/>
            </w:pPr>
            <w:r>
              <w:rPr>
                <w:b/>
                <w:color w:val="FFFFFF"/>
                <w:sz w:val="22"/>
              </w:rPr>
              <w:t xml:space="preserve">Archetype</w:t>
            </w:r>
          </w:p>
        </w:tc>
        <w:tc>
          <w:tcPr>
            <w:shd w:val="clear" w:fill="1F4B45"/>
          </w:tcPr>
          <w:p>
            <w:pPr>
              <w:pStyle w:val="Compact"/>
              <w:jc w:val="left"/>
            </w:pPr>
            <w:r>
              <w:rPr>
                <w:b/>
                <w:color w:val="FFFFFF"/>
                <w:sz w:val="22"/>
              </w:rPr>
              <w:t xml:space="preserve">Population</w:t>
            </w:r>
          </w:p>
        </w:tc>
        <w:tc>
          <w:tcPr>
            <w:shd w:val="clear" w:fill="1F4B45"/>
          </w:tcPr>
          <w:p>
            <w:pPr>
              <w:pStyle w:val="Compact"/>
              <w:jc w:val="left"/>
            </w:pPr>
            <w:r>
              <w:rPr>
                <w:b/>
                <w:color w:val="FFFFFF"/>
                <w:sz w:val="22"/>
              </w:rPr>
              <w:t xml:space="preserve">Weeks</w:t>
            </w:r>
          </w:p>
        </w:tc>
        <w:tc>
          <w:tcPr>
            <w:shd w:val="clear" w:fill="1F4B45"/>
          </w:tcPr>
          <w:p>
            <w:pPr>
              <w:pStyle w:val="Compact"/>
              <w:jc w:val="left"/>
            </w:pPr>
            <w:r>
              <w:rPr>
                <w:b/>
                <w:color w:val="FFFFFF"/>
                <w:sz w:val="22"/>
              </w:rPr>
              <w:t xml:space="preserve">Alert it exercises</w:t>
            </w:r>
          </w:p>
        </w:tc>
      </w:tr>
      <w:tr>
        <w:trPr>
          <w:cantSplit/>
        </w:trPr>
        <w:tc>
          <w:tcPr/>
          <w:p>
            <w:pPr>
              <w:pStyle w:val="Compact"/>
              <w:jc w:val="left"/>
            </w:pPr>
            <w:r>
              <w:rPr>
                <w:sz w:val="22"/>
              </w:rPr>
              <w:t xml:space="preserve">Bouregreg ERP Adoption Program</w:t>
            </w:r>
          </w:p>
        </w:tc>
        <w:tc>
          <w:tcPr/>
          <w:p>
            <w:pPr>
              <w:pStyle w:val="Compact"/>
              <w:jc w:val="left"/>
            </w:pPr>
            <w:r>
              <w:rPr>
                <w:sz w:val="22"/>
              </w:rPr>
              <w:t xml:space="preserve">ERP</w:t>
            </w:r>
          </w:p>
        </w:tc>
        <w:tc>
          <w:tcPr/>
          <w:p>
            <w:pPr>
              <w:pStyle w:val="Compact"/>
              <w:jc w:val="left"/>
            </w:pPr>
            <w:r>
              <w:rPr>
                <w:sz w:val="22"/>
              </w:rPr>
              <w:t xml:space="preserve">3,400 (all sites)</w:t>
            </w:r>
          </w:p>
        </w:tc>
        <w:tc>
          <w:tcPr/>
          <w:p>
            <w:pPr>
              <w:pStyle w:val="Compact"/>
              <w:jc w:val="left"/>
            </w:pPr>
            <w:r>
              <w:rPr>
                <w:sz w:val="22"/>
              </w:rPr>
              <w:t xml:space="preserve">W1–64</w:t>
            </w:r>
          </w:p>
        </w:tc>
        <w:tc>
          <w:tcPr/>
          <w:p>
            <w:pPr>
              <w:pStyle w:val="Compact"/>
              <w:jc w:val="left"/>
            </w:pPr>
            <w:r>
              <w:rPr>
                <w:sz w:val="22"/>
              </w:rPr>
              <w:t xml:space="preserve">ALT-001, ALT-009</w:t>
            </w:r>
          </w:p>
        </w:tc>
      </w:tr>
      <w:tr>
        <w:trPr>
          <w:cantSplit/>
        </w:trPr>
        <w:tc>
          <w:tcPr/>
          <w:p>
            <w:pPr>
              <w:pStyle w:val="Compact"/>
              <w:jc w:val="left"/>
            </w:pPr>
            <w:r>
              <w:rPr>
                <w:sz w:val="22"/>
              </w:rPr>
              <w:t xml:space="preserve">Order-to-Cash Process Redesign</w:t>
            </w:r>
          </w:p>
        </w:tc>
        <w:tc>
          <w:tcPr/>
          <w:p>
            <w:pPr>
              <w:pStyle w:val="Compact"/>
              <w:jc w:val="left"/>
            </w:pPr>
            <w:r>
              <w:rPr>
                <w:sz w:val="22"/>
              </w:rPr>
              <w:t xml:space="preserve">BPR</w:t>
            </w:r>
          </w:p>
        </w:tc>
        <w:tc>
          <w:tcPr/>
          <w:p>
            <w:pPr>
              <w:pStyle w:val="Compact"/>
              <w:jc w:val="left"/>
            </w:pPr>
            <w:r>
              <w:rPr>
                <w:sz w:val="22"/>
              </w:rPr>
              <w:t xml:space="preserve">140 (Casablanca finance)</w:t>
            </w:r>
          </w:p>
        </w:tc>
        <w:tc>
          <w:tcPr/>
          <w:p>
            <w:pPr>
              <w:pStyle w:val="Compact"/>
              <w:jc w:val="left"/>
            </w:pPr>
            <w:r>
              <w:rPr>
                <w:sz w:val="22"/>
              </w:rPr>
              <w:t xml:space="preserve">W3–52</w:t>
            </w:r>
          </w:p>
        </w:tc>
        <w:tc>
          <w:tcPr/>
          <w:p>
            <w:pPr>
              <w:pStyle w:val="Compact"/>
              <w:jc w:val="left"/>
            </w:pPr>
            <w:r>
              <w:rPr>
                <w:sz w:val="22"/>
              </w:rPr>
              <w:t xml:space="preserve">ALT-004</w:t>
            </w:r>
          </w:p>
        </w:tc>
      </w:tr>
      <w:tr>
        <w:trPr>
          <w:cantSplit/>
        </w:trPr>
        <w:tc>
          <w:tcPr/>
          <w:p>
            <w:pPr>
              <w:pStyle w:val="Compact"/>
              <w:jc w:val="left"/>
            </w:pPr>
            <w:r>
              <w:rPr>
                <w:sz w:val="22"/>
              </w:rPr>
              <w:t xml:space="preserve">Kenitra Invoice-Matching Automation</w:t>
            </w:r>
          </w:p>
        </w:tc>
        <w:tc>
          <w:tcPr/>
          <w:p>
            <w:pPr>
              <w:pStyle w:val="Compact"/>
              <w:jc w:val="left"/>
            </w:pPr>
            <w:r>
              <w:rPr>
                <w:sz w:val="22"/>
              </w:rPr>
              <w:t xml:space="preserve">Automation</w:t>
            </w:r>
          </w:p>
        </w:tc>
        <w:tc>
          <w:tcPr/>
          <w:p>
            <w:pPr>
              <w:pStyle w:val="Compact"/>
              <w:jc w:val="left"/>
            </w:pPr>
            <w:r>
              <w:rPr>
                <w:sz w:val="22"/>
              </w:rPr>
              <w:t xml:space="preserve">18 (Kenitra AP)</w:t>
            </w:r>
          </w:p>
        </w:tc>
        <w:tc>
          <w:tcPr/>
          <w:p>
            <w:pPr>
              <w:pStyle w:val="Compact"/>
              <w:jc w:val="left"/>
            </w:pPr>
            <w:r>
              <w:rPr>
                <w:sz w:val="22"/>
              </w:rPr>
              <w:t xml:space="preserve">W20–38</w:t>
            </w:r>
          </w:p>
        </w:tc>
        <w:tc>
          <w:tcPr/>
          <w:p>
            <w:pPr>
              <w:pStyle w:val="Compact"/>
              <w:jc w:val="left"/>
            </w:pPr>
            <w:r>
              <w:rPr>
                <w:sz w:val="22"/>
              </w:rPr>
              <w:t xml:space="preserve">None (clean-close contrast case)</w:t>
            </w:r>
          </w:p>
        </w:tc>
      </w:tr>
      <w:tr>
        <w:trPr>
          <w:cantSplit/>
        </w:trPr>
        <w:tc>
          <w:tcPr/>
          <w:p>
            <w:pPr>
              <w:pStyle w:val="Compact"/>
              <w:jc w:val="left"/>
            </w:pPr>
            <w:r>
              <w:rPr>
                <w:sz w:val="22"/>
              </w:rPr>
              <w:t xml:space="preserve">ISO 9001/14001 Integrated Management System</w:t>
            </w:r>
          </w:p>
        </w:tc>
        <w:tc>
          <w:tcPr/>
          <w:p>
            <w:pPr>
              <w:pStyle w:val="Compact"/>
              <w:jc w:val="left"/>
            </w:pPr>
            <w:r>
              <w:rPr>
                <w:sz w:val="22"/>
              </w:rPr>
              <w:t xml:space="preserve">QMS</w:t>
            </w:r>
          </w:p>
        </w:tc>
        <w:tc>
          <w:tcPr/>
          <w:p>
            <w:pPr>
              <w:pStyle w:val="Compact"/>
              <w:jc w:val="left"/>
            </w:pPr>
            <w:r>
              <w:rPr>
                <w:sz w:val="22"/>
              </w:rPr>
              <w:t xml:space="preserve">410 (Settat plant + quality)</w:t>
            </w:r>
          </w:p>
        </w:tc>
        <w:tc>
          <w:tcPr/>
          <w:p>
            <w:pPr>
              <w:pStyle w:val="Compact"/>
              <w:jc w:val="left"/>
            </w:pPr>
            <w:r>
              <w:rPr>
                <w:sz w:val="22"/>
              </w:rPr>
              <w:t xml:space="preserve">W1–52+</w:t>
            </w:r>
          </w:p>
        </w:tc>
        <w:tc>
          <w:tcPr/>
          <w:p>
            <w:pPr>
              <w:pStyle w:val="Compact"/>
              <w:jc w:val="left"/>
            </w:pPr>
            <w:r>
              <w:rPr>
                <w:sz w:val="22"/>
              </w:rPr>
              <w:t xml:space="preserve">ALT-010</w:t>
            </w:r>
          </w:p>
        </w:tc>
      </w:tr>
      <w:tr>
        <w:trPr>
          <w:cantSplit/>
        </w:trPr>
        <w:tc>
          <w:tcPr/>
          <w:p>
            <w:pPr>
              <w:pStyle w:val="Compact"/>
              <w:jc w:val="left"/>
            </w:pPr>
            <w:r>
              <w:rPr>
                <w:sz w:val="22"/>
              </w:rPr>
              <w:t xml:space="preserve">One Bouregreg: Culture Integration</w:t>
            </w:r>
          </w:p>
        </w:tc>
        <w:tc>
          <w:tcPr/>
          <w:p>
            <w:pPr>
              <w:pStyle w:val="Compact"/>
              <w:jc w:val="left"/>
            </w:pPr>
            <w:r>
              <w:rPr>
                <w:sz w:val="22"/>
              </w:rPr>
              <w:t xml:space="preserve">Cultural</w:t>
            </w:r>
          </w:p>
        </w:tc>
        <w:tc>
          <w:tcPr/>
          <w:p>
            <w:pPr>
              <w:pStyle w:val="Compact"/>
              <w:jc w:val="left"/>
            </w:pPr>
            <w:r>
              <w:rPr>
                <w:sz w:val="22"/>
              </w:rPr>
              <w:t xml:space="preserve">260 + counterparts (Tangier)</w:t>
            </w:r>
          </w:p>
        </w:tc>
        <w:tc>
          <w:tcPr/>
          <w:p>
            <w:pPr>
              <w:pStyle w:val="Compact"/>
              <w:jc w:val="left"/>
            </w:pPr>
            <w:r>
              <w:rPr>
                <w:sz w:val="22"/>
              </w:rPr>
              <w:t xml:space="preserve">W27–58+</w:t>
            </w:r>
          </w:p>
        </w:tc>
        <w:tc>
          <w:tcPr/>
          <w:p>
            <w:pPr>
              <w:pStyle w:val="Compact"/>
              <w:jc w:val="left"/>
            </w:pPr>
            <w:r>
              <w:rPr>
                <w:sz w:val="22"/>
              </w:rPr>
              <w:t xml:space="preserve">ALT-003</w:t>
            </w:r>
          </w:p>
        </w:tc>
      </w:tr>
      <w:tr>
        <w:trPr>
          <w:cantSplit/>
        </w:trPr>
        <w:tc>
          <w:tcPr/>
          <w:p>
            <w:pPr>
              <w:pStyle w:val="Compact"/>
              <w:jc w:val="left"/>
            </w:pPr>
            <w:r>
              <w:rPr>
                <w:sz w:val="22"/>
              </w:rPr>
              <w:t xml:space="preserve">Regional Operating Model Redesign</w:t>
            </w:r>
          </w:p>
        </w:tc>
        <w:tc>
          <w:tcPr/>
          <w:p>
            <w:pPr>
              <w:pStyle w:val="Compact"/>
              <w:jc w:val="left"/>
            </w:pPr>
            <w:r>
              <w:rPr>
                <w:sz w:val="22"/>
              </w:rPr>
              <w:t xml:space="preserve">Operating Model</w:t>
            </w:r>
          </w:p>
        </w:tc>
        <w:tc>
          <w:tcPr/>
          <w:p>
            <w:pPr>
              <w:pStyle w:val="Compact"/>
              <w:jc w:val="left"/>
            </w:pPr>
            <w:r>
              <w:rPr>
                <w:sz w:val="22"/>
              </w:rPr>
              <w:t xml:space="preserve">95 (people managers, 3 sites)</w:t>
            </w:r>
          </w:p>
        </w:tc>
        <w:tc>
          <w:tcPr/>
          <w:p>
            <w:pPr>
              <w:pStyle w:val="Compact"/>
              <w:jc w:val="left"/>
            </w:pPr>
            <w:r>
              <w:rPr>
                <w:sz w:val="22"/>
              </w:rPr>
              <w:t xml:space="preserve">W35–64</w:t>
            </w:r>
          </w:p>
        </w:tc>
        <w:tc>
          <w:tcPr/>
          <w:p>
            <w:pPr>
              <w:pStyle w:val="Compact"/>
              <w:jc w:val="left"/>
            </w:pPr>
            <w:r>
              <w:rPr>
                <w:sz w:val="22"/>
              </w:rPr>
              <w:t xml:space="preserve">ALT-002, ALT-015</w:t>
            </w:r>
          </w:p>
        </w:tc>
      </w:tr>
      <w:tr>
        <w:trPr>
          <w:cantSplit/>
        </w:trPr>
        <w:tc>
          <w:tcPr/>
          <w:p>
            <w:pPr>
              <w:pStyle w:val="Compact"/>
              <w:jc w:val="left"/>
            </w:pPr>
            <w:r>
              <w:rPr>
                <w:sz w:val="22"/>
              </w:rPr>
              <w:t xml:space="preserve">Loi 09-08 Compliance Program</w:t>
            </w:r>
          </w:p>
        </w:tc>
        <w:tc>
          <w:tcPr/>
          <w:p>
            <w:pPr>
              <w:pStyle w:val="Compact"/>
              <w:jc w:val="left"/>
            </w:pPr>
            <w:r>
              <w:rPr>
                <w:sz w:val="22"/>
              </w:rPr>
              <w:t xml:space="preserve">Compliance</w:t>
            </w:r>
          </w:p>
        </w:tc>
        <w:tc>
          <w:tcPr/>
          <w:p>
            <w:pPr>
              <w:pStyle w:val="Compact"/>
              <w:jc w:val="left"/>
            </w:pPr>
            <w:r>
              <w:rPr>
                <w:sz w:val="22"/>
              </w:rPr>
              <w:t xml:space="preserve">310 (HR, Sales, CS)</w:t>
            </w:r>
          </w:p>
        </w:tc>
        <w:tc>
          <w:tcPr/>
          <w:p>
            <w:pPr>
              <w:pStyle w:val="Compact"/>
              <w:jc w:val="left"/>
            </w:pPr>
            <w:r>
              <w:rPr>
                <w:sz w:val="22"/>
              </w:rPr>
              <w:t xml:space="preserve">W1–64</w:t>
            </w:r>
          </w:p>
        </w:tc>
        <w:tc>
          <w:tcPr/>
          <w:p>
            <w:pPr>
              <w:pStyle w:val="Compact"/>
              <w:jc w:val="left"/>
            </w:pPr>
            <w:r>
              <w:rPr>
                <w:sz w:val="22"/>
              </w:rPr>
              <w:t xml:space="preserve">ALT-009 (schedule-critical)</w:t>
            </w:r>
          </w:p>
        </w:tc>
      </w:tr>
      <w:tr>
        <w:trPr>
          <w:cantSplit/>
        </w:trPr>
        <w:tc>
          <w:tcPr/>
          <w:p>
            <w:pPr>
              <w:pStyle w:val="Compact"/>
              <w:jc w:val="left"/>
            </w:pPr>
            <w:r>
              <w:rPr>
                <w:sz w:val="22"/>
              </w:rPr>
              <w:t xml:space="preserve">Plant Digital Skills Upskilling</w:t>
            </w:r>
          </w:p>
        </w:tc>
        <w:tc>
          <w:tcPr/>
          <w:p>
            <w:pPr>
              <w:pStyle w:val="Compact"/>
              <w:jc w:val="left"/>
            </w:pPr>
            <w:r>
              <w:rPr>
                <w:sz w:val="22"/>
              </w:rPr>
              <w:t xml:space="preserve">Training &amp; Skills</w:t>
            </w:r>
          </w:p>
        </w:tc>
        <w:tc>
          <w:tcPr/>
          <w:p>
            <w:pPr>
              <w:pStyle w:val="Compact"/>
              <w:jc w:val="left"/>
            </w:pPr>
            <w:r>
              <w:rPr>
                <w:sz w:val="22"/>
              </w:rPr>
              <w:t xml:space="preserve">620 (plant floor, 2 sites)</w:t>
            </w:r>
          </w:p>
        </w:tc>
        <w:tc>
          <w:tcPr/>
          <w:p>
            <w:pPr>
              <w:pStyle w:val="Compact"/>
              <w:jc w:val="left"/>
            </w:pPr>
            <w:r>
              <w:rPr>
                <w:sz w:val="22"/>
              </w:rPr>
              <w:t xml:space="preserve">W16–58</w:t>
            </w:r>
          </w:p>
        </w:tc>
        <w:tc>
          <w:tcPr/>
          <w:p>
            <w:pPr>
              <w:pStyle w:val="Compact"/>
              <w:jc w:val="left"/>
            </w:pPr>
            <w:r>
              <w:rPr>
                <w:sz w:val="22"/>
              </w:rPr>
              <w:t xml:space="preserve">None (independent of a go-live)</w:t>
            </w:r>
          </w:p>
        </w:tc>
      </w:tr>
      <w:tr>
        <w:trPr>
          <w:cantSplit/>
        </w:trPr>
        <w:tc>
          <w:tcPr/>
          <w:p>
            <w:pPr>
              <w:pStyle w:val="Compact"/>
              <w:jc w:val="left"/>
            </w:pPr>
            <w:r>
              <w:rPr>
                <w:sz w:val="22"/>
              </w:rPr>
              <w:t xml:space="preserve">Settat Plant Consolidation &amp; Restructuring</w:t>
            </w:r>
          </w:p>
        </w:tc>
        <w:tc>
          <w:tcPr/>
          <w:p>
            <w:pPr>
              <w:pStyle w:val="Compact"/>
              <w:jc w:val="left"/>
            </w:pPr>
            <w:r>
              <w:rPr>
                <w:sz w:val="22"/>
              </w:rPr>
              <w:t xml:space="preserve">Restructuring</w:t>
            </w:r>
          </w:p>
        </w:tc>
        <w:tc>
          <w:tcPr/>
          <w:p>
            <w:pPr>
              <w:pStyle w:val="Compact"/>
              <w:jc w:val="left"/>
            </w:pPr>
            <w:r>
              <w:rPr>
                <w:sz w:val="22"/>
              </w:rPr>
              <w:t xml:space="preserve">130 (affected line)</w:t>
            </w:r>
          </w:p>
        </w:tc>
        <w:tc>
          <w:tcPr/>
          <w:p>
            <w:pPr>
              <w:pStyle w:val="Compact"/>
              <w:jc w:val="left"/>
            </w:pPr>
            <w:r>
              <w:rPr>
                <w:sz w:val="22"/>
              </w:rPr>
              <w:t xml:space="preserve">W40–64</w:t>
            </w:r>
          </w:p>
        </w:tc>
        <w:tc>
          <w:tcPr/>
          <w:p>
            <w:pPr>
              <w:pStyle w:val="Compact"/>
              <w:jc w:val="left"/>
            </w:pPr>
            <w:r>
              <w:rPr>
                <w:sz w:val="22"/>
              </w:rPr>
              <w:t xml:space="preserve">ALT-004</w:t>
            </w:r>
          </w:p>
        </w:tc>
      </w:tr>
    </w:tbl>
    <w:p>
      <w:pPr>
        <w:pStyle w:val="BodyText"/>
      </w:pPr>
      <w:r>
        <w:rPr>
          <w:sz w:val="25"/>
        </w:rPr>
        <w:t xml:space="preserve">Read top to bottom, the table also makes a structural point visible at a glance: eight of the nine cases run on a Phase Template with a registered End-to-End lifecycle behind it (Part 3, Appendix A.5); only the last, Restructuring, runs on the generic core chains because no dedicated lifecycle exists for it — the same gap the case’s own write-up below states directly rather than papers over.</w:t>
      </w:r>
    </w:p>
    <w:bookmarkEnd w:id="92"/>
    <w:bookmarkStart w:id="93" w:name="X8f9567737741ab3c6a83fb539ea0246a11ba92c"/>
    <w:p>
      <w:pPr>
        <w:pStyle w:val="Heading3"/>
      </w:pPr>
      <w:r>
        <w:rPr>
          <w:b/>
          <w:color w:val="3F827B"/>
          <w:sz w:val="29"/>
        </w:rPr>
        <w:t xml:space="preserve">Bouregreg ERP Adoption Program</w:t>
      </w:r>
      <w:r>
        <w:rPr>
          <w:b/>
          <w:color w:val="3F827B"/>
          <w:sz w:val="29"/>
        </w:rPr>
        <w:t xml:space="preserve"> </w:t>
      </w:r>
      <w:r>
        <w:rPr>
          <w:iCs/>
          <w:b/>
          <w:i/>
          <w:color w:val="3F827B"/>
          <w:sz w:val="29"/>
        </w:rPr>
        <w:t xml:space="preserve">(archetype: ERP — E2E-ERP)</w:t>
      </w:r>
    </w:p>
    <w:p>
      <w:pPr>
        <w:pStyle w:val="FirstParagraph"/>
      </w:pPr>
      <w:r>
        <w:rPr>
          <w:sz w:val="25"/>
        </w:rPr>
        <w:t xml:space="preserve">Covered in full in Part 1 (setup) and Part 3 (E2E-01 through E2E-04, and E2E-ERP). Target population: all 3,400 staff across Casablanca, Kenitra, and Settat. Starting Lewin phase: Unfreeze. This is the throughline case, and the one most likely to trigger</w:t>
      </w:r>
      <w:r>
        <w:rPr>
          <w:sz w:val="25"/>
        </w:rPr>
        <w:t xml:space="preserve"> </w:t>
      </w:r>
      <w:r>
        <w:rPr>
          <w:bCs/>
          <w:b/>
          <w:sz w:val="25"/>
        </w:rPr>
        <w:t xml:space="preserve">ALT-001 (Divergence Pattern Detected)</w:t>
      </w:r>
      <w:r>
        <w:rPr>
          <w:sz w:val="25"/>
        </w:rPr>
        <w:t xml:space="preserve"> </w:t>
      </w:r>
      <w:r>
        <w:rPr>
          <w:sz w:val="25"/>
        </w:rPr>
        <w:t xml:space="preserve">at UAT if a cohort’s Knowledge and Ability scores both reach 4 while Bridges still reads Ending — and</w:t>
      </w:r>
      <w:r>
        <w:rPr>
          <w:sz w:val="25"/>
        </w:rPr>
        <w:t xml:space="preserve"> </w:t>
      </w:r>
      <w:r>
        <w:rPr>
          <w:bCs/>
          <w:b/>
          <w:sz w:val="25"/>
        </w:rPr>
        <w:t xml:space="preserve">ALT-009 (Phase Gate No-Go / Conditional)</w:t>
      </w:r>
      <w:r>
        <w:rPr>
          <w:sz w:val="25"/>
        </w:rPr>
        <w:t xml:space="preserve"> </w:t>
      </w:r>
      <w:r>
        <w:rPr>
          <w:sz w:val="25"/>
        </w:rPr>
        <w:t xml:space="preserve">if a Phase Gate closes as anything other than a clean Go.</w:t>
      </w:r>
    </w:p>
    <w:bookmarkEnd w:id="93"/>
    <w:bookmarkStart w:id="94" w:name="Xc24d01c77d44894f2465531ef76a97acdfd22e6"/>
    <w:p>
      <w:pPr>
        <w:pStyle w:val="Heading3"/>
      </w:pPr>
      <w:r>
        <w:rPr>
          <w:b/>
          <w:color w:val="3F827B"/>
          <w:sz w:val="29"/>
        </w:rPr>
        <w:t xml:space="preserve">Order-to-Cash Process Redesign</w:t>
      </w:r>
      <w:r>
        <w:rPr>
          <w:b/>
          <w:color w:val="3F827B"/>
          <w:sz w:val="29"/>
        </w:rPr>
        <w:t xml:space="preserve"> </w:t>
      </w:r>
      <w:r>
        <w:rPr>
          <w:iCs/>
          <w:b/>
          <w:i/>
          <w:color w:val="3F827B"/>
          <w:sz w:val="29"/>
        </w:rPr>
        <w:t xml:space="preserve">(archetype: BPR — E2E-BPR)</w:t>
      </w:r>
    </w:p>
    <w:p>
      <w:pPr>
        <w:pStyle w:val="FirstParagraph"/>
      </w:pPr>
      <w:r>
        <w:rPr>
          <w:sz w:val="25"/>
        </w:rPr>
        <w:t xml:space="preserve">Casablanca HQ’s finance function has run order-to-cash manually since before the ERP program began; this project redesigns the process itself, independent of any system change. Business driver: three weeks of month-end reconciliation work, self-inflicted by the process design, not the tooling. Target population: Casablanca finance (140 staff). Starting pattern: finance staff who built and privately own today’s manual workarounds resist a redesign that makes those workarounds obsolete — by design, this case is built to cross the resistance-escalation threshold and fire</w:t>
      </w:r>
      <w:r>
        <w:rPr>
          <w:sz w:val="25"/>
        </w:rPr>
        <w:t xml:space="preserve"> </w:t>
      </w:r>
      <w:r>
        <w:rPr>
          <w:bCs/>
          <w:b/>
          <w:sz w:val="25"/>
        </w:rPr>
        <w:t xml:space="preserve">ALT-004 (Resistance Escalation Threshold Breached)</w:t>
      </w:r>
      <w:r>
        <w:rPr>
          <w:sz w:val="25"/>
        </w:rPr>
        <w:t xml:space="preserve"> </w:t>
      </w:r>
      <w:r>
        <w:rPr>
          <w:sz w:val="25"/>
        </w:rPr>
        <w:t xml:space="preserve">once three or more open resistance entries accumulate.</w:t>
      </w:r>
    </w:p>
    <w:p>
      <w:pPr>
        <w:pStyle w:val="BodyText"/>
      </w:pPr>
      <w:r>
        <w:rPr>
          <w:bCs/>
          <w:b/>
          <w:sz w:val="25"/>
        </w:rPr>
        <w:t xml:space="preserve">Milestones:</w:t>
      </w:r>
      <w:r>
        <w:rPr>
          <w:sz w:val="25"/>
        </w:rPr>
        <w:t xml:space="preserve"> </w:t>
      </w:r>
      <w:r>
        <w:rPr>
          <w:sz w:val="25"/>
        </w:rPr>
        <w:t xml:space="preserve">W3 intake and diagnosis opens, running alongside the ERP program’s own Discovery; W10 clean-slate design signed off; W18 build complete; W22–26 pilot on a single process step, where the third resistance entry lands and ALT-004 fires; W34 organization-wide rollout; W44 stabilization; W52 sustainment handoff.</w:t>
      </w:r>
    </w:p>
    <w:bookmarkEnd w:id="94"/>
    <w:bookmarkStart w:id="95" w:name="Xf809a11e051728219602f4df9a59bd412be5988"/>
    <w:p>
      <w:pPr>
        <w:pStyle w:val="Heading3"/>
      </w:pPr>
      <w:r>
        <w:rPr>
          <w:b/>
          <w:color w:val="3F827B"/>
          <w:sz w:val="29"/>
        </w:rPr>
        <w:t xml:space="preserve">Kenitra Invoice-Matching Automation</w:t>
      </w:r>
      <w:r>
        <w:rPr>
          <w:b/>
          <w:color w:val="3F827B"/>
          <w:sz w:val="29"/>
        </w:rPr>
        <w:t xml:space="preserve"> </w:t>
      </w:r>
      <w:r>
        <w:rPr>
          <w:iCs/>
          <w:b/>
          <w:i/>
          <w:color w:val="3F827B"/>
          <w:sz w:val="29"/>
        </w:rPr>
        <w:t xml:space="preserve">(archetype: Automation — E2E-BPA)</w:t>
      </w:r>
    </w:p>
    <w:p>
      <w:pPr>
        <w:pStyle w:val="FirstParagraph"/>
      </w:pPr>
      <w:r>
        <w:rPr>
          <w:sz w:val="25"/>
        </w:rPr>
        <w:t xml:space="preserve">A narrow, well-scoped robotic process automation project matching supplier invoices against purchase orders at the Kenitra plant. Business driver: a repetitive task with no judgment calls, a strong automation candidate. Target population: Kenitra accounts payable (18 staff). Starting pattern: this is this guide’s deliberate low-resistance, fast-moving contrast case — narrow scope, an already-bought-in team, and a Sponsor who is visibly active from day one. It is designed to close without any of the 9 live alerts firing, which is itself the point: not every Change Management Project needs a recovery playbook, and this guide states that plainly rather than manufacture a crisis where none exists.</w:t>
      </w:r>
    </w:p>
    <w:p>
      <w:pPr>
        <w:pStyle w:val="BodyText"/>
      </w:pPr>
      <w:r>
        <w:rPr>
          <w:bCs/>
          <w:b/>
          <w:sz w:val="25"/>
        </w:rPr>
        <w:t xml:space="preserve">Milestones:</w:t>
      </w:r>
      <w:r>
        <w:rPr>
          <w:sz w:val="25"/>
        </w:rPr>
        <w:t xml:space="preserve"> </w:t>
      </w:r>
      <w:r>
        <w:rPr>
          <w:sz w:val="25"/>
        </w:rPr>
        <w:t xml:space="preserve">W20 opportunity assessment; W24 architecture design; W29 build; W32 UAT and shadow-mode running the bot alongside the manual process for two weeks; W34 production go-live; W36 exception tuning; W38 CoE handover — the shortest case in the library, closed in 18 weeks against the ERP program’s own Build/Test window.</w:t>
      </w:r>
    </w:p>
    <w:bookmarkEnd w:id="95"/>
    <w:bookmarkStart w:id="96" w:name="X5bff64c3c3a26e5e158972a6291c1c524f666df"/>
    <w:p>
      <w:pPr>
        <w:pStyle w:val="Heading3"/>
      </w:pPr>
      <w:r>
        <w:rPr>
          <w:b/>
          <w:color w:val="3F827B"/>
          <w:sz w:val="29"/>
        </w:rPr>
        <w:t xml:space="preserve">ISO 9001/14001 Integrated Management System</w:t>
      </w:r>
      <w:r>
        <w:rPr>
          <w:b/>
          <w:color w:val="3F827B"/>
          <w:sz w:val="29"/>
        </w:rPr>
        <w:t xml:space="preserve"> </w:t>
      </w:r>
      <w:r>
        <w:rPr>
          <w:iCs/>
          <w:b/>
          <w:i/>
          <w:color w:val="3F827B"/>
          <w:sz w:val="29"/>
        </w:rPr>
        <w:t xml:space="preserve">(archetype: QMS — E2E-IMS)</w:t>
      </w:r>
    </w:p>
    <w:p>
      <w:pPr>
        <w:pStyle w:val="FirstParagraph"/>
      </w:pPr>
      <w:r>
        <w:rPr>
          <w:sz w:val="25"/>
        </w:rPr>
        <w:t xml:space="preserve">Settat plant pursues integrated ISO 9001 (quality) and ISO 14001 (environmental) certification on one management system rather than two. Business driver: a customer contract now requires certified quality management; a parallel environmental certification is bundled in for efficiency. Target population: Settat plant operations and quality function (410 staff). Starting pattern: the Quality Manager sponsors the program alone, without a broader guiding coalition behind them — built to fire</w:t>
      </w:r>
      <w:r>
        <w:rPr>
          <w:sz w:val="25"/>
        </w:rPr>
        <w:t xml:space="preserve"> </w:t>
      </w:r>
      <w:r>
        <w:rPr>
          <w:bCs/>
          <w:b/>
          <w:sz w:val="25"/>
        </w:rPr>
        <w:t xml:space="preserve">ALT-010 (Guiding Coalition Gap)</w:t>
      </w:r>
      <w:r>
        <w:rPr>
          <w:sz w:val="25"/>
        </w:rPr>
        <w:t xml:space="preserve"> </w:t>
      </w:r>
      <w:r>
        <w:rPr>
          <w:sz w:val="25"/>
        </w:rPr>
        <w:t xml:space="preserve">once the Sponsor &amp; Coalition record (M7) shows fewer than two named coalition members.</w:t>
      </w:r>
    </w:p>
    <w:p>
      <w:pPr>
        <w:pStyle w:val="BodyText"/>
      </w:pPr>
      <w:r>
        <w:rPr>
          <w:bCs/>
          <w:b/>
          <w:sz w:val="25"/>
        </w:rPr>
        <w:t xml:space="preserve">Milestones:</w:t>
      </w:r>
      <w:r>
        <w:rPr>
          <w:sz w:val="25"/>
        </w:rPr>
        <w:t xml:space="preserve"> </w:t>
      </w:r>
      <w:r>
        <w:rPr>
          <w:sz w:val="25"/>
        </w:rPr>
        <w:t xml:space="preserve">W1 intake and diagnosis (started alongside the ERP program’s own kickoff); W12 design; W26 implementation, where the coalition gap is logged and ALT-010 fires; W38 mock-up audit; W46 certifying audit; W50 surveillance prep; ongoing surveillance beyond W52 — the longest single-phase tail in the library, since certification surveillance never formally closes.</w:t>
      </w:r>
    </w:p>
    <w:bookmarkEnd w:id="96"/>
    <w:bookmarkStart w:id="97" w:name="X58b69ff03d5e781d9ee9b64dcd60096cf2e421f"/>
    <w:p>
      <w:pPr>
        <w:pStyle w:val="Heading3"/>
      </w:pPr>
      <w:r>
        <w:rPr>
          <w:b/>
          <w:color w:val="3F827B"/>
          <w:sz w:val="29"/>
        </w:rPr>
        <w:t xml:space="preserve">One Bouregreg: Post-Acquisition Culture Integration</w:t>
      </w:r>
      <w:r>
        <w:rPr>
          <w:b/>
          <w:color w:val="3F827B"/>
          <w:sz w:val="29"/>
        </w:rPr>
        <w:t xml:space="preserve"> </w:t>
      </w:r>
      <w:r>
        <w:rPr>
          <w:iCs/>
          <w:b/>
          <w:i/>
          <w:color w:val="3F827B"/>
          <w:sz w:val="29"/>
        </w:rPr>
        <w:t xml:space="preserve">(archetype: Cultural — E2E-CULT)</w:t>
      </w:r>
    </w:p>
    <w:p>
      <w:pPr>
        <w:pStyle w:val="FirstParagraph"/>
      </w:pPr>
      <w:r>
        <w:rPr>
          <w:sz w:val="25"/>
        </w:rPr>
        <w:t xml:space="preserve">Six months into the ERP program, Bouregreg Group acquires a smaller regional competitor’s Tangier distribution operation. This project is the culture integration that follows — aligning two distinct ways of working under one set of values, not a system or process change. Business driver: the acquisition’s stated synergies depend on the two workforces actually operating as one company within 18 months. Target population: the acquired Tangier team (260 staff) plus their new Bouregreg counterparts. Starting pattern: a newly appointed integration Sponsor has not yet logged any visible activity in the record — built to fire</w:t>
      </w:r>
      <w:r>
        <w:rPr>
          <w:sz w:val="25"/>
        </w:rPr>
        <w:t xml:space="preserve"> </w:t>
      </w:r>
      <w:r>
        <w:rPr>
          <w:bCs/>
          <w:b/>
          <w:sz w:val="25"/>
        </w:rPr>
        <w:t xml:space="preserve">ALT-003 (Sponsor Coverage Gap)</w:t>
      </w:r>
      <w:r>
        <w:rPr>
          <w:sz w:val="25"/>
        </w:rPr>
        <w:t xml:space="preserve"> </w:t>
      </w:r>
      <w:r>
        <w:rPr>
          <w:sz w:val="25"/>
        </w:rPr>
        <w:t xml:space="preserve">in the program’s early weeks, before that Sponsor’s first town hall is logged.</w:t>
      </w:r>
    </w:p>
    <w:p>
      <w:pPr>
        <w:pStyle w:val="BodyText"/>
      </w:pPr>
      <w:r>
        <w:rPr>
          <w:bCs/>
          <w:b/>
          <w:sz w:val="25"/>
        </w:rPr>
        <w:t xml:space="preserve">Milestones:</w:t>
      </w:r>
      <w:r>
        <w:rPr>
          <w:sz w:val="25"/>
        </w:rPr>
        <w:t xml:space="preserve"> </w:t>
      </w:r>
      <w:r>
        <w:rPr>
          <w:sz w:val="25"/>
        </w:rPr>
        <w:t xml:space="preserve">W27 (six months into the ERP program) diagnosis opens; W30 target-values design, and ALT-003 fires before the integration Sponsor’s first logged action; W38 leadership modeling and reinforcement build begins; W46 pilot cohort (one Tangier team, one legacy Bouregreg team); W58 organization-wide rollout; reinforcement through skepticism and institutionalization continue well past the ERP program’s own W60 close, consistent with its 18-month horizon.</w:t>
      </w:r>
    </w:p>
    <w:bookmarkEnd w:id="97"/>
    <w:bookmarkStart w:id="98" w:name="Xd1da5f2b710a482859daf2c6bd05f400afab0a6"/>
    <w:p>
      <w:pPr>
        <w:pStyle w:val="Heading3"/>
      </w:pPr>
      <w:r>
        <w:rPr>
          <w:b/>
          <w:color w:val="3F827B"/>
          <w:sz w:val="29"/>
        </w:rPr>
        <w:t xml:space="preserve">Regional Operating Model Redesign</w:t>
      </w:r>
      <w:r>
        <w:rPr>
          <w:b/>
          <w:color w:val="3F827B"/>
          <w:sz w:val="29"/>
        </w:rPr>
        <w:t xml:space="preserve"> </w:t>
      </w:r>
      <w:r>
        <w:rPr>
          <w:iCs/>
          <w:b/>
          <w:i/>
          <w:color w:val="3F827B"/>
          <w:sz w:val="29"/>
        </w:rPr>
        <w:t xml:space="preserve">(archetype: Operating Model — E2E-OM)</w:t>
      </w:r>
    </w:p>
    <w:p>
      <w:pPr>
        <w:pStyle w:val="FirstParagraph"/>
      </w:pPr>
      <w:r>
        <w:rPr>
          <w:sz w:val="25"/>
        </w:rPr>
        <w:t xml:space="preserve">Realigns reporting lines across all three sites from a site-based structure to a function-based one — Finance, Operations, and Quality each reporting centrally rather than to a site director. Business driver: the ERP program exposed how much duplicated decision-making the site-based structure was causing. Target population: all people-manager-level staff across the three sites (95 staff). Starting pattern: this case runs past its first 30-day sustainment checkpoint with regression risk logged as high — built to fire</w:t>
      </w:r>
      <w:r>
        <w:rPr>
          <w:sz w:val="25"/>
        </w:rPr>
        <w:t xml:space="preserve"> </w:t>
      </w:r>
      <w:r>
        <w:rPr>
          <w:bCs/>
          <w:b/>
          <w:sz w:val="25"/>
        </w:rPr>
        <w:t xml:space="preserve">ALT-002 (Regression Risk Score Critical)</w:t>
      </w:r>
      <w:r>
        <w:rPr>
          <w:sz w:val="25"/>
        </w:rPr>
        <w:t xml:space="preserve"> </w:t>
      </w:r>
      <w:r>
        <w:rPr>
          <w:sz w:val="25"/>
        </w:rPr>
        <w:t xml:space="preserve">at that checkpoint, and consequently</w:t>
      </w:r>
      <w:r>
        <w:rPr>
          <w:sz w:val="25"/>
        </w:rPr>
        <w:t xml:space="preserve"> </w:t>
      </w:r>
      <w:r>
        <w:rPr>
          <w:bCs/>
          <w:b/>
          <w:sz w:val="25"/>
        </w:rPr>
        <w:t xml:space="preserve">ALT-015 (Sustainment Sign-Off Blocked)</w:t>
      </w:r>
      <w:r>
        <w:rPr>
          <w:sz w:val="25"/>
        </w:rPr>
        <w:t xml:space="preserve"> </w:t>
      </w:r>
      <w:r>
        <w:rPr>
          <w:sz w:val="25"/>
        </w:rPr>
        <w:t xml:space="preserve">until the regression is resolved and a clean checkpoint follows.</w:t>
      </w:r>
    </w:p>
    <w:p>
      <w:pPr>
        <w:pStyle w:val="BodyText"/>
      </w:pPr>
      <w:r>
        <w:rPr>
          <w:bCs/>
          <w:b/>
          <w:sz w:val="25"/>
        </w:rPr>
        <w:t xml:space="preserve">Milestones:</w:t>
      </w:r>
      <w:r>
        <w:rPr>
          <w:sz w:val="25"/>
        </w:rPr>
        <w:t xml:space="preserve"> </w:t>
      </w:r>
      <w:r>
        <w:rPr>
          <w:sz w:val="25"/>
        </w:rPr>
        <w:t xml:space="preserve">W35 current operating model assessment opens, once the ERP program’s own Build phase has exposed the duplication; W42 target operating model design; W48 detailed org design; W52 pilot transition (Casablanca Finance first); W56 full transition, where the 30-day checkpoint lands High regression risk and ALT-002/ALT-015 fire; W64 governance adoption tracking and standing rhythm handover, resolved only once a clean checkpoint follows.</w:t>
      </w:r>
    </w:p>
    <w:bookmarkEnd w:id="98"/>
    <w:bookmarkStart w:id="99" w:name="Xbdad89381d253d0349901a77aa9f9d33db0c4d7"/>
    <w:p>
      <w:pPr>
        <w:pStyle w:val="Heading3"/>
      </w:pPr>
      <w:r>
        <w:rPr>
          <w:b/>
          <w:color w:val="3F827B"/>
          <w:sz w:val="29"/>
        </w:rPr>
        <w:t xml:space="preserve">Loi 09-08 Data Protection Compliance Program</w:t>
      </w:r>
      <w:r>
        <w:rPr>
          <w:b/>
          <w:color w:val="3F827B"/>
          <w:sz w:val="29"/>
        </w:rPr>
        <w:t xml:space="preserve"> </w:t>
      </w:r>
      <w:r>
        <w:rPr>
          <w:iCs/>
          <w:b/>
          <w:i/>
          <w:color w:val="3F827B"/>
          <w:sz w:val="29"/>
        </w:rPr>
        <w:t xml:space="preserve">(archetype: Compliance — E2E-COMP)</w:t>
      </w:r>
    </w:p>
    <w:p>
      <w:pPr>
        <w:pStyle w:val="FirstParagraph"/>
      </w:pPr>
      <w:r>
        <w:rPr>
          <w:sz w:val="25"/>
        </w:rPr>
        <w:t xml:space="preserve">Brings Bouregreg Group’s customer and employee data handling into compliance with Morocco’s Loi n° 09-08 on the protection of personal data, under the national data protection authority’s (CNDP) oversight. Business driver: a scheduled CNDP audit with a fixed external deadline, not a discretionary program. Target population: any function touching customer or employee personal data — HR, Sales, Customer Service (310 staff). This case’s SIPOC is fixed by its type: Legal/Compliance is the supplier, the regulator is the customer, a cast this guide names concretely rather than leaves generic. Because its deadline is externally fixed, this is the case in the library where a Phase Gate closing as anything but Go carries the least schedule flexibility — the practical reason</w:t>
      </w:r>
      <w:r>
        <w:rPr>
          <w:sz w:val="25"/>
        </w:rPr>
        <w:t xml:space="preserve"> </w:t>
      </w:r>
      <w:r>
        <w:rPr>
          <w:bCs/>
          <w:b/>
          <w:sz w:val="25"/>
        </w:rPr>
        <w:t xml:space="preserve">ALT-009</w:t>
      </w:r>
      <w:r>
        <w:rPr>
          <w:sz w:val="25"/>
        </w:rPr>
        <w:t xml:space="preserve"> </w:t>
      </w:r>
      <w:r>
        <w:rPr>
          <w:sz w:val="25"/>
        </w:rPr>
        <w:t xml:space="preserve">matters most here even when it does not fire.</w:t>
      </w:r>
    </w:p>
    <w:p>
      <w:pPr>
        <w:pStyle w:val="BodyText"/>
      </w:pPr>
      <w:r>
        <w:rPr>
          <w:bCs/>
          <w:b/>
          <w:sz w:val="25"/>
        </w:rPr>
        <w:t xml:space="preserve">Milestones:</w:t>
      </w:r>
      <w:r>
        <w:rPr>
          <w:sz w:val="25"/>
        </w:rPr>
        <w:t xml:space="preserve"> </w:t>
      </w:r>
      <w:r>
        <w:rPr>
          <w:sz w:val="25"/>
        </w:rPr>
        <w:t xml:space="preserve">W1 regulatory requirement and gap analysis, run from the very start of the tenant’s life given the fixed external deadline; W14 control design; W28 control implementation; W40 internal audit / independent testing; W48 controls go live, timed deliberately ahead of the ERP program’s own Deploy week so the two do not compete for the same Legal/Compliance attention; W52 first monitoring cycle; ongoing compliance handover beyond W60.</w:t>
      </w:r>
    </w:p>
    <w:bookmarkEnd w:id="99"/>
    <w:bookmarkStart w:id="100" w:name="Xd2703e5f97ca8b66b1a6308b2a70c5ae7e2b0e8"/>
    <w:p>
      <w:pPr>
        <w:pStyle w:val="Heading3"/>
      </w:pPr>
      <w:r>
        <w:rPr>
          <w:b/>
          <w:color w:val="3F827B"/>
          <w:sz w:val="29"/>
        </w:rPr>
        <w:t xml:space="preserve">Plant Digital Skills Upskilling Program</w:t>
      </w:r>
      <w:r>
        <w:rPr>
          <w:b/>
          <w:color w:val="3F827B"/>
          <w:sz w:val="29"/>
        </w:rPr>
        <w:t xml:space="preserve"> </w:t>
      </w:r>
      <w:r>
        <w:rPr>
          <w:iCs/>
          <w:b/>
          <w:i/>
          <w:color w:val="3F827B"/>
          <w:sz w:val="29"/>
        </w:rPr>
        <w:t xml:space="preserve">(archetype: Training &amp; Skills Development — E2E-TSD)</w:t>
      </w:r>
    </w:p>
    <w:p>
      <w:pPr>
        <w:pStyle w:val="FirstParagraph"/>
      </w:pPr>
      <w:r>
        <w:rPr>
          <w:sz w:val="25"/>
        </w:rPr>
        <w:t xml:space="preserve">A standalone digital-literacy and systems-skills program for plant-floor staff at Kenitra and Settat, run independent of any specific system rollout — preparing the workforce for the next several years of technology change generally, not one program’s go-live. Business driver: a skills gap identified independently of the ERP program, but accelerated once the ERP program made it visible. Target population: plant-floor staff without prior systems training (620 staff). This is the case that most exercises M9 (Training) and M16 (AI Use Case Library, for AI-assisted curriculum drafting) in this guide’s library, without a go-live event of its own to anchor to.</w:t>
      </w:r>
    </w:p>
    <w:p>
      <w:pPr>
        <w:pStyle w:val="BodyText"/>
      </w:pPr>
      <w:r>
        <w:rPr>
          <w:bCs/>
          <w:b/>
          <w:sz w:val="25"/>
        </w:rPr>
        <w:t xml:space="preserve">Milestones:</w:t>
      </w:r>
      <w:r>
        <w:rPr>
          <w:sz w:val="25"/>
        </w:rPr>
        <w:t xml:space="preserve"> </w:t>
      </w:r>
      <w:r>
        <w:rPr>
          <w:sz w:val="25"/>
        </w:rPr>
        <w:t xml:space="preserve">W16 intake and diagnosis; W22 case for change and target-state design; W30 build (curriculum development, AI-assisted drafting via M16); W38 validation with a pilot cohort; W44 deployment across both plants, deliberately staggered a month behind the ERP program’s own Train phase so the two curricula don’t compete for the same plant-floor hours; W50 stabilization and hypercare; W58 sustainment and closure.</w:t>
      </w:r>
    </w:p>
    <w:bookmarkEnd w:id="100"/>
    <w:bookmarkStart w:id="101" w:name="Xbac664706ee9184f4e0881521cc2cb67c743150"/>
    <w:p>
      <w:pPr>
        <w:pStyle w:val="Heading3"/>
      </w:pPr>
      <w:r>
        <w:rPr>
          <w:b/>
          <w:color w:val="3F827B"/>
          <w:sz w:val="29"/>
        </w:rPr>
        <w:t xml:space="preserve">Settat Plant Consolidation &amp; Workforce Restructuring</w:t>
      </w:r>
      <w:r>
        <w:rPr>
          <w:b/>
          <w:color w:val="3F827B"/>
          <w:sz w:val="29"/>
        </w:rPr>
        <w:t xml:space="preserve"> </w:t>
      </w:r>
      <w:r>
        <w:rPr>
          <w:iCs/>
          <w:b/>
          <w:i/>
          <w:color w:val="3F827B"/>
          <w:sz w:val="29"/>
        </w:rPr>
        <w:t xml:space="preserve">(archetype: Restructuring — no dedicated E2E lifecycle)</w:t>
      </w:r>
    </w:p>
    <w:p>
      <w:pPr>
        <w:pStyle w:val="FirstParagraph"/>
      </w:pPr>
      <w:r>
        <w:rPr>
          <w:sz w:val="25"/>
        </w:rPr>
        <w:t xml:space="preserve">Consolidates two overlapping production lines at the Settat plant into one, with a workforce restructuring as a direct consequence. This case is included deliberately without a dedicated End-to-End lifecycle or Phase Template of its own: Restructuring is one of Main Project’s ten available archetypes, but — unlike ERP, BPR, Automation, QMS, Cultural, Operating Model, Compliance, and Training &amp; Skills — it is not one of the 8 types the E2E addendum built a registered chain for. It runs on the 4 core chains (E2E-01 through E2E-04) generically instead, and this guide states that gap plainly rather than imply a lifecycle exists where it does not. Business driver: sustained overcapacity on the older of the two lines. Target population: the affected line’s 130 staff. Starting pattern: the highest-resistance case in the library by design, expected to cross the resistance threshold early and stay there — a second, independent source (alongside Order-to-Cash) of</w:t>
      </w:r>
      <w:r>
        <w:rPr>
          <w:sz w:val="25"/>
        </w:rPr>
        <w:t xml:space="preserve"> </w:t>
      </w:r>
      <w:r>
        <w:rPr>
          <w:bCs/>
          <w:b/>
          <w:sz w:val="25"/>
        </w:rPr>
        <w:t xml:space="preserve">ALT-004</w:t>
      </w:r>
      <w:r>
        <w:rPr>
          <w:sz w:val="25"/>
        </w:rPr>
        <w:t xml:space="preserve"> </w:t>
      </w:r>
      <w:r>
        <w:rPr>
          <w:sz w:val="25"/>
        </w:rPr>
        <w:t xml:space="preserve">firing in this Organization.</w:t>
      </w:r>
    </w:p>
    <w:p>
      <w:pPr>
        <w:pStyle w:val="BodyText"/>
      </w:pPr>
      <w:r>
        <w:rPr>
          <w:bCs/>
          <w:b/>
          <w:sz w:val="25"/>
        </w:rPr>
        <w:t xml:space="preserve">Milestones:</w:t>
      </w:r>
      <w:r>
        <w:rPr>
          <w:sz w:val="25"/>
        </w:rPr>
        <w:t xml:space="preserve"> </w:t>
      </w:r>
      <w:r>
        <w:rPr>
          <w:sz w:val="25"/>
        </w:rPr>
        <w:t xml:space="preserve">W40 mobilization (E2E-01, run generically since no dedicated template exists); W44 capability and divergence management as the affected line’s staff are assessed for redeployment; W46 resistance crosses the threshold and ALT-004 fires for the second, independent time in the Organization; W50 adoption-to-sustainment begins as the consolidated line stabilizes; W64 ongoing, since a restructuring’s emotional tail is realistically the longest in the library relative to its short technical timeline.</w:t>
      </w:r>
    </w:p>
    <w:bookmarkEnd w:id="101"/>
    <w:bookmarkStart w:id="102" w:name="what-the-portfolio-view-shows"/>
    <w:p>
      <w:pPr>
        <w:pStyle w:val="Heading3"/>
      </w:pPr>
      <w:r>
        <w:rPr>
          <w:b/>
          <w:color w:val="3F827B"/>
          <w:sz w:val="29"/>
        </w:rPr>
        <w:t xml:space="preserve">What the portfolio view shows</w:t>
      </w:r>
    </w:p>
    <w:p>
      <w:pPr>
        <w:pStyle w:val="FirstParagraph"/>
      </w:pPr>
      <w:r>
        <w:rPr>
          <w:sz w:val="25"/>
        </w:rPr>
        <w:t xml:space="preserve">With nine Change Management Projects now running under one Organization, two alerts become visible that no single project could trigger alone:</w:t>
      </w:r>
    </w:p>
    <w:p>
      <w:pPr>
        <w:numPr>
          <w:ilvl w:val="0"/>
          <w:numId w:val="1020"/>
        </w:numPr>
        <w:pStyle w:val="Compact"/>
      </w:pPr>
      <w:r>
        <w:rPr>
          <w:bCs/>
          <w:b/>
          <w:sz w:val="25"/>
        </w:rPr>
        <w:t xml:space="preserve">ALT-008 (Change Saturation Threshold Breached)</w:t>
      </w:r>
      <w:r>
        <w:rPr>
          <w:sz w:val="25"/>
        </w:rPr>
        <w:t xml:space="preserve"> </w:t>
      </w:r>
      <w:r>
        <w:rPr>
          <w:sz w:val="25"/>
        </w:rPr>
        <w:t xml:space="preserve">fires once a project’s population segment is targeted by two or more other concurrent initiatives in the same Organization — true almost everywhere in this library by design, since the ERP program, the Operating Model redesign, and the Training &amp; Skills program all reach broad, overlapping populations across the same three sites.</w:t>
      </w:r>
    </w:p>
    <w:p>
      <w:pPr>
        <w:numPr>
          <w:ilvl w:val="0"/>
          <w:numId w:val="1020"/>
        </w:numPr>
        <w:pStyle w:val="Compact"/>
      </w:pPr>
      <w:r>
        <w:rPr>
          <w:bCs/>
          <w:b/>
          <w:sz w:val="25"/>
        </w:rPr>
        <w:t xml:space="preserve">ALT-011 (Communication Overload Detected)</w:t>
      </w:r>
      <w:r>
        <w:rPr>
          <w:sz w:val="25"/>
        </w:rPr>
        <w:t xml:space="preserve"> </w:t>
      </w:r>
      <w:r>
        <w:rPr>
          <w:sz w:val="25"/>
        </w:rPr>
        <w:t xml:space="preserve">fires once the combined not-yet-sent communications queued across a population’s concurrent initiatives exceed three — realistic here precisely because nine programs are drafting town halls, FAQs, and go-live messages against overlapping audiences at the same time, which is exactly the condition this alert exists to catch before it reaches an inbox.</w:t>
      </w:r>
    </w:p>
    <w:p>
      <w:pPr>
        <w:pStyle w:val="FirstParagraph"/>
      </w:pPr>
      <w:r>
        <w:rPr>
          <w:sz w:val="25"/>
        </w:rPr>
        <w:t xml:space="preserve">Between them, the nine cases above exercise every one of journi’s 9 live-computed alerts at least once — eight through a single project’s own data, and the last two only because the portfolio, taken together, is what makes them real. Part 5 covers all 9 in full, plus the 7 reference alerts in journi’s D07 catalog that are documented but not live-computed in this build.</w:t>
      </w:r>
    </w:p>
    <w:p>
      <w:pPr>
        <w:pStyle w:val="BodyText"/>
      </w:pPr>
      <w:r>
        <w:rPr>
          <w:sz w:val="25"/>
        </w:rPr>
        <w:t xml:space="preserve">This also means Bouregreg Group’s Notification Center, viewed from any one project, is genuinely busier than a single-project tenant’s would be — exactly the condition Section 1B.5’s weekly-cadence guidance and Section 5.6’s cross-reference table exist to help a Change Manager triage rather than be overwhelmed by. A reader working through this guide end to end will notice the same population — plant-floor staff at Kenitra and Settat, in particular — named across five or six different cases: the ERP program, the Operating Model redesign, the Training &amp; Skills upskilling program, and potentially the Settat Restructuring case all reach the same people within the same rough window. That overlap is not an oversight in how this library was built; it is the realistic condition ALT-008 and ALT-011 are designed to catch, made visible here rather than left as an abstract rule with no data behind it.</w:t>
      </w:r>
    </w:p>
    <w:p>
      <w:r>
        <w:rPr>
          <w:sz w:val="25"/>
        </w:rPr>
        <w:pict>
          <v:rect style="width:0;height:1.5pt" o:hralign="center" o:hrstd="t" o:hr="t"/>
        </w:pict>
      </w:r>
    </w:p>
    <w:p>
      <w:r>
        <w:rPr>
          <w:sz w:val="25"/>
        </w:rPr>
        <w:pict>
          <v:rect style="width:0;height:1.5pt" o:hralign="center" o:hrstd="t" o:hr="t"/>
        </w:pict>
      </w:r>
    </w:p>
    <w:p>
      <w:pPr>
        <w:pStyle w:val="FirstParagraph"/>
      </w:pPr>
    </w:p>
    <w:bookmarkEnd w:id="102"/>
    <w:bookmarkEnd w:id="103"/>
    <w:bookmarkStart w:id="110" w:name="part-5-alerts-and-analytics-reference"/>
    <w:p>
      <w:pPr>
        <w:pStyle w:val="Heading2"/>
      </w:pPr>
      <w:r>
        <w:rPr>
          <w:b/>
          <w:color w:val="275650"/>
          <w:sz w:val="34"/>
        </w:rPr>
        <w:t xml:space="preserve">Part 5 — Alerts and Analytics Reference</w:t>
      </w:r>
    </w:p>
    <w:bookmarkStart w:id="104" w:name="how-alerts-work-in-journi"/>
    <w:p>
      <w:pPr>
        <w:pStyle w:val="Heading3"/>
      </w:pPr>
      <w:r>
        <w:rPr>
          <w:b/>
          <w:color w:val="3F827B"/>
          <w:sz w:val="29"/>
        </w:rPr>
        <w:t xml:space="preserve">5.1 How alerts work in journi</w:t>
      </w:r>
    </w:p>
    <w:p>
      <w:pPr>
        <w:pStyle w:val="FirstParagraph"/>
      </w:pPr>
      <w:r>
        <w:rPr>
          <w:sz w:val="25"/>
        </w:rPr>
        <w:t xml:space="preserve">journi has no backend to send real email, push, or Teams notifications, so the Notification Center — reached from the bell icon in the TopBar — is the client-side equivalent: a persistent, dismissible in-app log. journi’s alert catalog registers 16 alerts total; of those,</w:t>
      </w:r>
      <w:r>
        <w:rPr>
          <w:sz w:val="25"/>
        </w:rPr>
        <w:t xml:space="preserve"> </w:t>
      </w:r>
      <w:r>
        <w:rPr>
          <w:bCs/>
          <w:b/>
          <w:sz w:val="25"/>
        </w:rPr>
        <w:t xml:space="preserve">9 have a condition directly computable from data already in journi’s client-side model, and are live</w:t>
      </w:r>
      <w:r>
        <w:rPr>
          <w:sz w:val="25"/>
        </w:rPr>
        <w:t xml:space="preserve"> </w:t>
      </w:r>
      <w:r>
        <w:rPr>
          <w:sz w:val="25"/>
        </w:rPr>
        <w:t xml:space="preserve">— they actually fire, dismiss, and re-evaluate as Bouregreg Group’s data changes. The other 7 are documented for traceability but never fire in this build, for two different reasons stated plainly rather than left implicit: 6 depend on infrastructure journi does not have (a real backend, AI confidence scoring, authentication lockout, a request-tracking system), and the 7th — Champion Coverage Below Target — is excluded because journi has no structured champion-tracking data model to compute it from (a coalition member carries a free-text role field, not a governed Champion entity), so there is no genuine signal to compute, only one that could be faked.</w:t>
      </w:r>
    </w:p>
    <w:bookmarkEnd w:id="104"/>
    <w:bookmarkStart w:id="105" w:name="the-9-live-alerts"/>
    <w:p>
      <w:pPr>
        <w:pStyle w:val="Heading3"/>
      </w:pPr>
      <w:r>
        <w:rPr>
          <w:b/>
          <w:color w:val="3F827B"/>
          <w:sz w:val="29"/>
        </w:rPr>
        <w:t xml:space="preserve">5.2 The 9 live alerts</w:t>
      </w:r>
    </w:p>
    <w:tbl>
      <w:tblPr>
        <w:tblStyle w:val="Table"/>
        <w:tblW w:type="pct" w:w="5000"/>
        <w:jc w:val="center"/>
        <w:tblLayout w:type="fixed"/>
        <w:tblLook w:firstRow="1" w:lastRow="0" w:firstColumn="0" w:lastColumn="0" w:noHBand="0" w:noVBand="0" w:val="0020"/>
      </w:tblPr>
      <w:tblGrid>
        <w:gridCol w:w="600760"/>
        <w:gridCol w:w="1001268"/>
        <w:gridCol w:w="534009"/>
        <w:gridCol w:w="2536545"/>
        <w:gridCol w:w="1001268"/>
        <w:gridCol w:w="1001268"/>
      </w:tblGrid>
      <w:tr>
        <w:trPr>
          <w:tblHeader w:val="true"/>
          <w:cantSplit/>
        </w:trPr>
        <w:tc>
          <w:tcPr>
            <w:tcW w:type="dxa" w:w="946"/>
            <w:shd w:val="clear" w:fill="1F4B45"/>
          </w:tcPr>
          <w:p>
            <w:pPr>
              <w:pStyle w:val="Compact"/>
              <w:jc w:val="left"/>
            </w:pPr>
            <w:r>
              <w:rPr>
                <w:b/>
                <w:color w:val="FFFFFF"/>
                <w:sz w:val="22"/>
              </w:rPr>
              <w:t xml:space="preserve">ID</w:t>
            </w:r>
          </w:p>
        </w:tc>
        <w:tc>
          <w:tcPr>
            <w:tcW w:type="dxa" w:w="1576"/>
            <w:shd w:val="clear" w:fill="1F4B45"/>
          </w:tcPr>
          <w:p>
            <w:pPr>
              <w:pStyle w:val="Compact"/>
              <w:jc w:val="left"/>
            </w:pPr>
            <w:r>
              <w:rPr>
                <w:b/>
                <w:color w:val="FFFFFF"/>
                <w:sz w:val="22"/>
              </w:rPr>
              <w:t xml:space="preserve">Name</w:t>
            </w:r>
          </w:p>
        </w:tc>
        <w:tc>
          <w:tcPr>
            <w:tcW w:type="dxa" w:w="840"/>
            <w:shd w:val="clear" w:fill="1F4B45"/>
          </w:tcPr>
          <w:p>
            <w:pPr>
              <w:pStyle w:val="Compact"/>
              <w:jc w:val="left"/>
            </w:pPr>
            <w:r>
              <w:rPr>
                <w:b/>
                <w:color w:val="FFFFFF"/>
                <w:sz w:val="22"/>
              </w:rPr>
              <w:t xml:space="preserve">Severity</w:t>
            </w:r>
          </w:p>
        </w:tc>
        <w:tc>
          <w:tcPr>
            <w:tcW w:type="dxa" w:w="3994"/>
            <w:shd w:val="clear" w:fill="1F4B45"/>
          </w:tcPr>
          <w:p>
            <w:pPr>
              <w:pStyle w:val="Compact"/>
              <w:jc w:val="left"/>
            </w:pPr>
            <w:r>
              <w:rPr>
                <w:b/>
                <w:color w:val="FFFFFF"/>
                <w:sz w:val="22"/>
              </w:rPr>
              <w:t xml:space="preserve">Trigger condition (as actually computed)</w:t>
            </w:r>
          </w:p>
        </w:tc>
        <w:tc>
          <w:tcPr>
            <w:tcW w:type="dxa" w:w="1576"/>
            <w:shd w:val="clear" w:fill="1F4B45"/>
          </w:tcPr>
          <w:p>
            <w:pPr>
              <w:pStyle w:val="Compact"/>
              <w:jc w:val="left"/>
            </w:pPr>
            <w:r>
              <w:rPr>
                <w:b/>
                <w:color w:val="FFFFFF"/>
                <w:sz w:val="22"/>
              </w:rPr>
              <w:t xml:space="preserve">Escalation</w:t>
            </w:r>
          </w:p>
        </w:tc>
        <w:tc>
          <w:tcPr>
            <w:tcW w:type="dxa" w:w="1576"/>
            <w:shd w:val="clear" w:fill="1F4B45"/>
          </w:tcPr>
          <w:p>
            <w:pPr>
              <w:pStyle w:val="Compact"/>
              <w:jc w:val="left"/>
            </w:pPr>
            <w:r>
              <w:rPr>
                <w:b/>
                <w:color w:val="FFFFFF"/>
                <w:sz w:val="22"/>
              </w:rPr>
              <w:t xml:space="preserve">SLA</w:t>
            </w:r>
          </w:p>
        </w:tc>
      </w:tr>
      <w:tr>
        <w:trPr>
          <w:cantSplit/>
        </w:trPr>
        <w:tc>
          <w:tcPr>
            <w:tcW w:type="dxa" w:w="946"/>
          </w:tcPr>
          <w:p>
            <w:pPr>
              <w:pStyle w:val="Compact"/>
              <w:jc w:val="left"/>
            </w:pPr>
            <w:r>
              <w:rPr>
                <w:sz w:val="22"/>
              </w:rPr>
              <w:t xml:space="preserve">ALT-001</w:t>
            </w:r>
          </w:p>
        </w:tc>
        <w:tc>
          <w:tcPr>
            <w:tcW w:type="dxa" w:w="1576"/>
          </w:tcPr>
          <w:p>
            <w:pPr>
              <w:pStyle w:val="Compact"/>
              <w:jc w:val="left"/>
            </w:pPr>
            <w:r>
              <w:rPr>
                <w:sz w:val="22"/>
              </w:rPr>
              <w:t xml:space="preserve">Divergence Pattern Detected</w:t>
            </w:r>
          </w:p>
        </w:tc>
        <w:tc>
          <w:tcPr>
            <w:tcW w:type="dxa" w:w="840"/>
          </w:tcPr>
          <w:p>
            <w:pPr>
              <w:pStyle w:val="Compact"/>
              <w:jc w:val="left"/>
            </w:pPr>
            <w:r>
              <w:rPr>
                <w:sz w:val="22"/>
              </w:rPr>
              <w:t xml:space="preserve">High</w:t>
            </w:r>
          </w:p>
        </w:tc>
        <w:tc>
          <w:tcPr>
            <w:tcW w:type="dxa" w:w="3994"/>
          </w:tcPr>
          <w:p>
            <w:pPr>
              <w:pStyle w:val="Compact"/>
              <w:jc w:val="left"/>
            </w:pPr>
            <w:r>
              <w:rPr>
                <w:sz w:val="22"/>
              </w:rPr>
              <w:t xml:space="preserve">Knowledge ≥ 4</w:t>
            </w:r>
            <w:r>
              <w:rPr>
                <w:sz w:val="22"/>
              </w:rPr>
              <w:t xml:space="preserve"> </w:t>
            </w:r>
            <w:r>
              <w:rPr>
                <w:bCs/>
                <w:b/>
                <w:sz w:val="22"/>
              </w:rPr>
              <w:t xml:space="preserve">and</w:t>
            </w:r>
            <w:r>
              <w:rPr>
                <w:sz w:val="22"/>
              </w:rPr>
              <w:t xml:space="preserve"> </w:t>
            </w:r>
            <w:r>
              <w:rPr>
                <w:sz w:val="22"/>
              </w:rPr>
              <w:t xml:space="preserve">Ability ≥ 4 on M5, while Bridges reads exactly</w:t>
            </w:r>
            <w:r>
              <w:rPr>
                <w:sz w:val="22"/>
              </w:rPr>
              <w:t xml:space="preserve"> </w:t>
            </w:r>
            <w:r>
              <w:rPr>
                <w:sz w:val="22"/>
              </w:rPr>
              <w:t xml:space="preserve">“</w:t>
            </w:r>
            <w:r>
              <w:rPr>
                <w:sz w:val="22"/>
              </w:rPr>
              <w:t xml:space="preserve">Ending</w:t>
            </w:r>
            <w:r>
              <w:rPr>
                <w:sz w:val="22"/>
              </w:rPr>
              <w:t xml:space="preserve">”</w:t>
            </w:r>
            <w:r>
              <w:rPr>
                <w:sz w:val="22"/>
              </w:rPr>
              <w:t xml:space="preserve"> </w:t>
            </w:r>
            <w:r>
              <w:rPr>
                <w:sz w:val="22"/>
              </w:rPr>
              <w:t xml:space="preserve">on M6, for the same cohort</w:t>
            </w:r>
          </w:p>
        </w:tc>
        <w:tc>
          <w:tcPr>
            <w:tcW w:type="dxa" w:w="1576"/>
          </w:tcPr>
          <w:p>
            <w:pPr>
              <w:pStyle w:val="Compact"/>
              <w:jc w:val="left"/>
            </w:pPr>
            <w:r>
              <w:rPr>
                <w:sz w:val="22"/>
              </w:rPr>
              <w:t xml:space="preserve">L2 — Change Manager</w:t>
            </w:r>
          </w:p>
        </w:tc>
        <w:tc>
          <w:tcPr>
            <w:tcW w:type="dxa" w:w="1576"/>
          </w:tcPr>
          <w:p>
            <w:pPr>
              <w:pStyle w:val="Compact"/>
              <w:jc w:val="left"/>
            </w:pPr>
            <w:r>
              <w:rPr>
                <w:sz w:val="22"/>
              </w:rPr>
              <w:t xml:space="preserve">Acknowledge within 48h</w:t>
            </w:r>
          </w:p>
        </w:tc>
      </w:tr>
      <w:tr>
        <w:trPr>
          <w:cantSplit/>
        </w:trPr>
        <w:tc>
          <w:tcPr>
            <w:tcW w:type="dxa" w:w="946"/>
          </w:tcPr>
          <w:p>
            <w:pPr>
              <w:pStyle w:val="Compact"/>
              <w:jc w:val="left"/>
            </w:pPr>
            <w:r>
              <w:rPr>
                <w:sz w:val="22"/>
              </w:rPr>
              <w:t xml:space="preserve">ALT-002</w:t>
            </w:r>
          </w:p>
        </w:tc>
        <w:tc>
          <w:tcPr>
            <w:tcW w:type="dxa" w:w="1576"/>
          </w:tcPr>
          <w:p>
            <w:pPr>
              <w:pStyle w:val="Compact"/>
              <w:jc w:val="left"/>
            </w:pPr>
            <w:r>
              <w:rPr>
                <w:sz w:val="22"/>
              </w:rPr>
              <w:t xml:space="preserve">Regression Risk Score Critical</w:t>
            </w:r>
          </w:p>
        </w:tc>
        <w:tc>
          <w:tcPr>
            <w:tcW w:type="dxa" w:w="840"/>
          </w:tcPr>
          <w:p>
            <w:pPr>
              <w:pStyle w:val="Compact"/>
              <w:jc w:val="left"/>
            </w:pPr>
            <w:r>
              <w:rPr>
                <w:sz w:val="22"/>
              </w:rPr>
              <w:t xml:space="preserve">Critical</w:t>
            </w:r>
          </w:p>
        </w:tc>
        <w:tc>
          <w:tcPr>
            <w:tcW w:type="dxa" w:w="3994"/>
          </w:tcPr>
          <w:p>
            <w:pPr>
              <w:pStyle w:val="Compact"/>
              <w:jc w:val="left"/>
            </w:pPr>
            <w:r>
              <w:rPr>
                <w:sz w:val="22"/>
              </w:rPr>
              <w:t xml:space="preserve">A sustainment checkpoint on M12 is marked complete with regression risk logged as High</w:t>
            </w:r>
          </w:p>
        </w:tc>
        <w:tc>
          <w:tcPr>
            <w:tcW w:type="dxa" w:w="1576"/>
          </w:tcPr>
          <w:p>
            <w:pPr>
              <w:pStyle w:val="Compact"/>
              <w:jc w:val="left"/>
            </w:pPr>
            <w:r>
              <w:rPr>
                <w:sz w:val="22"/>
              </w:rPr>
              <w:t xml:space="preserve">L2 — Change Manager</w:t>
            </w:r>
          </w:p>
        </w:tc>
        <w:tc>
          <w:tcPr>
            <w:tcW w:type="dxa" w:w="1576"/>
          </w:tcPr>
          <w:p>
            <w:pPr>
              <w:pStyle w:val="Compact"/>
              <w:jc w:val="left"/>
            </w:pPr>
            <w:r>
              <w:rPr>
                <w:sz w:val="22"/>
              </w:rPr>
              <w:t xml:space="preserve">Acknowledge within 24h</w:t>
            </w:r>
          </w:p>
        </w:tc>
      </w:tr>
      <w:tr>
        <w:trPr>
          <w:cantSplit/>
        </w:trPr>
        <w:tc>
          <w:tcPr>
            <w:tcW w:type="dxa" w:w="946"/>
          </w:tcPr>
          <w:p>
            <w:pPr>
              <w:pStyle w:val="Compact"/>
              <w:jc w:val="left"/>
            </w:pPr>
            <w:r>
              <w:rPr>
                <w:sz w:val="22"/>
              </w:rPr>
              <w:t xml:space="preserve">ALT-003</w:t>
            </w:r>
          </w:p>
        </w:tc>
        <w:tc>
          <w:tcPr>
            <w:tcW w:type="dxa" w:w="1576"/>
          </w:tcPr>
          <w:p>
            <w:pPr>
              <w:pStyle w:val="Compact"/>
              <w:jc w:val="left"/>
            </w:pPr>
            <w:r>
              <w:rPr>
                <w:sz w:val="22"/>
              </w:rPr>
              <w:t xml:space="preserve">Sponsor Coverage Gap</w:t>
            </w:r>
          </w:p>
        </w:tc>
        <w:tc>
          <w:tcPr>
            <w:tcW w:type="dxa" w:w="840"/>
          </w:tcPr>
          <w:p>
            <w:pPr>
              <w:pStyle w:val="Compact"/>
              <w:jc w:val="left"/>
            </w:pPr>
            <w:r>
              <w:rPr>
                <w:sz w:val="22"/>
              </w:rPr>
              <w:t xml:space="preserve">Medium</w:t>
            </w:r>
          </w:p>
        </w:tc>
        <w:tc>
          <w:tcPr>
            <w:tcW w:type="dxa" w:w="3994"/>
          </w:tcPr>
          <w:p>
            <w:pPr>
              <w:pStyle w:val="Compact"/>
              <w:jc w:val="left"/>
            </w:pPr>
            <w:r>
              <w:rPr>
                <w:sz w:val="22"/>
              </w:rPr>
              <w:t xml:space="preserve">Sponsor visibility on M7 is logged as</w:t>
            </w:r>
            <w:r>
              <w:rPr>
                <w:sz w:val="22"/>
              </w:rPr>
              <w:t xml:space="preserve"> </w:t>
            </w:r>
            <w:r>
              <w:rPr>
                <w:sz w:val="22"/>
              </w:rPr>
              <w:t xml:space="preserve">“</w:t>
            </w:r>
            <w:r>
              <w:rPr>
                <w:sz w:val="22"/>
              </w:rPr>
              <w:t xml:space="preserve">weak</w:t>
            </w:r>
            <w:r>
              <w:rPr>
                <w:sz w:val="22"/>
              </w:rPr>
              <w:t xml:space="preserve">”</w:t>
            </w:r>
          </w:p>
        </w:tc>
        <w:tc>
          <w:tcPr>
            <w:tcW w:type="dxa" w:w="1576"/>
          </w:tcPr>
          <w:p>
            <w:pPr>
              <w:pStyle w:val="Compact"/>
              <w:jc w:val="left"/>
            </w:pPr>
            <w:r>
              <w:rPr>
                <w:sz w:val="22"/>
              </w:rPr>
              <w:t xml:space="preserve">L1 — PMO</w:t>
            </w:r>
          </w:p>
        </w:tc>
        <w:tc>
          <w:tcPr>
            <w:tcW w:type="dxa" w:w="1576"/>
          </w:tcPr>
          <w:p>
            <w:pPr>
              <w:pStyle w:val="Compact"/>
              <w:jc w:val="left"/>
            </w:pPr>
            <w:r>
              <w:rPr>
                <w:sz w:val="22"/>
              </w:rPr>
              <w:t xml:space="preserve">Acknowledge within 5 business days</w:t>
            </w:r>
          </w:p>
        </w:tc>
      </w:tr>
      <w:tr>
        <w:trPr>
          <w:cantSplit/>
        </w:trPr>
        <w:tc>
          <w:tcPr>
            <w:tcW w:type="dxa" w:w="946"/>
          </w:tcPr>
          <w:p>
            <w:pPr>
              <w:pStyle w:val="Compact"/>
              <w:jc w:val="left"/>
            </w:pPr>
            <w:r>
              <w:rPr>
                <w:sz w:val="22"/>
              </w:rPr>
              <w:t xml:space="preserve">ALT-004</w:t>
            </w:r>
          </w:p>
        </w:tc>
        <w:tc>
          <w:tcPr>
            <w:tcW w:type="dxa" w:w="1576"/>
          </w:tcPr>
          <w:p>
            <w:pPr>
              <w:pStyle w:val="Compact"/>
              <w:jc w:val="left"/>
            </w:pPr>
            <w:r>
              <w:rPr>
                <w:sz w:val="22"/>
              </w:rPr>
              <w:t xml:space="preserve">Resistance Escalation Threshold Breached</w:t>
            </w:r>
          </w:p>
        </w:tc>
        <w:tc>
          <w:tcPr>
            <w:tcW w:type="dxa" w:w="840"/>
          </w:tcPr>
          <w:p>
            <w:pPr>
              <w:pStyle w:val="Compact"/>
              <w:jc w:val="left"/>
            </w:pPr>
            <w:r>
              <w:rPr>
                <w:sz w:val="22"/>
              </w:rPr>
              <w:t xml:space="preserve">High</w:t>
            </w:r>
          </w:p>
        </w:tc>
        <w:tc>
          <w:tcPr>
            <w:tcW w:type="dxa" w:w="3994"/>
          </w:tcPr>
          <w:p>
            <w:pPr>
              <w:pStyle w:val="Compact"/>
              <w:jc w:val="left"/>
            </w:pPr>
            <w:r>
              <w:rPr>
                <w:sz w:val="22"/>
              </w:rPr>
              <w:t xml:space="preserve">3 or more open (non-closed) entries in the Resistance Log on M10</w:t>
            </w:r>
          </w:p>
        </w:tc>
        <w:tc>
          <w:tcPr>
            <w:tcW w:type="dxa" w:w="1576"/>
          </w:tcPr>
          <w:p>
            <w:pPr>
              <w:pStyle w:val="Compact"/>
              <w:jc w:val="left"/>
            </w:pPr>
            <w:r>
              <w:rPr>
                <w:sz w:val="22"/>
              </w:rPr>
              <w:t xml:space="preserve">L2 — Steering Committee</w:t>
            </w:r>
          </w:p>
        </w:tc>
        <w:tc>
          <w:tcPr>
            <w:tcW w:type="dxa" w:w="1576"/>
          </w:tcPr>
          <w:p>
            <w:pPr>
              <w:pStyle w:val="Compact"/>
              <w:jc w:val="left"/>
            </w:pPr>
            <w:r>
              <w:rPr>
                <w:sz w:val="22"/>
              </w:rPr>
              <w:t xml:space="preserve">Acknowledge within 3 business days</w:t>
            </w:r>
          </w:p>
        </w:tc>
      </w:tr>
      <w:tr>
        <w:trPr>
          <w:cantSplit/>
        </w:trPr>
        <w:tc>
          <w:tcPr>
            <w:tcW w:type="dxa" w:w="946"/>
          </w:tcPr>
          <w:p>
            <w:pPr>
              <w:pStyle w:val="Compact"/>
              <w:jc w:val="left"/>
            </w:pPr>
            <w:r>
              <w:rPr>
                <w:sz w:val="22"/>
              </w:rPr>
              <w:t xml:space="preserve">ALT-008</w:t>
            </w:r>
          </w:p>
        </w:tc>
        <w:tc>
          <w:tcPr>
            <w:tcW w:type="dxa" w:w="1576"/>
          </w:tcPr>
          <w:p>
            <w:pPr>
              <w:pStyle w:val="Compact"/>
              <w:jc w:val="left"/>
            </w:pPr>
            <w:r>
              <w:rPr>
                <w:sz w:val="22"/>
              </w:rPr>
              <w:t xml:space="preserve">Change Saturation Threshold Breached</w:t>
            </w:r>
          </w:p>
        </w:tc>
        <w:tc>
          <w:tcPr>
            <w:tcW w:type="dxa" w:w="840"/>
          </w:tcPr>
          <w:p>
            <w:pPr>
              <w:pStyle w:val="Compact"/>
              <w:jc w:val="left"/>
            </w:pPr>
            <w:r>
              <w:rPr>
                <w:sz w:val="22"/>
              </w:rPr>
              <w:t xml:space="preserve">Medium</w:t>
            </w:r>
          </w:p>
        </w:tc>
        <w:tc>
          <w:tcPr>
            <w:tcW w:type="dxa" w:w="3994"/>
          </w:tcPr>
          <w:p>
            <w:pPr>
              <w:pStyle w:val="Compact"/>
              <w:jc w:val="left"/>
            </w:pPr>
            <w:r>
              <w:rPr>
                <w:sz w:val="22"/>
              </w:rPr>
              <w:t xml:space="preserve">A project’s population segment is targeted by 2 or more other concurrent CM Projects in the same Organization</w:t>
            </w:r>
          </w:p>
        </w:tc>
        <w:tc>
          <w:tcPr>
            <w:tcW w:type="dxa" w:w="1576"/>
          </w:tcPr>
          <w:p>
            <w:pPr>
              <w:pStyle w:val="Compact"/>
              <w:jc w:val="left"/>
            </w:pPr>
            <w:r>
              <w:rPr>
                <w:sz w:val="22"/>
              </w:rPr>
              <w:t xml:space="preserve">L1 — PMO</w:t>
            </w:r>
          </w:p>
        </w:tc>
        <w:tc>
          <w:tcPr>
            <w:tcW w:type="dxa" w:w="1576"/>
          </w:tcPr>
          <w:p>
            <w:pPr>
              <w:pStyle w:val="Compact"/>
              <w:jc w:val="left"/>
            </w:pPr>
            <w:r>
              <w:rPr>
                <w:sz w:val="22"/>
              </w:rPr>
              <w:t xml:space="preserve">Review within 10 business days</w:t>
            </w:r>
          </w:p>
        </w:tc>
      </w:tr>
      <w:tr>
        <w:trPr>
          <w:cantSplit/>
        </w:trPr>
        <w:tc>
          <w:tcPr>
            <w:tcW w:type="dxa" w:w="946"/>
          </w:tcPr>
          <w:p>
            <w:pPr>
              <w:pStyle w:val="Compact"/>
              <w:jc w:val="left"/>
            </w:pPr>
            <w:r>
              <w:rPr>
                <w:sz w:val="22"/>
              </w:rPr>
              <w:t xml:space="preserve">ALT-009</w:t>
            </w:r>
          </w:p>
        </w:tc>
        <w:tc>
          <w:tcPr>
            <w:tcW w:type="dxa" w:w="1576"/>
          </w:tcPr>
          <w:p>
            <w:pPr>
              <w:pStyle w:val="Compact"/>
              <w:jc w:val="left"/>
            </w:pPr>
            <w:r>
              <w:rPr>
                <w:sz w:val="22"/>
              </w:rPr>
              <w:t xml:space="preserve">Phase Gate No-Go / Conditional</w:t>
            </w:r>
          </w:p>
        </w:tc>
        <w:tc>
          <w:tcPr>
            <w:tcW w:type="dxa" w:w="840"/>
          </w:tcPr>
          <w:p>
            <w:pPr>
              <w:pStyle w:val="Compact"/>
              <w:jc w:val="left"/>
            </w:pPr>
            <w:r>
              <w:rPr>
                <w:sz w:val="22"/>
              </w:rPr>
              <w:t xml:space="preserve">High</w:t>
            </w:r>
          </w:p>
        </w:tc>
        <w:tc>
          <w:tcPr>
            <w:tcW w:type="dxa" w:w="3994"/>
          </w:tcPr>
          <w:p>
            <w:pPr>
              <w:pStyle w:val="Compact"/>
              <w:jc w:val="left"/>
            </w:pPr>
            <w:r>
              <w:rPr>
                <w:sz w:val="22"/>
              </w:rPr>
              <w:t xml:space="preserve">A Phase Gate on M17 records a Joint Decision other than a clean</w:t>
            </w:r>
            <w:r>
              <w:rPr>
                <w:sz w:val="22"/>
              </w:rPr>
              <w:t xml:space="preserve"> </w:t>
            </w:r>
            <w:r>
              <w:rPr>
                <w:sz w:val="22"/>
              </w:rPr>
              <w:t xml:space="preserve">“</w:t>
            </w:r>
            <w:r>
              <w:rPr>
                <w:sz w:val="22"/>
              </w:rPr>
              <w:t xml:space="preserve">Go</w:t>
            </w:r>
            <w:r>
              <w:rPr>
                <w:sz w:val="22"/>
              </w:rPr>
              <w:t xml:space="preserve">”</w:t>
            </w:r>
          </w:p>
        </w:tc>
        <w:tc>
          <w:tcPr>
            <w:tcW w:type="dxa" w:w="1576"/>
          </w:tcPr>
          <w:p>
            <w:pPr>
              <w:pStyle w:val="Compact"/>
              <w:jc w:val="left"/>
            </w:pPr>
            <w:r>
              <w:rPr>
                <w:sz w:val="22"/>
              </w:rPr>
              <w:t xml:space="preserve">L2 — Program/Project Manager</w:t>
            </w:r>
          </w:p>
        </w:tc>
        <w:tc>
          <w:tcPr>
            <w:tcW w:type="dxa" w:w="1576"/>
          </w:tcPr>
          <w:p>
            <w:pPr>
              <w:pStyle w:val="Compact"/>
              <w:jc w:val="left"/>
            </w:pPr>
            <w:r>
              <w:rPr>
                <w:sz w:val="22"/>
              </w:rPr>
              <w:t xml:space="preserve">Review within 3 business days</w:t>
            </w:r>
          </w:p>
        </w:tc>
      </w:tr>
      <w:tr>
        <w:trPr>
          <w:cantSplit/>
        </w:trPr>
        <w:tc>
          <w:tcPr>
            <w:tcW w:type="dxa" w:w="946"/>
          </w:tcPr>
          <w:p>
            <w:pPr>
              <w:pStyle w:val="Compact"/>
              <w:jc w:val="left"/>
            </w:pPr>
            <w:r>
              <w:rPr>
                <w:sz w:val="22"/>
              </w:rPr>
              <w:t xml:space="preserve">ALT-010</w:t>
            </w:r>
          </w:p>
        </w:tc>
        <w:tc>
          <w:tcPr>
            <w:tcW w:type="dxa" w:w="1576"/>
          </w:tcPr>
          <w:p>
            <w:pPr>
              <w:pStyle w:val="Compact"/>
              <w:jc w:val="left"/>
            </w:pPr>
            <w:r>
              <w:rPr>
                <w:sz w:val="22"/>
              </w:rPr>
              <w:t xml:space="preserve">Guiding Coalition Gap</w:t>
            </w:r>
          </w:p>
        </w:tc>
        <w:tc>
          <w:tcPr>
            <w:tcW w:type="dxa" w:w="840"/>
          </w:tcPr>
          <w:p>
            <w:pPr>
              <w:pStyle w:val="Compact"/>
              <w:jc w:val="left"/>
            </w:pPr>
            <w:r>
              <w:rPr>
                <w:sz w:val="22"/>
              </w:rPr>
              <w:t xml:space="preserve">Medium</w:t>
            </w:r>
          </w:p>
        </w:tc>
        <w:tc>
          <w:tcPr>
            <w:tcW w:type="dxa" w:w="3994"/>
          </w:tcPr>
          <w:p>
            <w:pPr>
              <w:pStyle w:val="Compact"/>
              <w:jc w:val="left"/>
            </w:pPr>
            <w:r>
              <w:rPr>
                <w:sz w:val="22"/>
              </w:rPr>
              <w:t xml:space="preserve">The Sponsor &amp; Coalition record on M7 names fewer than 2 coalition members</w:t>
            </w:r>
          </w:p>
        </w:tc>
        <w:tc>
          <w:tcPr>
            <w:tcW w:type="dxa" w:w="1576"/>
          </w:tcPr>
          <w:p>
            <w:pPr>
              <w:pStyle w:val="Compact"/>
              <w:jc w:val="left"/>
            </w:pPr>
            <w:r>
              <w:rPr>
                <w:sz w:val="22"/>
              </w:rPr>
              <w:t xml:space="preserve">L1 — PMO</w:t>
            </w:r>
          </w:p>
        </w:tc>
        <w:tc>
          <w:tcPr>
            <w:tcW w:type="dxa" w:w="1576"/>
          </w:tcPr>
          <w:p>
            <w:pPr>
              <w:pStyle w:val="Compact"/>
              <w:jc w:val="left"/>
            </w:pPr>
            <w:r>
              <w:rPr>
                <w:sz w:val="22"/>
              </w:rPr>
              <w:t xml:space="preserve">Review within 10 business days</w:t>
            </w:r>
          </w:p>
        </w:tc>
      </w:tr>
      <w:tr>
        <w:trPr>
          <w:cantSplit/>
        </w:trPr>
        <w:tc>
          <w:tcPr>
            <w:tcW w:type="dxa" w:w="946"/>
          </w:tcPr>
          <w:p>
            <w:pPr>
              <w:pStyle w:val="Compact"/>
              <w:jc w:val="left"/>
            </w:pPr>
            <w:r>
              <w:rPr>
                <w:sz w:val="22"/>
              </w:rPr>
              <w:t xml:space="preserve">ALT-011</w:t>
            </w:r>
          </w:p>
        </w:tc>
        <w:tc>
          <w:tcPr>
            <w:tcW w:type="dxa" w:w="1576"/>
          </w:tcPr>
          <w:p>
            <w:pPr>
              <w:pStyle w:val="Compact"/>
              <w:jc w:val="left"/>
            </w:pPr>
            <w:r>
              <w:rPr>
                <w:sz w:val="22"/>
              </w:rPr>
              <w:t xml:space="preserve">Communication Overload Detected</w:t>
            </w:r>
          </w:p>
        </w:tc>
        <w:tc>
          <w:tcPr>
            <w:tcW w:type="dxa" w:w="840"/>
          </w:tcPr>
          <w:p>
            <w:pPr>
              <w:pStyle w:val="Compact"/>
              <w:jc w:val="left"/>
            </w:pPr>
            <w:r>
              <w:rPr>
                <w:sz w:val="22"/>
              </w:rPr>
              <w:t xml:space="preserve">Low</w:t>
            </w:r>
          </w:p>
        </w:tc>
        <w:tc>
          <w:tcPr>
            <w:tcW w:type="dxa" w:w="3994"/>
          </w:tcPr>
          <w:p>
            <w:pPr>
              <w:pStyle w:val="Compact"/>
              <w:jc w:val="left"/>
            </w:pPr>
            <w:r>
              <w:rPr>
                <w:sz w:val="22"/>
              </w:rPr>
              <w:t xml:space="preserve">More than 3 not-yet-sent communications are queued for one population across this and other concurrent projects in the same Organization</w:t>
            </w:r>
          </w:p>
        </w:tc>
        <w:tc>
          <w:tcPr>
            <w:tcW w:type="dxa" w:w="1576"/>
          </w:tcPr>
          <w:p>
            <w:pPr>
              <w:pStyle w:val="Compact"/>
              <w:jc w:val="left"/>
            </w:pPr>
            <w:r>
              <w:rPr>
                <w:sz w:val="22"/>
              </w:rPr>
              <w:t xml:space="preserve">L1 — Change Manager</w:t>
            </w:r>
          </w:p>
        </w:tc>
        <w:tc>
          <w:tcPr>
            <w:tcW w:type="dxa" w:w="1576"/>
          </w:tcPr>
          <w:p>
            <w:pPr>
              <w:pStyle w:val="Compact"/>
              <w:jc w:val="left"/>
            </w:pPr>
            <w:r>
              <w:rPr>
                <w:sz w:val="22"/>
              </w:rPr>
              <w:t xml:space="preserve">Review within 5 business days</w:t>
            </w:r>
          </w:p>
        </w:tc>
      </w:tr>
      <w:tr>
        <w:trPr>
          <w:cantSplit/>
        </w:trPr>
        <w:tc>
          <w:tcPr>
            <w:tcW w:type="dxa" w:w="946"/>
          </w:tcPr>
          <w:p>
            <w:pPr>
              <w:pStyle w:val="Compact"/>
              <w:jc w:val="left"/>
            </w:pPr>
            <w:r>
              <w:rPr>
                <w:sz w:val="22"/>
              </w:rPr>
              <w:t xml:space="preserve">ALT-015</w:t>
            </w:r>
          </w:p>
        </w:tc>
        <w:tc>
          <w:tcPr>
            <w:tcW w:type="dxa" w:w="1576"/>
          </w:tcPr>
          <w:p>
            <w:pPr>
              <w:pStyle w:val="Compact"/>
              <w:jc w:val="left"/>
            </w:pPr>
            <w:r>
              <w:rPr>
                <w:sz w:val="22"/>
              </w:rPr>
              <w:t xml:space="preserve">Sustainment Sign-Off Blocked</w:t>
            </w:r>
          </w:p>
        </w:tc>
        <w:tc>
          <w:tcPr>
            <w:tcW w:type="dxa" w:w="840"/>
          </w:tcPr>
          <w:p>
            <w:pPr>
              <w:pStyle w:val="Compact"/>
              <w:jc w:val="left"/>
            </w:pPr>
            <w:r>
              <w:rPr>
                <w:sz w:val="22"/>
              </w:rPr>
              <w:t xml:space="preserve">Medium</w:t>
            </w:r>
          </w:p>
        </w:tc>
        <w:tc>
          <w:tcPr>
            <w:tcW w:type="dxa" w:w="3994"/>
          </w:tcPr>
          <w:p>
            <w:pPr>
              <w:pStyle w:val="Compact"/>
              <w:jc w:val="left"/>
            </w:pPr>
            <w:r>
              <w:rPr>
                <w:sz w:val="22"/>
              </w:rPr>
              <w:t xml:space="preserve">Sign-off on M12 is not yet given, and a checkpoint carries a High regression-risk flag</w:t>
            </w:r>
          </w:p>
        </w:tc>
        <w:tc>
          <w:tcPr>
            <w:tcW w:type="dxa" w:w="1576"/>
          </w:tcPr>
          <w:p>
            <w:pPr>
              <w:pStyle w:val="Compact"/>
              <w:jc w:val="left"/>
            </w:pPr>
            <w:r>
              <w:rPr>
                <w:sz w:val="22"/>
              </w:rPr>
              <w:t xml:space="preserve">L1 — Change Manager</w:t>
            </w:r>
          </w:p>
        </w:tc>
        <w:tc>
          <w:tcPr>
            <w:tcW w:type="dxa" w:w="1576"/>
          </w:tcPr>
          <w:p>
            <w:pPr>
              <w:pStyle w:val="Compact"/>
              <w:jc w:val="left"/>
            </w:pPr>
            <w:r>
              <w:rPr>
                <w:sz w:val="22"/>
              </w:rPr>
              <w:t xml:space="preserve">Review within 5 business days</w:t>
            </w:r>
          </w:p>
        </w:tc>
      </w:tr>
    </w:tbl>
    <w:p>
      <w:pPr>
        <w:pStyle w:val="BodyText"/>
      </w:pPr>
      <w:r>
        <w:rPr>
          <w:sz w:val="25"/>
        </w:rPr>
        <w:t xml:space="preserve">Part 4’s nine-project scenario library was deliberately designed so that every one of these 9 fires at least once against Bouregreg Group’s real data — seven from a single project’s own record, and ALT-008 and ALT-011 only because several projects are genuinely running concurrently against overlapping populations.</w:t>
      </w:r>
    </w:p>
    <w:bookmarkEnd w:id="105"/>
    <w:bookmarkStart w:id="106" w:name="the-7-catalogued-but-non-live-alerts"/>
    <w:p>
      <w:pPr>
        <w:pStyle w:val="Heading3"/>
      </w:pPr>
      <w:r>
        <w:rPr>
          <w:b/>
          <w:color w:val="3F827B"/>
          <w:sz w:val="29"/>
        </w:rPr>
        <w:t xml:space="preserve">5.3 The 7 catalogued but non-live alerts</w:t>
      </w:r>
    </w:p>
    <w:tbl>
      <w:tblPr>
        <w:tblStyle w:val="Table"/>
        <w:tblW w:type="pct" w:w="5000"/>
        <w:jc w:val="center"/>
        <w:tblLayout w:type="fixed"/>
        <w:tblLook w:firstRow="1" w:lastRow="0" w:firstColumn="0" w:lastColumn="0" w:noHBand="0" w:noVBand="0" w:val="0020"/>
      </w:tblPr>
      <w:tblGrid>
        <w:gridCol w:w="600760"/>
        <w:gridCol w:w="1869033"/>
        <w:gridCol w:w="4205325"/>
      </w:tblGrid>
      <w:tr>
        <w:trPr>
          <w:tblHeader w:val="true"/>
          <w:cantSplit/>
        </w:trPr>
        <w:tc>
          <w:tcPr>
            <w:tcW w:type="dxa" w:w="946"/>
            <w:shd w:val="clear" w:fill="1F4B45"/>
          </w:tcPr>
          <w:p>
            <w:pPr>
              <w:pStyle w:val="Compact"/>
              <w:jc w:val="left"/>
            </w:pPr>
            <w:r>
              <w:rPr>
                <w:b/>
                <w:color w:val="FFFFFF"/>
                <w:sz w:val="22"/>
              </w:rPr>
              <w:t xml:space="preserve">ID</w:t>
            </w:r>
          </w:p>
        </w:tc>
        <w:tc>
          <w:tcPr>
            <w:tcW w:type="dxa" w:w="2943"/>
            <w:shd w:val="clear" w:fill="1F4B45"/>
          </w:tcPr>
          <w:p>
            <w:pPr>
              <w:pStyle w:val="Compact"/>
              <w:jc w:val="left"/>
            </w:pPr>
            <w:r>
              <w:rPr>
                <w:b/>
                <w:color w:val="FFFFFF"/>
                <w:sz w:val="22"/>
              </w:rPr>
              <w:t xml:space="preserve">Name</w:t>
            </w:r>
          </w:p>
        </w:tc>
        <w:tc>
          <w:tcPr>
            <w:tcW w:type="dxa" w:w="6622"/>
            <w:shd w:val="clear" w:fill="1F4B45"/>
          </w:tcPr>
          <w:p>
            <w:pPr>
              <w:pStyle w:val="Compact"/>
              <w:jc w:val="left"/>
            </w:pPr>
            <w:r>
              <w:rPr>
                <w:b/>
                <w:color w:val="FFFFFF"/>
                <w:sz w:val="22"/>
              </w:rPr>
              <w:t xml:space="preserve">Why it never fires here</w:t>
            </w:r>
          </w:p>
        </w:tc>
      </w:tr>
      <w:tr>
        <w:trPr>
          <w:cantSplit/>
        </w:trPr>
        <w:tc>
          <w:tcPr>
            <w:tcW w:type="dxa" w:w="946"/>
          </w:tcPr>
          <w:p>
            <w:pPr>
              <w:pStyle w:val="Compact"/>
              <w:jc w:val="left"/>
            </w:pPr>
            <w:r>
              <w:rPr>
                <w:sz w:val="22"/>
              </w:rPr>
              <w:t xml:space="preserve">ALT-005</w:t>
            </w:r>
          </w:p>
        </w:tc>
        <w:tc>
          <w:tcPr>
            <w:tcW w:type="dxa" w:w="2943"/>
          </w:tcPr>
          <w:p>
            <w:pPr>
              <w:pStyle w:val="Compact"/>
              <w:jc w:val="left"/>
            </w:pPr>
            <w:r>
              <w:rPr>
                <w:sz w:val="22"/>
              </w:rPr>
              <w:t xml:space="preserve">Survey Exception Escalated to Admin</w:t>
            </w:r>
          </w:p>
        </w:tc>
        <w:tc>
          <w:tcPr>
            <w:tcW w:type="dxa" w:w="6622"/>
          </w:tcPr>
          <w:p>
            <w:pPr>
              <w:pStyle w:val="Compact"/>
              <w:jc w:val="left"/>
            </w:pPr>
            <w:r>
              <w:rPr>
                <w:sz w:val="22"/>
              </w:rPr>
              <w:t xml:space="preserve">Depends on a real backend to run and retry surveys</w:t>
            </w:r>
          </w:p>
        </w:tc>
      </w:tr>
      <w:tr>
        <w:trPr>
          <w:cantSplit/>
        </w:trPr>
        <w:tc>
          <w:tcPr>
            <w:tcW w:type="dxa" w:w="946"/>
          </w:tcPr>
          <w:p>
            <w:pPr>
              <w:pStyle w:val="Compact"/>
              <w:jc w:val="left"/>
            </w:pPr>
            <w:r>
              <w:rPr>
                <w:sz w:val="22"/>
              </w:rPr>
              <w:t xml:space="preserve">ALT-006</w:t>
            </w:r>
          </w:p>
        </w:tc>
        <w:tc>
          <w:tcPr>
            <w:tcW w:type="dxa" w:w="2943"/>
          </w:tcPr>
          <w:p>
            <w:pPr>
              <w:pStyle w:val="Compact"/>
              <w:jc w:val="left"/>
            </w:pPr>
            <w:r>
              <w:rPr>
                <w:sz w:val="22"/>
              </w:rPr>
              <w:t xml:space="preserve">Champion Coverage Below Target</w:t>
            </w:r>
          </w:p>
        </w:tc>
        <w:tc>
          <w:tcPr>
            <w:tcW w:type="dxa" w:w="6622"/>
          </w:tcPr>
          <w:p>
            <w:pPr>
              <w:pStyle w:val="Compact"/>
              <w:jc w:val="left"/>
            </w:pPr>
            <w:r>
              <w:rPr>
                <w:sz w:val="22"/>
              </w:rPr>
              <w:t xml:space="preserve">No governed Champion data entity exists to compute against — see 5.1</w:t>
            </w:r>
          </w:p>
        </w:tc>
      </w:tr>
      <w:tr>
        <w:trPr>
          <w:cantSplit/>
        </w:trPr>
        <w:tc>
          <w:tcPr>
            <w:tcW w:type="dxa" w:w="946"/>
          </w:tcPr>
          <w:p>
            <w:pPr>
              <w:pStyle w:val="Compact"/>
              <w:jc w:val="left"/>
            </w:pPr>
            <w:r>
              <w:rPr>
                <w:sz w:val="22"/>
              </w:rPr>
              <w:t xml:space="preserve">ALT-007</w:t>
            </w:r>
          </w:p>
        </w:tc>
        <w:tc>
          <w:tcPr>
            <w:tcW w:type="dxa" w:w="2943"/>
          </w:tcPr>
          <w:p>
            <w:pPr>
              <w:pStyle w:val="Compact"/>
              <w:jc w:val="left"/>
            </w:pPr>
            <w:r>
              <w:rPr>
                <w:sz w:val="22"/>
              </w:rPr>
              <w:t xml:space="preserve">AI Use Case Confidence Below Threshold</w:t>
            </w:r>
          </w:p>
        </w:tc>
        <w:tc>
          <w:tcPr>
            <w:tcW w:type="dxa" w:w="6622"/>
          </w:tcPr>
          <w:p>
            <w:pPr>
              <w:pStyle w:val="Compact"/>
              <w:jc w:val="left"/>
            </w:pPr>
            <w:r>
              <w:rPr>
                <w:sz w:val="22"/>
              </w:rPr>
              <w:t xml:space="preserve">Depends on a real AI confidence-scoring pipeline</w:t>
            </w:r>
          </w:p>
        </w:tc>
      </w:tr>
      <w:tr>
        <w:trPr>
          <w:cantSplit/>
        </w:trPr>
        <w:tc>
          <w:tcPr>
            <w:tcW w:type="dxa" w:w="946"/>
          </w:tcPr>
          <w:p>
            <w:pPr>
              <w:pStyle w:val="Compact"/>
              <w:jc w:val="left"/>
            </w:pPr>
            <w:r>
              <w:rPr>
                <w:sz w:val="22"/>
              </w:rPr>
              <w:t xml:space="preserve">ALT-012</w:t>
            </w:r>
          </w:p>
        </w:tc>
        <w:tc>
          <w:tcPr>
            <w:tcW w:type="dxa" w:w="2943"/>
          </w:tcPr>
          <w:p>
            <w:pPr>
              <w:pStyle w:val="Compact"/>
              <w:jc w:val="left"/>
            </w:pPr>
            <w:r>
              <w:rPr>
                <w:sz w:val="22"/>
              </w:rPr>
              <w:t xml:space="preserve">Import Integrity Check Failed</w:t>
            </w:r>
          </w:p>
        </w:tc>
        <w:tc>
          <w:tcPr>
            <w:tcW w:type="dxa" w:w="6622"/>
          </w:tcPr>
          <w:p>
            <w:pPr>
              <w:pStyle w:val="Compact"/>
              <w:jc w:val="left"/>
            </w:pPr>
            <w:r>
              <w:rPr>
                <w:sz w:val="22"/>
              </w:rPr>
              <w:t xml:space="preserve">Depends on a real backend data-import pipeline</w:t>
            </w:r>
          </w:p>
        </w:tc>
      </w:tr>
      <w:tr>
        <w:trPr>
          <w:cantSplit/>
        </w:trPr>
        <w:tc>
          <w:tcPr>
            <w:tcW w:type="dxa" w:w="946"/>
          </w:tcPr>
          <w:p>
            <w:pPr>
              <w:pStyle w:val="Compact"/>
              <w:jc w:val="left"/>
            </w:pPr>
            <w:r>
              <w:rPr>
                <w:sz w:val="22"/>
              </w:rPr>
              <w:t xml:space="preserve">ALT-013</w:t>
            </w:r>
          </w:p>
        </w:tc>
        <w:tc>
          <w:tcPr>
            <w:tcW w:type="dxa" w:w="2943"/>
          </w:tcPr>
          <w:p>
            <w:pPr>
              <w:pStyle w:val="Compact"/>
              <w:jc w:val="left"/>
            </w:pPr>
            <w:r>
              <w:rPr>
                <w:sz w:val="22"/>
              </w:rPr>
              <w:t xml:space="preserve">Administrative Account Locked</w:t>
            </w:r>
          </w:p>
        </w:tc>
        <w:tc>
          <w:tcPr>
            <w:tcW w:type="dxa" w:w="6622"/>
          </w:tcPr>
          <w:p>
            <w:pPr>
              <w:pStyle w:val="Compact"/>
              <w:jc w:val="left"/>
            </w:pPr>
            <w:r>
              <w:rPr>
                <w:sz w:val="22"/>
              </w:rPr>
              <w:t xml:space="preserve">Depends on real authentication/lockout infrastructure</w:t>
            </w:r>
          </w:p>
        </w:tc>
      </w:tr>
      <w:tr>
        <w:trPr>
          <w:cantSplit/>
        </w:trPr>
        <w:tc>
          <w:tcPr>
            <w:tcW w:type="dxa" w:w="946"/>
          </w:tcPr>
          <w:p>
            <w:pPr>
              <w:pStyle w:val="Compact"/>
              <w:jc w:val="left"/>
            </w:pPr>
            <w:r>
              <w:rPr>
                <w:sz w:val="22"/>
              </w:rPr>
              <w:t xml:space="preserve">ALT-014</w:t>
            </w:r>
          </w:p>
        </w:tc>
        <w:tc>
          <w:tcPr>
            <w:tcW w:type="dxa" w:w="2943"/>
          </w:tcPr>
          <w:p>
            <w:pPr>
              <w:pStyle w:val="Compact"/>
              <w:jc w:val="left"/>
            </w:pPr>
            <w:r>
              <w:rPr>
                <w:sz w:val="22"/>
              </w:rPr>
              <w:t xml:space="preserve">GDPR Request SLA at Risk</w:t>
            </w:r>
          </w:p>
        </w:tc>
        <w:tc>
          <w:tcPr>
            <w:tcW w:type="dxa" w:w="6622"/>
          </w:tcPr>
          <w:p>
            <w:pPr>
              <w:pStyle w:val="Compact"/>
              <w:jc w:val="left"/>
            </w:pPr>
            <w:r>
              <w:rPr>
                <w:sz w:val="22"/>
              </w:rPr>
              <w:t xml:space="preserve">Depends on a real request-tracking system</w:t>
            </w:r>
          </w:p>
        </w:tc>
      </w:tr>
      <w:tr>
        <w:trPr>
          <w:cantSplit/>
        </w:trPr>
        <w:tc>
          <w:tcPr>
            <w:tcW w:type="dxa" w:w="946"/>
          </w:tcPr>
          <w:p>
            <w:pPr>
              <w:pStyle w:val="Compact"/>
              <w:jc w:val="left"/>
            </w:pPr>
            <w:r>
              <w:rPr>
                <w:sz w:val="22"/>
              </w:rPr>
              <w:t xml:space="preserve">ALT-016</w:t>
            </w:r>
          </w:p>
        </w:tc>
        <w:tc>
          <w:tcPr>
            <w:tcW w:type="dxa" w:w="2943"/>
          </w:tcPr>
          <w:p>
            <w:pPr>
              <w:pStyle w:val="Compact"/>
              <w:jc w:val="left"/>
            </w:pPr>
            <w:r>
              <w:rPr>
                <w:sz w:val="22"/>
              </w:rPr>
              <w:t xml:space="preserve">AI Provider Fallback Triggered</w:t>
            </w:r>
          </w:p>
        </w:tc>
        <w:tc>
          <w:tcPr>
            <w:tcW w:type="dxa" w:w="6622"/>
          </w:tcPr>
          <w:p>
            <w:pPr>
              <w:pStyle w:val="Compact"/>
              <w:jc w:val="left"/>
            </w:pPr>
            <w:r>
              <w:rPr>
                <w:sz w:val="22"/>
              </w:rPr>
              <w:t xml:space="preserve">Depends on a real multi-provider AI backend</w:t>
            </w:r>
          </w:p>
        </w:tc>
      </w:tr>
    </w:tbl>
    <w:bookmarkEnd w:id="106"/>
    <w:bookmarkStart w:id="107" w:name="Xf6565557127911adf304fe9ac3cbe63c836db27"/>
    <w:p>
      <w:pPr>
        <w:pStyle w:val="Heading3"/>
      </w:pPr>
      <w:r>
        <w:rPr>
          <w:b/>
          <w:color w:val="3F827B"/>
          <w:sz w:val="29"/>
        </w:rPr>
        <w:t xml:space="preserve">5.4 The two computed metrics behind the alerts</w:t>
      </w:r>
    </w:p>
    <w:p>
      <w:pPr>
        <w:pStyle w:val="FirstParagraph"/>
      </w:pPr>
      <w:r>
        <w:rPr>
          <w:sz w:val="25"/>
        </w:rPr>
        <w:t xml:space="preserve">Two numbers drive several of the alerts and dashboards above, and journi computes both automatically rather than leave them to a Change Manager’s arithmetic:</w:t>
      </w:r>
    </w:p>
    <w:p>
      <w:pPr>
        <w:numPr>
          <w:ilvl w:val="0"/>
          <w:numId w:val="1021"/>
        </w:numPr>
        <w:pStyle w:val="Compact"/>
      </w:pPr>
      <w:r>
        <w:rPr>
          <w:bCs/>
          <w:b/>
          <w:sz w:val="25"/>
        </w:rPr>
        <w:t xml:space="preserve">Composite Readiness Index</w:t>
      </w:r>
      <w:r>
        <w:rPr>
          <w:sz w:val="25"/>
        </w:rPr>
        <w:t xml:space="preserve"> </w:t>
      </w:r>
      <w:r>
        <w:rPr>
          <w:sz w:val="25"/>
        </w:rPr>
        <w:t xml:space="preserve">(M14):</w:t>
      </w:r>
      <w:r>
        <w:rPr>
          <w:sz w:val="25"/>
        </w:rPr>
        <w:t xml:space="preserve"> </w:t>
      </w:r>
      <w:r>
        <w:rPr>
          <w:rStyle w:val="VerbatimChar"/>
          <w:sz w:val="25"/>
        </w:rPr>
        <w:t xml:space="preserve">ADKAR% × 0.50 + Kübler-Ross sentiment% × 0.25 + Training completion% × 0.25</w:t>
      </w:r>
      <w:r>
        <w:rPr>
          <w:sz w:val="25"/>
        </w:rPr>
        <w:t xml:space="preserve">. Recalculated live as any of its three inputs change; this is the number the Steering Committee reviews at every phase gate in Part 3 and Part 4.</w:t>
      </w:r>
    </w:p>
    <w:p>
      <w:pPr>
        <w:numPr>
          <w:ilvl w:val="0"/>
          <w:numId w:val="1021"/>
        </w:numPr>
        <w:pStyle w:val="Compact"/>
      </w:pPr>
      <w:r>
        <w:rPr>
          <w:bCs/>
          <w:b/>
          <w:sz w:val="25"/>
        </w:rPr>
        <w:t xml:space="preserve">Divergence Pattern Detector</w:t>
      </w:r>
      <w:r>
        <w:rPr>
          <w:sz w:val="25"/>
        </w:rPr>
        <w:t xml:space="preserve">: the same boolean rule that drives ALT-001 — Knowledge ≥ 4 and Ability ≥ 4 while Bridges reads exactly</w:t>
      </w:r>
      <w:r>
        <w:rPr>
          <w:sz w:val="25"/>
        </w:rPr>
        <w:t xml:space="preserve"> </w:t>
      </w:r>
      <w:r>
        <w:rPr>
          <w:sz w:val="25"/>
        </w:rPr>
        <w:t xml:space="preserve">“</w:t>
      </w:r>
      <w:r>
        <w:rPr>
          <w:sz w:val="25"/>
        </w:rPr>
        <w:t xml:space="preserve">Ending.</w:t>
      </w:r>
      <w:r>
        <w:rPr>
          <w:sz w:val="25"/>
        </w:rPr>
        <w:t xml:space="preserve">”</w:t>
      </w:r>
      <w:r>
        <w:rPr>
          <w:sz w:val="25"/>
        </w:rPr>
        <w:t xml:space="preserve"> </w:t>
      </w:r>
      <w:r>
        <w:rPr>
          <w:sz w:val="25"/>
        </w:rPr>
        <w:t xml:space="preserve">It is not a separate module; it is computed live from M5 and M6 data and surfaces exclusively as ALT-001 in the Notification Center.</w:t>
      </w:r>
    </w:p>
    <w:bookmarkEnd w:id="107"/>
    <w:bookmarkStart w:id="108" w:name="where-to-look-by-role"/>
    <w:p>
      <w:pPr>
        <w:pStyle w:val="Heading3"/>
      </w:pPr>
      <w:r>
        <w:rPr>
          <w:b/>
          <w:color w:val="3F827B"/>
          <w:sz w:val="29"/>
        </w:rPr>
        <w:t xml:space="preserve">5.5 Where to look, by role</w:t>
      </w:r>
    </w:p>
    <w:p>
      <w:pPr>
        <w:numPr>
          <w:ilvl w:val="0"/>
          <w:numId w:val="1022"/>
        </w:numPr>
        <w:pStyle w:val="Compact"/>
      </w:pPr>
      <w:r>
        <w:rPr>
          <w:bCs/>
          <w:b/>
          <w:sz w:val="25"/>
        </w:rPr>
        <w:t xml:space="preserve">Change Manager</w:t>
      </w:r>
      <w:r>
        <w:rPr>
          <w:sz w:val="25"/>
        </w:rPr>
        <w:t xml:space="preserve"> </w:t>
      </w:r>
      <w:r>
        <w:rPr>
          <w:sz w:val="25"/>
        </w:rPr>
        <w:t xml:space="preserve">(Driss El Amrani, Houda Zerouali on their own scenarios): the Notification Center bell first, then M14 for the trend behind whatever fired.</w:t>
      </w:r>
    </w:p>
    <w:p>
      <w:pPr>
        <w:numPr>
          <w:ilvl w:val="0"/>
          <w:numId w:val="1022"/>
        </w:numPr>
        <w:pStyle w:val="Compact"/>
      </w:pPr>
      <w:r>
        <w:rPr>
          <w:bCs/>
          <w:b/>
          <w:sz w:val="25"/>
        </w:rPr>
        <w:t xml:space="preserve">Executive Sponsor / Steering Committee</w:t>
      </w:r>
      <w:r>
        <w:rPr>
          <w:sz w:val="25"/>
        </w:rPr>
        <w:t xml:space="preserve">: M14’s benchmarking view for the blended readiness trend; ALT-003, ALT-004, ALT-009, and ALT-010 are the four most likely to name them directly as a recipient.</w:t>
      </w:r>
    </w:p>
    <w:p>
      <w:pPr>
        <w:numPr>
          <w:ilvl w:val="0"/>
          <w:numId w:val="1022"/>
        </w:numPr>
        <w:pStyle w:val="Compact"/>
      </w:pPr>
      <w:r>
        <w:rPr>
          <w:bCs/>
          <w:b/>
          <w:sz w:val="25"/>
        </w:rPr>
        <w:t xml:space="preserve">PMO / Program Manager</w:t>
      </w:r>
      <w:r>
        <w:rPr>
          <w:sz w:val="25"/>
        </w:rPr>
        <w:t xml:space="preserve">: ALT-008 and ALT-009 are PM-facing by design — saturation and gate outcomes are portfolio- and schedule-level concerns first.</w:t>
      </w:r>
    </w:p>
    <w:p>
      <w:pPr>
        <w:numPr>
          <w:ilvl w:val="0"/>
          <w:numId w:val="1022"/>
        </w:numPr>
        <w:pStyle w:val="Compact"/>
      </w:pPr>
      <w:r>
        <w:rPr>
          <w:bCs/>
          <w:b/>
          <w:sz w:val="25"/>
        </w:rPr>
        <w:t xml:space="preserve">Super Admin</w:t>
      </w:r>
      <w:r>
        <w:rPr>
          <w:sz w:val="25"/>
        </w:rPr>
        <w:t xml:space="preserve">: none of the 9 live alerts route to Super Admin by default; their standing responsibility is Part 1’s tenant configuration (License, Permission Matrix, Governance Settings), not day-to-day alert triage.</w:t>
      </w:r>
    </w:p>
    <w:bookmarkEnd w:id="108"/>
    <w:bookmarkStart w:id="109" w:name="alert-to-scenario-cross-reference"/>
    <w:p>
      <w:pPr>
        <w:pStyle w:val="Heading3"/>
      </w:pPr>
      <w:r>
        <w:rPr>
          <w:b/>
          <w:color w:val="3F827B"/>
          <w:sz w:val="29"/>
        </w:rPr>
        <w:t xml:space="preserve">5.6 Alert-to-Scenario Cross-Reference</w:t>
      </w:r>
    </w:p>
    <w:p>
      <w:pPr>
        <w:pStyle w:val="FirstParagraph"/>
      </w:pPr>
      <w:r>
        <w:rPr>
          <w:sz w:val="25"/>
        </w:rPr>
        <w:t xml:space="preserve">Part 4’s nine-project library was purpose-built so every live alert has a real, traceable origin in this guide rather than existing only as an abstract rule. This table is the index back to where each one actually fires: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shd w:val="clear" w:fill="1F4B45"/>
          </w:tcPr>
          <w:p>
            <w:pPr>
              <w:pStyle w:val="Compact"/>
              <w:jc w:val="left"/>
            </w:pPr>
            <w:r>
              <w:rPr>
                <w:b/>
                <w:color w:val="FFFFFF"/>
                <w:sz w:val="22"/>
              </w:rPr>
              <w:t xml:space="preserve">Alert</w:t>
            </w:r>
          </w:p>
        </w:tc>
        <w:tc>
          <w:tcPr>
            <w:shd w:val="clear" w:fill="1F4B45"/>
          </w:tcPr>
          <w:p>
            <w:pPr>
              <w:pStyle w:val="Compact"/>
              <w:jc w:val="left"/>
            </w:pPr>
            <w:r>
              <w:rPr>
                <w:b/>
                <w:color w:val="FFFFFF"/>
                <w:sz w:val="22"/>
              </w:rPr>
              <w:t xml:space="preserve">Fires in</w:t>
            </w:r>
          </w:p>
        </w:tc>
        <w:tc>
          <w:tcPr>
            <w:shd w:val="clear" w:fill="1F4B45"/>
          </w:tcPr>
          <w:p>
            <w:pPr>
              <w:pStyle w:val="Compact"/>
              <w:jc w:val="left"/>
            </w:pPr>
            <w:r>
              <w:rPr>
                <w:b/>
                <w:color w:val="FFFFFF"/>
                <w:sz w:val="22"/>
              </w:rPr>
              <w:t xml:space="preserve">When (approximate week)</w:t>
            </w:r>
          </w:p>
        </w:tc>
      </w:tr>
      <w:tr>
        <w:trPr>
          <w:cantSplit/>
        </w:trPr>
        <w:tc>
          <w:tcPr/>
          <w:p>
            <w:pPr>
              <w:pStyle w:val="Compact"/>
              <w:jc w:val="left"/>
            </w:pPr>
            <w:r>
              <w:rPr>
                <w:sz w:val="22"/>
              </w:rPr>
              <w:t xml:space="preserve">ALT-001 Divergence Pattern Detected</w:t>
            </w:r>
          </w:p>
        </w:tc>
        <w:tc>
          <w:tcPr/>
          <w:p>
            <w:pPr>
              <w:pStyle w:val="Compact"/>
              <w:jc w:val="left"/>
            </w:pPr>
            <w:r>
              <w:rPr>
                <w:sz w:val="22"/>
              </w:rPr>
              <w:t xml:space="preserve">Bouregreg ERP Adoption Program</w:t>
            </w:r>
          </w:p>
        </w:tc>
        <w:tc>
          <w:tcPr/>
          <w:p>
            <w:pPr>
              <w:pStyle w:val="Compact"/>
              <w:jc w:val="left"/>
            </w:pPr>
            <w:r>
              <w:rPr>
                <w:sz w:val="22"/>
              </w:rPr>
              <w:t xml:space="preserve">W28–38 (Test), Exception E2</w:t>
            </w:r>
          </w:p>
        </w:tc>
      </w:tr>
      <w:tr>
        <w:trPr>
          <w:cantSplit/>
        </w:trPr>
        <w:tc>
          <w:tcPr/>
          <w:p>
            <w:pPr>
              <w:pStyle w:val="Compact"/>
              <w:jc w:val="left"/>
            </w:pPr>
            <w:r>
              <w:rPr>
                <w:sz w:val="22"/>
              </w:rPr>
              <w:t xml:space="preserve">ALT-002 Regression Risk Score Critical</w:t>
            </w:r>
          </w:p>
        </w:tc>
        <w:tc>
          <w:tcPr/>
          <w:p>
            <w:pPr>
              <w:pStyle w:val="Compact"/>
              <w:jc w:val="left"/>
            </w:pPr>
            <w:r>
              <w:rPr>
                <w:sz w:val="22"/>
              </w:rPr>
              <w:t xml:space="preserve">Regional Operating Model Redesign</w:t>
            </w:r>
          </w:p>
        </w:tc>
        <w:tc>
          <w:tcPr/>
          <w:p>
            <w:pPr>
              <w:pStyle w:val="Compact"/>
              <w:jc w:val="left"/>
            </w:pPr>
            <w:r>
              <w:rPr>
                <w:sz w:val="22"/>
              </w:rPr>
              <w:t xml:space="preserve">~W56, first 30-day checkpoint</w:t>
            </w:r>
          </w:p>
        </w:tc>
      </w:tr>
      <w:tr>
        <w:trPr>
          <w:cantSplit/>
        </w:trPr>
        <w:tc>
          <w:tcPr/>
          <w:p>
            <w:pPr>
              <w:pStyle w:val="Compact"/>
              <w:jc w:val="left"/>
            </w:pPr>
            <w:r>
              <w:rPr>
                <w:sz w:val="22"/>
              </w:rPr>
              <w:t xml:space="preserve">ALT-003 Sponsor Coverage Gap</w:t>
            </w:r>
          </w:p>
        </w:tc>
        <w:tc>
          <w:tcPr/>
          <w:p>
            <w:pPr>
              <w:pStyle w:val="Compact"/>
              <w:jc w:val="left"/>
            </w:pPr>
            <w:r>
              <w:rPr>
                <w:sz w:val="22"/>
              </w:rPr>
              <w:t xml:space="preserve">One Bouregreg: Post-Acquisition Culture Integration</w:t>
            </w:r>
          </w:p>
        </w:tc>
        <w:tc>
          <w:tcPr/>
          <w:p>
            <w:pPr>
              <w:pStyle w:val="Compact"/>
              <w:jc w:val="left"/>
            </w:pPr>
            <w:r>
              <w:rPr>
                <w:sz w:val="22"/>
              </w:rPr>
              <w:t xml:space="preserve">~W27–30, before the integration Sponsor’s first logged action</w:t>
            </w:r>
          </w:p>
        </w:tc>
      </w:tr>
      <w:tr>
        <w:trPr>
          <w:cantSplit/>
        </w:trPr>
        <w:tc>
          <w:tcPr/>
          <w:p>
            <w:pPr>
              <w:pStyle w:val="Compact"/>
              <w:jc w:val="left"/>
            </w:pPr>
            <w:r>
              <w:rPr>
                <w:sz w:val="22"/>
              </w:rPr>
              <w:t xml:space="preserve">ALT-004 Resistance Escalation Threshold Breached</w:t>
            </w:r>
          </w:p>
        </w:tc>
        <w:tc>
          <w:tcPr/>
          <w:p>
            <w:pPr>
              <w:pStyle w:val="Compact"/>
              <w:jc w:val="left"/>
            </w:pPr>
            <w:r>
              <w:rPr>
                <w:sz w:val="22"/>
              </w:rPr>
              <w:t xml:space="preserve">Order-to-Cash Process Redesign; Settat Plant Consolidation &amp; Workforce Restructuring</w:t>
            </w:r>
          </w:p>
        </w:tc>
        <w:tc>
          <w:tcPr/>
          <w:p>
            <w:pPr>
              <w:pStyle w:val="Compact"/>
              <w:jc w:val="left"/>
            </w:pPr>
            <w:r>
              <w:rPr>
                <w:sz w:val="22"/>
              </w:rPr>
              <w:t xml:space="preserve">W22–26 (Order-to-Cash pilot); W46 (Settat restructuring)</w:t>
            </w:r>
          </w:p>
        </w:tc>
      </w:tr>
      <w:tr>
        <w:trPr>
          <w:cantSplit/>
        </w:trPr>
        <w:tc>
          <w:tcPr/>
          <w:p>
            <w:pPr>
              <w:pStyle w:val="Compact"/>
              <w:jc w:val="left"/>
            </w:pPr>
            <w:r>
              <w:rPr>
                <w:sz w:val="22"/>
              </w:rPr>
              <w:t xml:space="preserve">ALT-008 Change Saturation Threshold Breached</w:t>
            </w:r>
          </w:p>
        </w:tc>
        <w:tc>
          <w:tcPr/>
          <w:p>
            <w:pPr>
              <w:pStyle w:val="Compact"/>
              <w:jc w:val="left"/>
            </w:pPr>
            <w:r>
              <w:rPr>
                <w:sz w:val="22"/>
              </w:rPr>
              <w:t xml:space="preserve">Portfolio-wide (Part 4,</w:t>
            </w:r>
            <w:r>
              <w:rPr>
                <w:sz w:val="22"/>
              </w:rPr>
              <w:t xml:space="preserve"> </w:t>
            </w:r>
            <w:r>
              <w:rPr>
                <w:sz w:val="22"/>
              </w:rPr>
              <w:t xml:space="preserve">“</w:t>
            </w:r>
            <w:r>
              <w:rPr>
                <w:sz w:val="22"/>
              </w:rPr>
              <w:t xml:space="preserve">What the portfolio view shows</w:t>
            </w:r>
            <w:r>
              <w:rPr>
                <w:sz w:val="22"/>
              </w:rPr>
              <w:t xml:space="preserve">”</w:t>
            </w:r>
            <w:r>
              <w:rPr>
                <w:sz w:val="22"/>
              </w:rPr>
              <w:t xml:space="preserve">)</w:t>
            </w:r>
          </w:p>
        </w:tc>
        <w:tc>
          <w:tcPr/>
          <w:p>
            <w:pPr>
              <w:pStyle w:val="Compact"/>
              <w:jc w:val="left"/>
            </w:pPr>
            <w:r>
              <w:rPr>
                <w:sz w:val="22"/>
              </w:rPr>
              <w:t xml:space="preserve">Continuous, once 3+ projects run concurrently</w:t>
            </w:r>
          </w:p>
        </w:tc>
      </w:tr>
      <w:tr>
        <w:trPr>
          <w:cantSplit/>
        </w:trPr>
        <w:tc>
          <w:tcPr/>
          <w:p>
            <w:pPr>
              <w:pStyle w:val="Compact"/>
              <w:jc w:val="left"/>
            </w:pPr>
            <w:r>
              <w:rPr>
                <w:sz w:val="22"/>
              </w:rPr>
              <w:t xml:space="preserve">ALT-009 Phase Gate No-Go / Conditional</w:t>
            </w:r>
          </w:p>
        </w:tc>
        <w:tc>
          <w:tcPr/>
          <w:p>
            <w:pPr>
              <w:pStyle w:val="Compact"/>
              <w:jc w:val="left"/>
            </w:pPr>
            <w:r>
              <w:rPr>
                <w:sz w:val="22"/>
              </w:rPr>
              <w:t xml:space="preserve">Bouregreg ERP Adoption Program (if triggered); most schedule-sensitive in the Loi 09-08 Compliance Program</w:t>
            </w:r>
          </w:p>
        </w:tc>
        <w:tc>
          <w:tcPr/>
          <w:p>
            <w:pPr>
              <w:pStyle w:val="Compact"/>
              <w:jc w:val="left"/>
            </w:pPr>
            <w:r>
              <w:rPr>
                <w:sz w:val="22"/>
              </w:rPr>
              <w:t xml:space="preserve">Any Phase Gate, Part 1B.3</w:t>
            </w:r>
          </w:p>
        </w:tc>
      </w:tr>
      <w:tr>
        <w:trPr>
          <w:cantSplit/>
        </w:trPr>
        <w:tc>
          <w:tcPr/>
          <w:p>
            <w:pPr>
              <w:pStyle w:val="Compact"/>
              <w:jc w:val="left"/>
            </w:pPr>
            <w:r>
              <w:rPr>
                <w:sz w:val="22"/>
              </w:rPr>
              <w:t xml:space="preserve">ALT-010 Guiding Coalition Gap</w:t>
            </w:r>
          </w:p>
        </w:tc>
        <w:tc>
          <w:tcPr/>
          <w:p>
            <w:pPr>
              <w:pStyle w:val="Compact"/>
              <w:jc w:val="left"/>
            </w:pPr>
            <w:r>
              <w:rPr>
                <w:sz w:val="22"/>
              </w:rPr>
              <w:t xml:space="preserve">ISO 9001/14001 Integrated Management System</w:t>
            </w:r>
          </w:p>
        </w:tc>
        <w:tc>
          <w:tcPr/>
          <w:p>
            <w:pPr>
              <w:pStyle w:val="Compact"/>
              <w:jc w:val="left"/>
            </w:pPr>
            <w:r>
              <w:rPr>
                <w:sz w:val="22"/>
              </w:rPr>
              <w:t xml:space="preserve">~W26, Implementation phase</w:t>
            </w:r>
          </w:p>
        </w:tc>
      </w:tr>
      <w:tr>
        <w:trPr>
          <w:cantSplit/>
        </w:trPr>
        <w:tc>
          <w:tcPr/>
          <w:p>
            <w:pPr>
              <w:pStyle w:val="Compact"/>
              <w:jc w:val="left"/>
            </w:pPr>
            <w:r>
              <w:rPr>
                <w:sz w:val="22"/>
              </w:rPr>
              <w:t xml:space="preserve">ALT-011 Communication Overload Detected</w:t>
            </w:r>
          </w:p>
        </w:tc>
        <w:tc>
          <w:tcPr/>
          <w:p>
            <w:pPr>
              <w:pStyle w:val="Compact"/>
              <w:jc w:val="left"/>
            </w:pPr>
            <w:r>
              <w:rPr>
                <w:sz w:val="22"/>
              </w:rPr>
              <w:t xml:space="preserve">Portfolio-wide (Part 4,</w:t>
            </w:r>
            <w:r>
              <w:rPr>
                <w:sz w:val="22"/>
              </w:rPr>
              <w:t xml:space="preserve"> </w:t>
            </w:r>
            <w:r>
              <w:rPr>
                <w:sz w:val="22"/>
              </w:rPr>
              <w:t xml:space="preserve">“</w:t>
            </w:r>
            <w:r>
              <w:rPr>
                <w:sz w:val="22"/>
              </w:rPr>
              <w:t xml:space="preserve">What the portfolio view shows</w:t>
            </w:r>
            <w:r>
              <w:rPr>
                <w:sz w:val="22"/>
              </w:rPr>
              <w:t xml:space="preserve">”</w:t>
            </w:r>
            <w:r>
              <w:rPr>
                <w:sz w:val="22"/>
              </w:rPr>
              <w:t xml:space="preserve">)</w:t>
            </w:r>
          </w:p>
        </w:tc>
        <w:tc>
          <w:tcPr/>
          <w:p>
            <w:pPr>
              <w:pStyle w:val="Compact"/>
              <w:jc w:val="left"/>
            </w:pPr>
            <w:r>
              <w:rPr>
                <w:sz w:val="22"/>
              </w:rPr>
              <w:t xml:space="preserve">Most acute around W43 (ERP go-live week)</w:t>
            </w:r>
          </w:p>
        </w:tc>
      </w:tr>
      <w:tr>
        <w:trPr>
          <w:cantSplit/>
        </w:trPr>
        <w:tc>
          <w:tcPr/>
          <w:p>
            <w:pPr>
              <w:pStyle w:val="Compact"/>
              <w:jc w:val="left"/>
            </w:pPr>
            <w:r>
              <w:rPr>
                <w:sz w:val="22"/>
              </w:rPr>
              <w:t xml:space="preserve">ALT-015 Sustainment Sign-Off Blocked</w:t>
            </w:r>
          </w:p>
        </w:tc>
        <w:tc>
          <w:tcPr/>
          <w:p>
            <w:pPr>
              <w:pStyle w:val="Compact"/>
              <w:jc w:val="left"/>
            </w:pPr>
            <w:r>
              <w:rPr>
                <w:sz w:val="22"/>
              </w:rPr>
              <w:t xml:space="preserve">Regional Operating Model Redesign</w:t>
            </w:r>
          </w:p>
        </w:tc>
        <w:tc>
          <w:tcPr/>
          <w:p>
            <w:pPr>
              <w:pStyle w:val="Compact"/>
              <w:jc w:val="left"/>
            </w:pPr>
            <w:r>
              <w:rPr>
                <w:sz w:val="22"/>
              </w:rPr>
              <w:t xml:space="preserve">~W56, following ALT-002</w:t>
            </w:r>
          </w:p>
        </w:tc>
      </w:tr>
    </w:tbl>
    <w:p>
      <w:r>
        <w:rPr>
          <w:sz w:val="25"/>
        </w:rPr>
        <w:pict>
          <v:rect style="width:0;height:1.5pt" o:hralign="center" o:hrstd="t" o:hr="t"/>
        </w:pict>
      </w:r>
    </w:p>
    <w:p>
      <w:r>
        <w:rPr>
          <w:sz w:val="25"/>
        </w:rPr>
        <w:pict>
          <v:rect style="width:0;height:1.5pt" o:hralign="center" o:hrstd="t" o:hr="t"/>
        </w:pict>
      </w:r>
    </w:p>
    <w:p>
      <w:pPr>
        <w:pStyle w:val="FirstParagraph"/>
      </w:pPr>
    </w:p>
    <w:bookmarkEnd w:id="109"/>
    <w:bookmarkEnd w:id="110"/>
    <w:bookmarkStart w:id="121" w:name="appendix-quick-reference"/>
    <w:p>
      <w:pPr>
        <w:pStyle w:val="Heading2"/>
      </w:pPr>
      <w:r>
        <w:rPr>
          <w:b/>
          <w:color w:val="275650"/>
          <w:sz w:val="34"/>
        </w:rPr>
        <w:t xml:space="preserve">Appendix — Quick Reference</w:t>
      </w:r>
    </w:p>
    <w:bookmarkStart w:id="111" w:name="a.1-role-legend"/>
    <w:p>
      <w:pPr>
        <w:pStyle w:val="Heading3"/>
      </w:pPr>
      <w:r>
        <w:rPr>
          <w:b/>
          <w:color w:val="3F827B"/>
          <w:sz w:val="29"/>
        </w:rPr>
        <w:t xml:space="preserve">A.1 Role Legend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shd w:val="clear" w:fill="1F4B45"/>
          </w:tcPr>
          <w:p>
            <w:pPr>
              <w:pStyle w:val="Compact"/>
              <w:jc w:val="left"/>
            </w:pPr>
            <w:r>
              <w:rPr>
                <w:b/>
                <w:color w:val="FFFFFF"/>
                <w:sz w:val="22"/>
              </w:rPr>
              <w:t xml:space="preserve">Role</w:t>
            </w:r>
          </w:p>
        </w:tc>
        <w:tc>
          <w:tcPr>
            <w:shd w:val="clear" w:fill="1F4B45"/>
          </w:tcPr>
          <w:p>
            <w:pPr>
              <w:pStyle w:val="Compact"/>
              <w:jc w:val="left"/>
            </w:pPr>
            <w:r>
              <w:rPr>
                <w:b/>
                <w:color w:val="FFFFFF"/>
                <w:sz w:val="22"/>
              </w:rPr>
              <w:t xml:space="preserve">Scope level</w:t>
            </w:r>
          </w:p>
        </w:tc>
        <w:tc>
          <w:tcPr>
            <w:shd w:val="clear" w:fill="1F4B45"/>
          </w:tcPr>
          <w:p>
            <w:pPr>
              <w:pStyle w:val="Compact"/>
              <w:jc w:val="left"/>
            </w:pPr>
            <w:r>
              <w:rPr>
                <w:b/>
                <w:color w:val="FFFFFF"/>
                <w:sz w:val="22"/>
              </w:rPr>
              <w:t xml:space="preserve">Individual visibility?</w:t>
            </w:r>
          </w:p>
        </w:tc>
        <w:tc>
          <w:tcPr>
            <w:shd w:val="clear" w:fill="1F4B45"/>
          </w:tcPr>
          <w:p>
            <w:pPr>
              <w:pStyle w:val="Compact"/>
              <w:jc w:val="left"/>
            </w:pPr>
            <w:r>
              <w:rPr>
                <w:b/>
                <w:color w:val="FFFFFF"/>
                <w:sz w:val="22"/>
              </w:rPr>
              <w:t xml:space="preserve">General write access?</w:t>
            </w:r>
          </w:p>
        </w:tc>
        <w:tc>
          <w:tcPr>
            <w:shd w:val="clear" w:fill="1F4B45"/>
          </w:tcPr>
          <w:p>
            <w:pPr>
              <w:pStyle w:val="Compact"/>
              <w:jc w:val="left"/>
            </w:pPr>
            <w:r>
              <w:rPr>
                <w:b/>
                <w:color w:val="FFFFFF"/>
                <w:sz w:val="22"/>
              </w:rPr>
              <w:t xml:space="preserve">Bouregreg example</w:t>
            </w:r>
          </w:p>
        </w:tc>
      </w:tr>
      <w:tr>
        <w:trPr>
          <w:cantSplit/>
        </w:trPr>
        <w:tc>
          <w:tcPr/>
          <w:p>
            <w:pPr>
              <w:pStyle w:val="Compact"/>
              <w:jc w:val="left"/>
            </w:pPr>
            <w:r>
              <w:rPr>
                <w:sz w:val="22"/>
              </w:rPr>
              <w:t xml:space="preserve">Super Admin</w:t>
            </w:r>
          </w:p>
        </w:tc>
        <w:tc>
          <w:tcPr/>
          <w:p>
            <w:pPr>
              <w:pStyle w:val="Compact"/>
              <w:jc w:val="left"/>
            </w:pPr>
            <w:r>
              <w:rPr>
                <w:sz w:val="22"/>
              </w:rPr>
              <w:t xml:space="preserve">Platform</w:t>
            </w:r>
          </w:p>
        </w:tc>
        <w:tc>
          <w:tcPr/>
          <w:p>
            <w:pPr>
              <w:pStyle w:val="Compact"/>
              <w:jc w:val="left"/>
            </w:pPr>
            <w:r>
              <w:rPr>
                <w:sz w:val="22"/>
              </w:rPr>
              <w:t xml:space="preserve">Yes</w:t>
            </w:r>
          </w:p>
        </w:tc>
        <w:tc>
          <w:tcPr/>
          <w:p>
            <w:pPr>
              <w:pStyle w:val="Compact"/>
              <w:jc w:val="left"/>
            </w:pPr>
            <w:r>
              <w:rPr>
                <w:sz w:val="22"/>
              </w:rPr>
              <w:t xml:space="preserve">Yes (plus License, Permission Matrix)</w:t>
            </w:r>
          </w:p>
        </w:tc>
        <w:tc>
          <w:tcPr/>
          <w:p>
            <w:pPr>
              <w:pStyle w:val="Compact"/>
              <w:jc w:val="left"/>
            </w:pPr>
            <w:r>
              <w:rPr>
                <w:sz w:val="22"/>
              </w:rPr>
              <w:t xml:space="preserve">Zineb Alaoui</w:t>
            </w:r>
          </w:p>
        </w:tc>
      </w:tr>
      <w:tr>
        <w:trPr>
          <w:cantSplit/>
        </w:trPr>
        <w:tc>
          <w:tcPr/>
          <w:p>
            <w:pPr>
              <w:pStyle w:val="Compact"/>
              <w:jc w:val="left"/>
            </w:pPr>
            <w:r>
              <w:rPr>
                <w:sz w:val="22"/>
              </w:rPr>
              <w:t xml:space="preserve">Group Admin</w:t>
            </w:r>
          </w:p>
        </w:tc>
        <w:tc>
          <w:tcPr/>
          <w:p>
            <w:pPr>
              <w:pStyle w:val="Compact"/>
              <w:jc w:val="left"/>
            </w:pPr>
            <w:r>
              <w:rPr>
                <w:sz w:val="22"/>
              </w:rPr>
              <w:t xml:space="preserve">Group</w:t>
            </w:r>
          </w:p>
        </w:tc>
        <w:tc>
          <w:tcPr/>
          <w:p>
            <w:pPr>
              <w:pStyle w:val="Compact"/>
              <w:jc w:val="left"/>
            </w:pPr>
            <w:r>
              <w:rPr>
                <w:sz w:val="22"/>
              </w:rPr>
              <w:t xml:space="preserve">Yes</w:t>
            </w:r>
          </w:p>
        </w:tc>
        <w:tc>
          <w:tcPr/>
          <w:p>
            <w:pPr>
              <w:pStyle w:val="Compact"/>
              <w:jc w:val="left"/>
            </w:pPr>
            <w:r>
              <w:rPr>
                <w:sz w:val="22"/>
              </w:rPr>
              <w:t xml:space="preserve">Yes (plus hierarchy management)</w:t>
            </w:r>
          </w:p>
        </w:tc>
        <w:tc>
          <w:tcPr/>
          <w:p>
            <w:pPr>
              <w:pStyle w:val="Compact"/>
              <w:jc w:val="left"/>
            </w:pPr>
            <w:r>
              <w:rPr>
                <w:sz w:val="22"/>
              </w:rPr>
              <w:t xml:space="preserve">Anas Bouzid</w:t>
            </w:r>
          </w:p>
        </w:tc>
      </w:tr>
      <w:tr>
        <w:trPr>
          <w:cantSplit/>
        </w:trPr>
        <w:tc>
          <w:tcPr/>
          <w:p>
            <w:pPr>
              <w:pStyle w:val="Compact"/>
              <w:jc w:val="left"/>
            </w:pPr>
            <w:r>
              <w:rPr>
                <w:sz w:val="22"/>
              </w:rPr>
              <w:t xml:space="preserve">Org Admin</w:t>
            </w:r>
          </w:p>
        </w:tc>
        <w:tc>
          <w:tcPr/>
          <w:p>
            <w:pPr>
              <w:pStyle w:val="Compact"/>
              <w:jc w:val="left"/>
            </w:pPr>
            <w:r>
              <w:rPr>
                <w:sz w:val="22"/>
              </w:rPr>
              <w:t xml:space="preserve">Organization</w:t>
            </w:r>
          </w:p>
        </w:tc>
        <w:tc>
          <w:tcPr/>
          <w:p>
            <w:pPr>
              <w:pStyle w:val="Compact"/>
              <w:jc w:val="left"/>
            </w:pPr>
            <w:r>
              <w:rPr>
                <w:sz w:val="22"/>
              </w:rPr>
              <w:t xml:space="preserve">Yes</w:t>
            </w:r>
          </w:p>
        </w:tc>
        <w:tc>
          <w:tcPr/>
          <w:p>
            <w:pPr>
              <w:pStyle w:val="Compact"/>
              <w:jc w:val="left"/>
            </w:pPr>
            <w:r>
              <w:rPr>
                <w:sz w:val="22"/>
              </w:rPr>
              <w:t xml:space="preserve">Yes (plus hierarchy management)</w:t>
            </w:r>
          </w:p>
        </w:tc>
        <w:tc>
          <w:tcPr/>
          <w:p>
            <w:pPr>
              <w:pStyle w:val="Compact"/>
              <w:jc w:val="left"/>
            </w:pPr>
            <w:r>
              <w:rPr>
                <w:sz w:val="22"/>
              </w:rPr>
              <w:t xml:space="preserve">Meryem Sabri</w:t>
            </w:r>
          </w:p>
        </w:tc>
      </w:tr>
      <w:tr>
        <w:trPr>
          <w:cantSplit/>
        </w:trPr>
        <w:tc>
          <w:tcPr/>
          <w:p>
            <w:pPr>
              <w:pStyle w:val="Compact"/>
              <w:jc w:val="left"/>
            </w:pPr>
            <w:r>
              <w:rPr>
                <w:sz w:val="22"/>
              </w:rPr>
              <w:t xml:space="preserve">Change Manager</w:t>
            </w:r>
          </w:p>
        </w:tc>
        <w:tc>
          <w:tcPr/>
          <w:p>
            <w:pPr>
              <w:pStyle w:val="Compact"/>
              <w:jc w:val="left"/>
            </w:pPr>
            <w:r>
              <w:rPr>
                <w:sz w:val="22"/>
              </w:rPr>
              <w:t xml:space="preserve">Project</w:t>
            </w:r>
          </w:p>
        </w:tc>
        <w:tc>
          <w:tcPr/>
          <w:p>
            <w:pPr>
              <w:pStyle w:val="Compact"/>
              <w:jc w:val="left"/>
            </w:pPr>
            <w:r>
              <w:rPr>
                <w:sz w:val="22"/>
              </w:rPr>
              <w:t xml:space="preserve">Yes</w:t>
            </w:r>
          </w:p>
        </w:tc>
        <w:tc>
          <w:tcPr/>
          <w:p>
            <w:pPr>
              <w:pStyle w:val="Compact"/>
              <w:jc w:val="left"/>
            </w:pPr>
            <w:r>
              <w:rPr>
                <w:sz w:val="22"/>
              </w:rPr>
              <w:t xml:space="preserve">Yes</w:t>
            </w:r>
          </w:p>
        </w:tc>
        <w:tc>
          <w:tcPr/>
          <w:p>
            <w:pPr>
              <w:pStyle w:val="Compact"/>
              <w:jc w:val="left"/>
            </w:pPr>
            <w:r>
              <w:rPr>
                <w:sz w:val="22"/>
              </w:rPr>
              <w:t xml:space="preserve">Driss El Amrani</w:t>
            </w:r>
          </w:p>
        </w:tc>
      </w:tr>
      <w:tr>
        <w:trPr>
          <w:cantSplit/>
        </w:trPr>
        <w:tc>
          <w:tcPr/>
          <w:p>
            <w:pPr>
              <w:pStyle w:val="Compact"/>
              <w:jc w:val="left"/>
            </w:pPr>
            <w:r>
              <w:rPr>
                <w:sz w:val="22"/>
              </w:rPr>
              <w:t xml:space="preserve">People Manager</w:t>
            </w:r>
          </w:p>
        </w:tc>
        <w:tc>
          <w:tcPr/>
          <w:p>
            <w:pPr>
              <w:pStyle w:val="Compact"/>
              <w:jc w:val="left"/>
            </w:pPr>
            <w:r>
              <w:rPr>
                <w:sz w:val="22"/>
              </w:rPr>
              <w:t xml:space="preserve">Project</w:t>
            </w:r>
          </w:p>
        </w:tc>
        <w:tc>
          <w:tcPr/>
          <w:p>
            <w:pPr>
              <w:pStyle w:val="Compact"/>
              <w:jc w:val="left"/>
            </w:pPr>
            <w:r>
              <w:rPr>
                <w:sz w:val="22"/>
              </w:rPr>
              <w:t xml:space="preserve">Yes</w:t>
            </w:r>
          </w:p>
        </w:tc>
        <w:tc>
          <w:tcPr/>
          <w:p>
            <w:pPr>
              <w:pStyle w:val="Compact"/>
              <w:jc w:val="left"/>
            </w:pPr>
            <w:r>
              <w:rPr>
                <w:sz w:val="22"/>
              </w:rPr>
              <w:t xml:space="preserve">Yes</w:t>
            </w:r>
          </w:p>
        </w:tc>
        <w:tc>
          <w:tcPr/>
          <w:p>
            <w:pPr>
              <w:pStyle w:val="Compact"/>
              <w:jc w:val="left"/>
            </w:pPr>
            <w:r>
              <w:rPr>
                <w:sz w:val="22"/>
              </w:rPr>
              <w:t xml:space="preserve">Houda Zerouali</w:t>
            </w:r>
          </w:p>
        </w:tc>
      </w:tr>
      <w:tr>
        <w:trPr>
          <w:cantSplit/>
        </w:trPr>
        <w:tc>
          <w:tcPr/>
          <w:p>
            <w:pPr>
              <w:pStyle w:val="Compact"/>
              <w:jc w:val="left"/>
            </w:pPr>
            <w:r>
              <w:rPr>
                <w:sz w:val="22"/>
              </w:rPr>
              <w:t xml:space="preserve">Practitioner / Contributor</w:t>
            </w:r>
          </w:p>
        </w:tc>
        <w:tc>
          <w:tcPr/>
          <w:p>
            <w:pPr>
              <w:pStyle w:val="Compact"/>
              <w:jc w:val="left"/>
            </w:pPr>
            <w:r>
              <w:rPr>
                <w:sz w:val="22"/>
              </w:rPr>
              <w:t xml:space="preserve">Project</w:t>
            </w:r>
          </w:p>
        </w:tc>
        <w:tc>
          <w:tcPr/>
          <w:p>
            <w:pPr>
              <w:pStyle w:val="Compact"/>
              <w:jc w:val="left"/>
            </w:pPr>
            <w:r>
              <w:rPr>
                <w:sz w:val="22"/>
              </w:rPr>
              <w:t xml:space="preserve">No (aggregated only)</w:t>
            </w:r>
          </w:p>
        </w:tc>
        <w:tc>
          <w:tcPr/>
          <w:p>
            <w:pPr>
              <w:pStyle w:val="Compact"/>
              <w:jc w:val="left"/>
            </w:pPr>
            <w:r>
              <w:rPr>
                <w:sz w:val="22"/>
              </w:rPr>
              <w:t xml:space="preserve">Yes</w:t>
            </w:r>
          </w:p>
        </w:tc>
        <w:tc>
          <w:tcPr/>
          <w:p>
            <w:pPr>
              <w:pStyle w:val="Compact"/>
              <w:jc w:val="left"/>
            </w:pPr>
            <w:r>
              <w:rPr>
                <w:sz w:val="22"/>
              </w:rPr>
              <w:t xml:space="preserve">Ghita Bennis</w:t>
            </w:r>
          </w:p>
        </w:tc>
      </w:tr>
      <w:tr>
        <w:trPr>
          <w:cantSplit/>
        </w:trPr>
        <w:tc>
          <w:tcPr/>
          <w:p>
            <w:pPr>
              <w:pStyle w:val="Compact"/>
              <w:jc w:val="left"/>
            </w:pPr>
            <w:r>
              <w:rPr>
                <w:sz w:val="22"/>
              </w:rPr>
              <w:t xml:space="preserve">Sponsor</w:t>
            </w:r>
          </w:p>
        </w:tc>
        <w:tc>
          <w:tcPr/>
          <w:p>
            <w:pPr>
              <w:pStyle w:val="Compact"/>
              <w:jc w:val="left"/>
            </w:pPr>
            <w:r>
              <w:rPr>
                <w:sz w:val="22"/>
              </w:rPr>
              <w:t xml:space="preserve">Project</w:t>
            </w:r>
          </w:p>
        </w:tc>
        <w:tc>
          <w:tcPr/>
          <w:p>
            <w:pPr>
              <w:pStyle w:val="Compact"/>
              <w:jc w:val="left"/>
            </w:pPr>
            <w:r>
              <w:rPr>
                <w:sz w:val="22"/>
              </w:rPr>
              <w:t xml:space="preserve">No</w:t>
            </w:r>
          </w:p>
        </w:tc>
        <w:tc>
          <w:tcPr/>
          <w:p>
            <w:pPr>
              <w:pStyle w:val="Compact"/>
              <w:jc w:val="left"/>
            </w:pPr>
            <w:r>
              <w:rPr>
                <w:sz w:val="22"/>
              </w:rPr>
              <w:t xml:space="preserve">No (own roadmap actions only)</w:t>
            </w:r>
          </w:p>
        </w:tc>
        <w:tc>
          <w:tcPr/>
          <w:p>
            <w:pPr>
              <w:pStyle w:val="Compact"/>
              <w:jc w:val="left"/>
            </w:pPr>
            <w:r>
              <w:rPr>
                <w:sz w:val="22"/>
              </w:rPr>
              <w:t xml:space="preserve">CFO, Bouregreg Group</w:t>
            </w:r>
          </w:p>
        </w:tc>
      </w:tr>
      <w:tr>
        <w:trPr>
          <w:cantSplit/>
        </w:trPr>
        <w:tc>
          <w:tcPr/>
          <w:p>
            <w:pPr>
              <w:pStyle w:val="Compact"/>
              <w:jc w:val="left"/>
            </w:pPr>
            <w:r>
              <w:rPr>
                <w:sz w:val="22"/>
              </w:rPr>
              <w:t xml:space="preserve">Executive</w:t>
            </w:r>
          </w:p>
        </w:tc>
        <w:tc>
          <w:tcPr/>
          <w:p>
            <w:pPr>
              <w:pStyle w:val="Compact"/>
              <w:jc w:val="left"/>
            </w:pPr>
            <w:r>
              <w:rPr>
                <w:sz w:val="22"/>
              </w:rPr>
              <w:t xml:space="preserve">Organization</w:t>
            </w:r>
          </w:p>
        </w:tc>
        <w:tc>
          <w:tcPr/>
          <w:p>
            <w:pPr>
              <w:pStyle w:val="Compact"/>
              <w:jc w:val="left"/>
            </w:pPr>
            <w:r>
              <w:rPr>
                <w:sz w:val="22"/>
              </w:rPr>
              <w:t xml:space="preserve">No</w:t>
            </w:r>
          </w:p>
        </w:tc>
        <w:tc>
          <w:tcPr/>
          <w:p>
            <w:pPr>
              <w:pStyle w:val="Compact"/>
              <w:jc w:val="left"/>
            </w:pPr>
            <w:r>
              <w:rPr>
                <w:sz w:val="22"/>
              </w:rPr>
              <w:t xml:space="preserve">No</w:t>
            </w:r>
          </w:p>
        </w:tc>
        <w:tc>
          <w:tcPr/>
          <w:p>
            <w:pPr>
              <w:pStyle w:val="Compact"/>
              <w:jc w:val="left"/>
            </w:pPr>
            <w:r>
              <w:rPr>
                <w:sz w:val="22"/>
              </w:rPr>
              <w:t xml:space="preserve">Board Executive Viewer</w:t>
            </w:r>
          </w:p>
        </w:tc>
      </w:tr>
      <w:tr>
        <w:trPr>
          <w:cantSplit/>
        </w:trPr>
        <w:tc>
          <w:tcPr/>
          <w:p>
            <w:pPr>
              <w:pStyle w:val="Compact"/>
              <w:jc w:val="left"/>
            </w:pPr>
            <w:r>
              <w:rPr>
                <w:sz w:val="22"/>
              </w:rPr>
              <w:t xml:space="preserve">Employee</w:t>
            </w:r>
          </w:p>
        </w:tc>
        <w:tc>
          <w:tcPr/>
          <w:p>
            <w:pPr>
              <w:pStyle w:val="Compact"/>
              <w:jc w:val="left"/>
            </w:pPr>
            <w:r>
              <w:rPr>
                <w:sz w:val="22"/>
              </w:rPr>
              <w:t xml:space="preserve">Project</w:t>
            </w:r>
          </w:p>
        </w:tc>
        <w:tc>
          <w:tcPr/>
          <w:p>
            <w:pPr>
              <w:pStyle w:val="Compact"/>
              <w:jc w:val="left"/>
            </w:pPr>
            <w:r>
              <w:rPr>
                <w:sz w:val="22"/>
              </w:rPr>
              <w:t xml:space="preserve">No</w:t>
            </w:r>
          </w:p>
        </w:tc>
        <w:tc>
          <w:tcPr/>
          <w:p>
            <w:pPr>
              <w:pStyle w:val="Compact"/>
              <w:jc w:val="left"/>
            </w:pPr>
            <w:r>
              <w:rPr>
                <w:sz w:val="22"/>
              </w:rPr>
              <w:t xml:space="preserve">No</w:t>
            </w:r>
          </w:p>
        </w:tc>
        <w:tc>
          <w:tcPr/>
          <w:p>
            <w:pPr>
              <w:pStyle w:val="Compact"/>
              <w:jc w:val="left"/>
            </w:pPr>
            <w:r>
              <w:rPr>
                <w:sz w:val="22"/>
              </w:rPr>
              <w:t xml:space="preserve">Reda Loukili</w:t>
            </w:r>
          </w:p>
        </w:tc>
      </w:tr>
    </w:tbl>
    <w:bookmarkEnd w:id="111"/>
    <w:bookmarkStart w:id="112" w:name="a.2-racsi-legend"/>
    <w:p>
      <w:pPr>
        <w:pStyle w:val="Heading3"/>
      </w:pPr>
      <w:r>
        <w:rPr>
          <w:b/>
          <w:color w:val="3F827B"/>
          <w:sz w:val="29"/>
        </w:rPr>
        <w:t xml:space="preserve">A.2 RACSI Legend</w:t>
      </w:r>
    </w:p>
    <w:p>
      <w:pPr>
        <w:pStyle w:val="FirstParagraph"/>
      </w:pPr>
      <w:r>
        <w:rPr>
          <w:sz w:val="25"/>
        </w:rPr>
        <w:t xml:space="preserve">journi’s RACSI convention (D17 CAT-02) uses seven role codes rather than the generic five RACI roles, so a Change Management responsibility and a Project Management one can be named separately in the same grid:</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shd w:val="clear" w:fill="1F4B45"/>
          </w:tcPr>
          <w:p>
            <w:pPr>
              <w:pStyle w:val="Compact"/>
              <w:jc w:val="left"/>
            </w:pPr>
            <w:r>
              <w:rPr>
                <w:b/>
                <w:color w:val="FFFFFF"/>
                <w:sz w:val="22"/>
              </w:rPr>
              <w:t xml:space="preserve">Code</w:t>
            </w:r>
          </w:p>
        </w:tc>
        <w:tc>
          <w:tcPr>
            <w:shd w:val="clear" w:fill="1F4B45"/>
          </w:tcPr>
          <w:p>
            <w:pPr>
              <w:pStyle w:val="Compact"/>
              <w:jc w:val="left"/>
            </w:pPr>
            <w:r>
              <w:rPr>
                <w:b/>
                <w:color w:val="FFFFFF"/>
                <w:sz w:val="22"/>
              </w:rPr>
              <w:t xml:space="preserve">Meaning</w:t>
            </w:r>
          </w:p>
        </w:tc>
        <w:tc>
          <w:tcPr>
            <w:shd w:val="clear" w:fill="1F4B45"/>
          </w:tcPr>
          <w:p>
            <w:pPr>
              <w:pStyle w:val="Compact"/>
              <w:jc w:val="left"/>
            </w:pPr>
            <w:r>
              <w:rPr>
                <w:b/>
                <w:color w:val="FFFFFF"/>
                <w:sz w:val="22"/>
              </w:rPr>
              <w:t xml:space="preserve">Rule</w:t>
            </w:r>
          </w:p>
        </w:tc>
      </w:tr>
      <w:tr>
        <w:trPr>
          <w:cantSplit/>
        </w:trPr>
        <w:tc>
          <w:tcPr/>
          <w:p>
            <w:pPr>
              <w:pStyle w:val="Compact"/>
              <w:jc w:val="left"/>
            </w:pPr>
            <w:r>
              <w:rPr>
                <w:bCs/>
                <w:b/>
                <w:sz w:val="22"/>
              </w:rPr>
              <w:t xml:space="preserve">R</w:t>
            </w:r>
          </w:p>
        </w:tc>
        <w:tc>
          <w:tcPr/>
          <w:p>
            <w:pPr>
              <w:pStyle w:val="Compact"/>
              <w:jc w:val="left"/>
            </w:pPr>
            <w:r>
              <w:rPr>
                <w:sz w:val="22"/>
              </w:rPr>
              <w:t xml:space="preserve">Responsible</w:t>
            </w:r>
          </w:p>
        </w:tc>
        <w:tc>
          <w:tcPr/>
          <w:p>
            <w:pPr>
              <w:pStyle w:val="Compact"/>
              <w:jc w:val="left"/>
            </w:pPr>
            <w:r>
              <w:rPr>
                <w:sz w:val="22"/>
              </w:rPr>
              <w:t xml:space="preserve">May be more than one role per Task or process</w:t>
            </w:r>
          </w:p>
        </w:tc>
      </w:tr>
      <w:tr>
        <w:trPr>
          <w:cantSplit/>
        </w:trPr>
        <w:tc>
          <w:tcPr/>
          <w:p>
            <w:pPr>
              <w:pStyle w:val="Compact"/>
              <w:jc w:val="left"/>
            </w:pPr>
            <w:r>
              <w:rPr>
                <w:bCs/>
                <w:b/>
                <w:sz w:val="22"/>
              </w:rPr>
              <w:t xml:space="preserve">A</w:t>
            </w:r>
          </w:p>
        </w:tc>
        <w:tc>
          <w:tcPr/>
          <w:p>
            <w:pPr>
              <w:pStyle w:val="Compact"/>
              <w:jc w:val="left"/>
            </w:pPr>
            <w:r>
              <w:rPr>
                <w:sz w:val="22"/>
              </w:rPr>
              <w:t xml:space="preserve">Accountable</w:t>
            </w:r>
          </w:p>
        </w:tc>
        <w:tc>
          <w:tcPr/>
          <w:p>
            <w:pPr>
              <w:pStyle w:val="Compact"/>
              <w:jc w:val="left"/>
            </w:pPr>
            <w:r>
              <w:rPr>
                <w:sz w:val="22"/>
              </w:rPr>
              <w:t xml:space="preserve">Exactly one role, always</w:t>
            </w:r>
          </w:p>
        </w:tc>
      </w:tr>
      <w:tr>
        <w:trPr>
          <w:cantSplit/>
        </w:trPr>
        <w:tc>
          <w:tcPr/>
          <w:p>
            <w:pPr>
              <w:pStyle w:val="Compact"/>
              <w:jc w:val="left"/>
            </w:pPr>
            <w:r>
              <w:rPr>
                <w:bCs/>
                <w:b/>
                <w:sz w:val="22"/>
              </w:rPr>
              <w:t xml:space="preserve">C</w:t>
            </w:r>
          </w:p>
        </w:tc>
        <w:tc>
          <w:tcPr/>
          <w:p>
            <w:pPr>
              <w:pStyle w:val="Compact"/>
              <w:jc w:val="left"/>
            </w:pPr>
            <w:r>
              <w:rPr>
                <w:sz w:val="22"/>
              </w:rPr>
              <w:t xml:space="preserve">Consulted</w:t>
            </w:r>
          </w:p>
        </w:tc>
        <w:tc>
          <w:tcPr/>
          <w:p>
            <w:pPr>
              <w:pStyle w:val="Compact"/>
              <w:jc w:val="left"/>
            </w:pPr>
            <w:r>
              <w:rPr>
                <w:sz w:val="22"/>
              </w:rPr>
              <w:t xml:space="preserve">Two-way input sought before the decision</w:t>
            </w:r>
          </w:p>
        </w:tc>
      </w:tr>
      <w:tr>
        <w:trPr>
          <w:cantSplit/>
        </w:trPr>
        <w:tc>
          <w:tcPr/>
          <w:p>
            <w:pPr>
              <w:pStyle w:val="Compact"/>
              <w:jc w:val="left"/>
            </w:pPr>
            <w:r>
              <w:rPr>
                <w:bCs/>
                <w:b/>
                <w:sz w:val="22"/>
              </w:rPr>
              <w:t xml:space="preserve">S</w:t>
            </w:r>
          </w:p>
        </w:tc>
        <w:tc>
          <w:tcPr/>
          <w:p>
            <w:pPr>
              <w:pStyle w:val="Compact"/>
              <w:jc w:val="left"/>
            </w:pPr>
            <w:r>
              <w:rPr>
                <w:sz w:val="22"/>
              </w:rPr>
              <w:t xml:space="preserve">Support</w:t>
            </w:r>
          </w:p>
        </w:tc>
        <w:tc>
          <w:tcPr/>
          <w:p>
            <w:pPr>
              <w:pStyle w:val="Compact"/>
              <w:jc w:val="left"/>
            </w:pPr>
            <w:r>
              <w:rPr>
                <w:sz w:val="22"/>
              </w:rPr>
              <w:t xml:space="preserve">Contributes effort but is not Responsible</w:t>
            </w:r>
          </w:p>
        </w:tc>
      </w:tr>
      <w:tr>
        <w:trPr>
          <w:cantSplit/>
        </w:trPr>
        <w:tc>
          <w:tcPr/>
          <w:p>
            <w:pPr>
              <w:pStyle w:val="Compact"/>
              <w:jc w:val="left"/>
            </w:pPr>
            <w:r>
              <w:rPr>
                <w:bCs/>
                <w:b/>
                <w:sz w:val="22"/>
              </w:rPr>
              <w:t xml:space="preserve">I</w:t>
            </w:r>
          </w:p>
        </w:tc>
        <w:tc>
          <w:tcPr/>
          <w:p>
            <w:pPr>
              <w:pStyle w:val="Compact"/>
              <w:jc w:val="left"/>
            </w:pPr>
            <w:r>
              <w:rPr>
                <w:sz w:val="22"/>
              </w:rPr>
              <w:t xml:space="preserve">Informed</w:t>
            </w:r>
          </w:p>
        </w:tc>
        <w:tc>
          <w:tcPr/>
          <w:p>
            <w:pPr>
              <w:pStyle w:val="Compact"/>
              <w:jc w:val="left"/>
            </w:pPr>
            <w:r>
              <w:rPr>
                <w:sz w:val="22"/>
              </w:rPr>
              <w:t xml:space="preserve">One-way notification after the fact</w:t>
            </w:r>
          </w:p>
        </w:tc>
      </w:tr>
    </w:tbl>
    <w:p>
      <w:pPr>
        <w:pStyle w:val="BodyText"/>
      </w:pPr>
      <w:r>
        <w:rPr>
          <w:sz w:val="25"/>
        </w:rPr>
        <w:t xml:space="preserve">Role-code abbreviations used throughout this guide:</w:t>
      </w:r>
      <w:r>
        <w:rPr>
          <w:sz w:val="25"/>
        </w:rPr>
        <w:t xml:space="preserve"> </w:t>
      </w:r>
      <w:r>
        <w:rPr>
          <w:bCs/>
          <w:b/>
          <w:sz w:val="25"/>
        </w:rPr>
        <w:t xml:space="preserve">ES</w:t>
      </w:r>
      <w:r>
        <w:rPr>
          <w:sz w:val="25"/>
        </w:rPr>
        <w:t xml:space="preserve"> </w:t>
      </w:r>
      <w:r>
        <w:rPr>
          <w:sz w:val="25"/>
        </w:rPr>
        <w:t xml:space="preserve">Executive Sponsor ·</w:t>
      </w:r>
      <w:r>
        <w:rPr>
          <w:sz w:val="25"/>
        </w:rPr>
        <w:t xml:space="preserve"> </w:t>
      </w:r>
      <w:r>
        <w:rPr>
          <w:bCs/>
          <w:b/>
          <w:sz w:val="25"/>
        </w:rPr>
        <w:t xml:space="preserve">CM</w:t>
      </w:r>
      <w:r>
        <w:rPr>
          <w:sz w:val="25"/>
        </w:rPr>
        <w:t xml:space="preserve"> </w:t>
      </w:r>
      <w:r>
        <w:rPr>
          <w:sz w:val="25"/>
        </w:rPr>
        <w:t xml:space="preserve">Change Manager ·</w:t>
      </w:r>
      <w:r>
        <w:rPr>
          <w:sz w:val="25"/>
        </w:rPr>
        <w:t xml:space="preserve"> </w:t>
      </w:r>
      <w:r>
        <w:rPr>
          <w:bCs/>
          <w:b/>
          <w:sz w:val="25"/>
        </w:rPr>
        <w:t xml:space="preserve">PM</w:t>
      </w:r>
      <w:r>
        <w:rPr>
          <w:sz w:val="25"/>
        </w:rPr>
        <w:t xml:space="preserve"> </w:t>
      </w:r>
      <w:r>
        <w:rPr>
          <w:sz w:val="25"/>
        </w:rPr>
        <w:t xml:space="preserve">Program/Project Manager ·</w:t>
      </w:r>
      <w:r>
        <w:rPr>
          <w:sz w:val="25"/>
        </w:rPr>
        <w:t xml:space="preserve"> </w:t>
      </w:r>
      <w:r>
        <w:rPr>
          <w:bCs/>
          <w:b/>
          <w:sz w:val="25"/>
        </w:rPr>
        <w:t xml:space="preserve">FPO</w:t>
      </w:r>
      <w:r>
        <w:rPr>
          <w:sz w:val="25"/>
        </w:rPr>
        <w:t xml:space="preserve"> </w:t>
      </w:r>
      <w:r>
        <w:rPr>
          <w:sz w:val="25"/>
        </w:rPr>
        <w:t xml:space="preserve">Functional Process Owner ·</w:t>
      </w:r>
      <w:r>
        <w:rPr>
          <w:sz w:val="25"/>
        </w:rPr>
        <w:t xml:space="preserve"> </w:t>
      </w:r>
      <w:r>
        <w:rPr>
          <w:bCs/>
          <w:b/>
          <w:sz w:val="25"/>
        </w:rPr>
        <w:t xml:space="preserve">ITL</w:t>
      </w:r>
      <w:r>
        <w:rPr>
          <w:sz w:val="25"/>
        </w:rPr>
        <w:t xml:space="preserve"> </w:t>
      </w:r>
      <w:r>
        <w:rPr>
          <w:sz w:val="25"/>
        </w:rPr>
        <w:t xml:space="preserve">IT/Technical Lead ·</w:t>
      </w:r>
      <w:r>
        <w:rPr>
          <w:sz w:val="25"/>
        </w:rPr>
        <w:t xml:space="preserve"> </w:t>
      </w:r>
      <w:r>
        <w:rPr>
          <w:bCs/>
          <w:b/>
          <w:sz w:val="25"/>
        </w:rPr>
        <w:t xml:space="preserve">SUP</w:t>
      </w:r>
      <w:r>
        <w:rPr>
          <w:sz w:val="25"/>
        </w:rPr>
        <w:t xml:space="preserve"> </w:t>
      </w:r>
      <w:r>
        <w:rPr>
          <w:sz w:val="25"/>
        </w:rPr>
        <w:t xml:space="preserve">Supervisor ·</w:t>
      </w:r>
      <w:r>
        <w:rPr>
          <w:sz w:val="25"/>
        </w:rPr>
        <w:t xml:space="preserve"> </w:t>
      </w:r>
      <w:r>
        <w:rPr>
          <w:bCs/>
          <w:b/>
          <w:sz w:val="25"/>
        </w:rPr>
        <w:t xml:space="preserve">EU</w:t>
      </w:r>
      <w:r>
        <w:rPr>
          <w:sz w:val="25"/>
        </w:rPr>
        <w:t xml:space="preserve"> </w:t>
      </w:r>
      <w:r>
        <w:rPr>
          <w:sz w:val="25"/>
        </w:rPr>
        <w:t xml:space="preserve">End User.</w:t>
      </w:r>
    </w:p>
    <w:bookmarkEnd w:id="112"/>
    <w:bookmarkStart w:id="113" w:name="a.3-the-four-frameworks-one-page"/>
    <w:p>
      <w:pPr>
        <w:pStyle w:val="Heading3"/>
      </w:pPr>
      <w:r>
        <w:rPr>
          <w:b/>
          <w:color w:val="3F827B"/>
          <w:sz w:val="29"/>
        </w:rPr>
        <w:t xml:space="preserve">A.3 The Four Frameworks, One Page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shd w:val="clear" w:fill="1F4B45"/>
          </w:tcPr>
          <w:p>
            <w:pPr>
              <w:pStyle w:val="Compact"/>
              <w:jc w:val="left"/>
            </w:pPr>
            <w:r>
              <w:rPr>
                <w:b/>
                <w:color w:val="FFFFFF"/>
                <w:sz w:val="22"/>
              </w:rPr>
              <w:t xml:space="preserve">Framework</w:t>
            </w:r>
          </w:p>
        </w:tc>
        <w:tc>
          <w:tcPr>
            <w:shd w:val="clear" w:fill="1F4B45"/>
          </w:tcPr>
          <w:p>
            <w:pPr>
              <w:pStyle w:val="Compact"/>
              <w:jc w:val="left"/>
            </w:pPr>
            <w:r>
              <w:rPr>
                <w:b/>
                <w:color w:val="FFFFFF"/>
                <w:sz w:val="22"/>
              </w:rPr>
              <w:t xml:space="preserve">Altitude</w:t>
            </w:r>
          </w:p>
        </w:tc>
        <w:tc>
          <w:tcPr>
            <w:shd w:val="clear" w:fill="1F4B45"/>
          </w:tcPr>
          <w:p>
            <w:pPr>
              <w:pStyle w:val="Compact"/>
              <w:jc w:val="left"/>
            </w:pPr>
            <w:r>
              <w:rPr>
                <w:b/>
                <w:color w:val="FFFFFF"/>
                <w:sz w:val="22"/>
              </w:rPr>
              <w:t xml:space="preserve">Stages, in order</w:t>
            </w:r>
          </w:p>
        </w:tc>
        <w:tc>
          <w:tcPr>
            <w:shd w:val="clear" w:fill="1F4B45"/>
          </w:tcPr>
          <w:p>
            <w:pPr>
              <w:pStyle w:val="Compact"/>
              <w:jc w:val="left"/>
            </w:pPr>
            <w:r>
              <w:rPr>
                <w:b/>
                <w:color w:val="FFFFFF"/>
                <w:sz w:val="22"/>
              </w:rPr>
              <w:t xml:space="preserve">Logged on</w:t>
            </w:r>
          </w:p>
        </w:tc>
        <w:tc>
          <w:tcPr>
            <w:shd w:val="clear" w:fill="1F4B45"/>
          </w:tcPr>
          <w:p>
            <w:pPr>
              <w:pStyle w:val="Compact"/>
              <w:jc w:val="left"/>
            </w:pPr>
            <w:r>
              <w:rPr>
                <w:b/>
                <w:color w:val="FFFFFF"/>
                <w:sz w:val="22"/>
              </w:rPr>
              <w:t xml:space="preserve">Auto-computed?</w:t>
            </w:r>
          </w:p>
        </w:tc>
      </w:tr>
      <w:tr>
        <w:trPr>
          <w:cantSplit/>
        </w:trPr>
        <w:tc>
          <w:tcPr/>
          <w:p>
            <w:pPr>
              <w:pStyle w:val="Compact"/>
              <w:jc w:val="left"/>
            </w:pPr>
            <w:r>
              <w:rPr>
                <w:sz w:val="22"/>
              </w:rPr>
              <w:t xml:space="preserve">Lewin</w:t>
            </w:r>
          </w:p>
        </w:tc>
        <w:tc>
          <w:tcPr/>
          <w:p>
            <w:pPr>
              <w:pStyle w:val="Compact"/>
              <w:jc w:val="left"/>
            </w:pPr>
            <w:r>
              <w:rPr>
                <w:sz w:val="22"/>
              </w:rPr>
              <w:t xml:space="preserve">Organizational</w:t>
            </w:r>
          </w:p>
        </w:tc>
        <w:tc>
          <w:tcPr/>
          <w:p>
            <w:pPr>
              <w:pStyle w:val="Compact"/>
              <w:jc w:val="left"/>
            </w:pPr>
            <w:r>
              <w:rPr>
                <w:sz w:val="22"/>
              </w:rPr>
              <w:t xml:space="preserve">Unfreeze → Change → Refreeze</w:t>
            </w:r>
          </w:p>
        </w:tc>
        <w:tc>
          <w:tcPr/>
          <w:p>
            <w:pPr>
              <w:pStyle w:val="Compact"/>
              <w:jc w:val="left"/>
            </w:pPr>
            <w:r>
              <w:rPr>
                <w:sz w:val="22"/>
              </w:rPr>
              <w:t xml:space="preserve">M3</w:t>
            </w:r>
          </w:p>
        </w:tc>
        <w:tc>
          <w:tcPr/>
          <w:p>
            <w:pPr>
              <w:pStyle w:val="Compact"/>
              <w:jc w:val="left"/>
            </w:pPr>
            <w:r>
              <w:rPr>
                <w:sz w:val="22"/>
              </w:rPr>
              <w:t xml:space="preserve">No — judgment call</w:t>
            </w:r>
          </w:p>
        </w:tc>
      </w:tr>
      <w:tr>
        <w:trPr>
          <w:cantSplit/>
        </w:trPr>
        <w:tc>
          <w:tcPr/>
          <w:p>
            <w:pPr>
              <w:pStyle w:val="Compact"/>
              <w:jc w:val="left"/>
            </w:pPr>
            <w:r>
              <w:rPr>
                <w:sz w:val="22"/>
              </w:rPr>
              <w:t xml:space="preserve">Prosci ADKAR</w:t>
            </w:r>
          </w:p>
        </w:tc>
        <w:tc>
          <w:tcPr/>
          <w:p>
            <w:pPr>
              <w:pStyle w:val="Compact"/>
              <w:jc w:val="left"/>
            </w:pPr>
            <w:r>
              <w:rPr>
                <w:sz w:val="22"/>
              </w:rPr>
              <w:t xml:space="preserve">Individual / cohort</w:t>
            </w:r>
          </w:p>
        </w:tc>
        <w:tc>
          <w:tcPr/>
          <w:p>
            <w:pPr>
              <w:pStyle w:val="Compact"/>
              <w:jc w:val="left"/>
            </w:pPr>
            <w:r>
              <w:rPr>
                <w:sz w:val="22"/>
              </w:rPr>
              <w:t xml:space="preserve">Awareness → Desire → Knowledge → Ability → Reinforcement</w:t>
            </w:r>
          </w:p>
        </w:tc>
        <w:tc>
          <w:tcPr/>
          <w:p>
            <w:pPr>
              <w:pStyle w:val="Compact"/>
              <w:jc w:val="left"/>
            </w:pPr>
            <w:r>
              <w:rPr>
                <w:sz w:val="22"/>
              </w:rPr>
              <w:t xml:space="preserve">M5</w:t>
            </w:r>
          </w:p>
        </w:tc>
        <w:tc>
          <w:tcPr/>
          <w:p>
            <w:pPr>
              <w:pStyle w:val="Compact"/>
              <w:jc w:val="left"/>
            </w:pPr>
            <w:r>
              <w:rPr>
                <w:sz w:val="22"/>
              </w:rPr>
              <w:t xml:space="preserve">No — judgment call, per block</w:t>
            </w:r>
          </w:p>
        </w:tc>
      </w:tr>
      <w:tr>
        <w:trPr>
          <w:cantSplit/>
        </w:trPr>
        <w:tc>
          <w:tcPr/>
          <w:p>
            <w:pPr>
              <w:pStyle w:val="Compact"/>
              <w:jc w:val="left"/>
            </w:pPr>
            <w:r>
              <w:rPr>
                <w:sz w:val="22"/>
              </w:rPr>
              <w:t xml:space="preserve">Bridges’ Transition Model</w:t>
            </w:r>
          </w:p>
        </w:tc>
        <w:tc>
          <w:tcPr/>
          <w:p>
            <w:pPr>
              <w:pStyle w:val="Compact"/>
              <w:jc w:val="left"/>
            </w:pPr>
            <w:r>
              <w:rPr>
                <w:sz w:val="22"/>
              </w:rPr>
              <w:t xml:space="preserve">Individual / cohort</w:t>
            </w:r>
          </w:p>
        </w:tc>
        <w:tc>
          <w:tcPr/>
          <w:p>
            <w:pPr>
              <w:pStyle w:val="Compact"/>
              <w:jc w:val="left"/>
            </w:pPr>
            <w:r>
              <w:rPr>
                <w:sz w:val="22"/>
              </w:rPr>
              <w:t xml:space="preserve">Ending → Neutral Zone → New Beginning</w:t>
            </w:r>
          </w:p>
        </w:tc>
        <w:tc>
          <w:tcPr/>
          <w:p>
            <w:pPr>
              <w:pStyle w:val="Compact"/>
              <w:jc w:val="left"/>
            </w:pPr>
            <w:r>
              <w:rPr>
                <w:sz w:val="22"/>
              </w:rPr>
              <w:t xml:space="preserve">M6</w:t>
            </w:r>
          </w:p>
        </w:tc>
        <w:tc>
          <w:tcPr/>
          <w:p>
            <w:pPr>
              <w:pStyle w:val="Compact"/>
              <w:jc w:val="left"/>
            </w:pPr>
            <w:r>
              <w:rPr>
                <w:sz w:val="22"/>
              </w:rPr>
              <w:t xml:space="preserve">No — judgment call</w:t>
            </w:r>
          </w:p>
        </w:tc>
      </w:tr>
      <w:tr>
        <w:trPr>
          <w:cantSplit/>
        </w:trPr>
        <w:tc>
          <w:tcPr/>
          <w:p>
            <w:pPr>
              <w:pStyle w:val="Compact"/>
              <w:jc w:val="left"/>
            </w:pPr>
            <w:r>
              <w:rPr>
                <w:sz w:val="22"/>
              </w:rPr>
              <w:t xml:space="preserve">Kübler-Ross Change Curve</w:t>
            </w:r>
          </w:p>
        </w:tc>
        <w:tc>
          <w:tcPr/>
          <w:p>
            <w:pPr>
              <w:pStyle w:val="Compact"/>
              <w:jc w:val="left"/>
            </w:pPr>
            <w:r>
              <w:rPr>
                <w:sz w:val="22"/>
              </w:rPr>
              <w:t xml:space="preserve">Individual / cohort</w:t>
            </w:r>
          </w:p>
        </w:tc>
        <w:tc>
          <w:tcPr/>
          <w:p>
            <w:pPr>
              <w:pStyle w:val="Compact"/>
              <w:jc w:val="left"/>
            </w:pPr>
            <w:r>
              <w:rPr>
                <w:sz w:val="22"/>
              </w:rPr>
              <w:t xml:space="preserve">Denial → Resistance/Anger → Exploration → Commitment</w:t>
            </w:r>
          </w:p>
        </w:tc>
        <w:tc>
          <w:tcPr/>
          <w:p>
            <w:pPr>
              <w:pStyle w:val="Compact"/>
              <w:jc w:val="left"/>
            </w:pPr>
            <w:r>
              <w:rPr>
                <w:sz w:val="22"/>
              </w:rPr>
              <w:t xml:space="preserve">M6</w:t>
            </w:r>
          </w:p>
        </w:tc>
        <w:tc>
          <w:tcPr/>
          <w:p>
            <w:pPr>
              <w:pStyle w:val="Compact"/>
              <w:jc w:val="left"/>
            </w:pPr>
            <w:r>
              <w:rPr>
                <w:sz w:val="22"/>
              </w:rPr>
              <w:t xml:space="preserve">No — judgment call</w:t>
            </w:r>
          </w:p>
        </w:tc>
      </w:tr>
      <w:tr>
        <w:trPr>
          <w:cantSplit/>
        </w:trPr>
        <w:tc>
          <w:tcPr/>
          <w:p>
            <w:pPr>
              <w:pStyle w:val="Compact"/>
              <w:jc w:val="left"/>
            </w:pPr>
            <w:r>
              <w:rPr>
                <w:iCs/>
                <w:i/>
                <w:sz w:val="22"/>
              </w:rPr>
              <w:t xml:space="preserve">(derived)</w:t>
            </w:r>
            <w:r>
              <w:rPr>
                <w:sz w:val="22"/>
              </w:rPr>
              <w:t xml:space="preserve"> </w:t>
            </w:r>
            <w:r>
              <w:rPr>
                <w:sz w:val="22"/>
              </w:rPr>
              <w:t xml:space="preserve">Composite Readiness Index</w:t>
            </w:r>
          </w:p>
        </w:tc>
        <w:tc>
          <w:tcPr/>
          <w:p>
            <w:pPr>
              <w:pStyle w:val="Compact"/>
              <w:jc w:val="left"/>
            </w:pPr>
            <w:r>
              <w:rPr>
                <w:sz w:val="22"/>
              </w:rPr>
              <w:t xml:space="preserve">Blended</w:t>
            </w:r>
          </w:p>
        </w:tc>
        <w:tc>
          <w:tcPr/>
          <w:p>
            <w:pPr>
              <w:pStyle w:val="Compact"/>
              <w:jc w:val="left"/>
            </w:pPr>
            <w:r>
              <w:rPr>
                <w:sz w:val="22"/>
              </w:rPr>
              <w:t xml:space="preserve">0–100%, ADKAR 50% + sentiment 25% + training 25%</w:t>
            </w:r>
          </w:p>
        </w:tc>
        <w:tc>
          <w:tcPr/>
          <w:p>
            <w:pPr>
              <w:pStyle w:val="Compact"/>
              <w:jc w:val="left"/>
            </w:pPr>
            <w:r>
              <w:rPr>
                <w:sz w:val="22"/>
              </w:rPr>
              <w:t xml:space="preserve">M14</w:t>
            </w:r>
          </w:p>
        </w:tc>
        <w:tc>
          <w:tcPr/>
          <w:p>
            <w:pPr>
              <w:pStyle w:val="Compact"/>
              <w:jc w:val="left"/>
            </w:pPr>
            <w:r>
              <w:rPr>
                <w:bCs/>
                <w:b/>
                <w:sz w:val="22"/>
              </w:rPr>
              <w:t xml:space="preserve">Yes</w:t>
            </w:r>
            <w:r>
              <w:rPr>
                <w:sz w:val="22"/>
              </w:rPr>
              <w:t xml:space="preserve"> </w:t>
            </w:r>
            <w:r>
              <w:rPr>
                <w:sz w:val="22"/>
              </w:rPr>
              <w:t xml:space="preserve">— live</w:t>
            </w:r>
          </w:p>
        </w:tc>
      </w:tr>
      <w:tr>
        <w:trPr>
          <w:cantSplit/>
        </w:trPr>
        <w:tc>
          <w:tcPr/>
          <w:p>
            <w:pPr>
              <w:pStyle w:val="Compact"/>
              <w:jc w:val="left"/>
            </w:pPr>
            <w:r>
              <w:rPr>
                <w:iCs/>
                <w:i/>
                <w:sz w:val="22"/>
              </w:rPr>
              <w:t xml:space="preserve">(derived)</w:t>
            </w:r>
            <w:r>
              <w:rPr>
                <w:sz w:val="22"/>
              </w:rPr>
              <w:t xml:space="preserve"> </w:t>
            </w:r>
            <w:r>
              <w:rPr>
                <w:sz w:val="22"/>
              </w:rPr>
              <w:t xml:space="preserve">Divergence Pattern Detector</w:t>
            </w:r>
          </w:p>
        </w:tc>
        <w:tc>
          <w:tcPr/>
          <w:p>
            <w:pPr>
              <w:pStyle w:val="Compact"/>
              <w:jc w:val="left"/>
            </w:pPr>
            <w:r>
              <w:rPr>
                <w:sz w:val="22"/>
              </w:rPr>
              <w:t xml:space="preserve">Blended</w:t>
            </w:r>
          </w:p>
        </w:tc>
        <w:tc>
          <w:tcPr/>
          <w:p>
            <w:pPr>
              <w:pStyle w:val="Compact"/>
              <w:jc w:val="left"/>
            </w:pPr>
            <w:r>
              <w:rPr>
                <w:sz w:val="22"/>
              </w:rPr>
              <w:t xml:space="preserve">Boolean: Knowledge ≥ 4 and Ability ≥ 4 while Bridges = Ending</w:t>
            </w:r>
          </w:p>
        </w:tc>
        <w:tc>
          <w:tcPr/>
          <w:p>
            <w:pPr>
              <w:pStyle w:val="Compact"/>
              <w:jc w:val="left"/>
            </w:pPr>
            <w:r>
              <w:rPr>
                <w:sz w:val="22"/>
              </w:rPr>
              <w:t xml:space="preserve">Surfaces as ALT-001</w:t>
            </w:r>
          </w:p>
        </w:tc>
        <w:tc>
          <w:tcPr/>
          <w:p>
            <w:pPr>
              <w:pStyle w:val="Compact"/>
              <w:jc w:val="left"/>
            </w:pPr>
            <w:r>
              <w:rPr>
                <w:bCs/>
                <w:b/>
                <w:sz w:val="22"/>
              </w:rPr>
              <w:t xml:space="preserve">Yes</w:t>
            </w:r>
            <w:r>
              <w:rPr>
                <w:sz w:val="22"/>
              </w:rPr>
              <w:t xml:space="preserve"> </w:t>
            </w:r>
            <w:r>
              <w:rPr>
                <w:sz w:val="22"/>
              </w:rPr>
              <w:t xml:space="preserve">— live</w:t>
            </w:r>
          </w:p>
        </w:tc>
      </w:tr>
    </w:tbl>
    <w:bookmarkEnd w:id="113"/>
    <w:bookmarkStart w:id="114" w:name="a.4-module-index-m1m20"/>
    <w:p>
      <w:pPr>
        <w:pStyle w:val="Heading3"/>
      </w:pPr>
      <w:r>
        <w:rPr>
          <w:b/>
          <w:color w:val="3F827B"/>
          <w:sz w:val="29"/>
        </w:rPr>
        <w:t xml:space="preserve">A.4 Module Index (M1–M20)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shd w:val="clear" w:fill="1F4B45"/>
          </w:tcPr>
          <w:p>
            <w:pPr>
              <w:pStyle w:val="Compact"/>
              <w:jc w:val="left"/>
            </w:pPr>
            <w:r>
              <w:rPr>
                <w:b/>
                <w:color w:val="FFFFFF"/>
                <w:sz w:val="22"/>
              </w:rPr>
              <w:t xml:space="preserve">Module</w:t>
            </w:r>
          </w:p>
        </w:tc>
        <w:tc>
          <w:tcPr>
            <w:shd w:val="clear" w:fill="1F4B45"/>
          </w:tcPr>
          <w:p>
            <w:pPr>
              <w:pStyle w:val="Compact"/>
              <w:jc w:val="left"/>
            </w:pPr>
            <w:r>
              <w:rPr>
                <w:b/>
                <w:color w:val="FFFFFF"/>
                <w:sz w:val="22"/>
              </w:rPr>
              <w:t xml:space="preserve">Name</w:t>
            </w:r>
          </w:p>
        </w:tc>
        <w:tc>
          <w:tcPr>
            <w:shd w:val="clear" w:fill="1F4B45"/>
          </w:tcPr>
          <w:p>
            <w:pPr>
              <w:pStyle w:val="Compact"/>
              <w:jc w:val="left"/>
            </w:pPr>
            <w:r>
              <w:rPr>
                <w:b/>
                <w:color w:val="FFFFFF"/>
                <w:sz w:val="22"/>
              </w:rPr>
              <w:t xml:space="preserve">Primarily holds</w:t>
            </w:r>
          </w:p>
        </w:tc>
        <w:tc>
          <w:tcPr>
            <w:shd w:val="clear" w:fill="1F4B45"/>
          </w:tcPr>
          <w:p>
            <w:pPr>
              <w:pStyle w:val="Compact"/>
              <w:jc w:val="left"/>
            </w:pPr>
            <w:r>
              <w:rPr>
                <w:b/>
                <w:color w:val="FFFFFF"/>
                <w:sz w:val="22"/>
              </w:rPr>
              <w:t xml:space="preserve">Editable?</w:t>
            </w:r>
          </w:p>
        </w:tc>
      </w:tr>
      <w:tr>
        <w:trPr>
          <w:cantSplit/>
        </w:trPr>
        <w:tc>
          <w:tcPr/>
          <w:p>
            <w:pPr>
              <w:pStyle w:val="Compact"/>
              <w:jc w:val="left"/>
            </w:pPr>
            <w:r>
              <w:rPr>
                <w:sz w:val="22"/>
              </w:rPr>
              <w:t xml:space="preserve">M1</w:t>
            </w:r>
          </w:p>
        </w:tc>
        <w:tc>
          <w:tcPr/>
          <w:p>
            <w:pPr>
              <w:pStyle w:val="Compact"/>
              <w:jc w:val="left"/>
            </w:pPr>
            <w:r>
              <w:rPr>
                <w:sz w:val="22"/>
              </w:rPr>
              <w:t xml:space="preserve">Hierarchy</w:t>
            </w:r>
          </w:p>
        </w:tc>
        <w:tc>
          <w:tcPr/>
          <w:p>
            <w:pPr>
              <w:pStyle w:val="Compact"/>
              <w:jc w:val="left"/>
            </w:pPr>
            <w:r>
              <w:rPr>
                <w:sz w:val="22"/>
              </w:rPr>
              <w:t xml:space="preserve">Groups, Organizations, Main/CM Projects</w:t>
            </w:r>
          </w:p>
        </w:tc>
        <w:tc>
          <w:tcPr/>
          <w:p>
            <w:pPr>
              <w:pStyle w:val="Compact"/>
              <w:jc w:val="left"/>
            </w:pPr>
            <w:r>
              <w:rPr>
                <w:sz w:val="22"/>
              </w:rPr>
              <w:t xml:space="preserve">CRUD</w:t>
            </w:r>
          </w:p>
        </w:tc>
      </w:tr>
      <w:tr>
        <w:trPr>
          <w:cantSplit/>
        </w:trPr>
        <w:tc>
          <w:tcPr/>
          <w:p>
            <w:pPr>
              <w:pStyle w:val="Compact"/>
              <w:jc w:val="left"/>
            </w:pPr>
            <w:r>
              <w:rPr>
                <w:sz w:val="22"/>
              </w:rPr>
              <w:t xml:space="preserve">M2</w:t>
            </w:r>
          </w:p>
        </w:tc>
        <w:tc>
          <w:tcPr/>
          <w:p>
            <w:pPr>
              <w:pStyle w:val="Compact"/>
              <w:jc w:val="left"/>
            </w:pPr>
            <w:r>
              <w:rPr>
                <w:sz w:val="22"/>
              </w:rPr>
              <w:t xml:space="preserve">Identity &amp; RBAC</w:t>
            </w:r>
          </w:p>
        </w:tc>
        <w:tc>
          <w:tcPr/>
          <w:p>
            <w:pPr>
              <w:pStyle w:val="Compact"/>
              <w:jc w:val="left"/>
            </w:pPr>
            <w:r>
              <w:rPr>
                <w:sz w:val="22"/>
              </w:rPr>
              <w:t xml:space="preserve">Users, Permission Matrix, Governance, License</w:t>
            </w:r>
          </w:p>
        </w:tc>
        <w:tc>
          <w:tcPr/>
          <w:p>
            <w:pPr>
              <w:pStyle w:val="Compact"/>
              <w:jc w:val="left"/>
            </w:pPr>
            <w:r>
              <w:rPr>
                <w:sz w:val="22"/>
              </w:rPr>
              <w:t xml:space="preserve">CRUD</w:t>
            </w:r>
          </w:p>
        </w:tc>
      </w:tr>
      <w:tr>
        <w:trPr>
          <w:cantSplit/>
        </w:trPr>
        <w:tc>
          <w:tcPr/>
          <w:p>
            <w:pPr>
              <w:pStyle w:val="Compact"/>
              <w:jc w:val="left"/>
            </w:pPr>
            <w:r>
              <w:rPr>
                <w:sz w:val="22"/>
              </w:rPr>
              <w:t xml:space="preserve">M3</w:t>
            </w:r>
          </w:p>
        </w:tc>
        <w:tc>
          <w:tcPr/>
          <w:p>
            <w:pPr>
              <w:pStyle w:val="Compact"/>
              <w:jc w:val="left"/>
            </w:pPr>
            <w:r>
              <w:rPr>
                <w:sz w:val="22"/>
              </w:rPr>
              <w:t xml:space="preserve">Initiative Registry</w:t>
            </w:r>
          </w:p>
        </w:tc>
        <w:tc>
          <w:tcPr/>
          <w:p>
            <w:pPr>
              <w:pStyle w:val="Compact"/>
              <w:jc w:val="left"/>
            </w:pPr>
            <w:r>
              <w:rPr>
                <w:sz w:val="22"/>
              </w:rPr>
              <w:t xml:space="preserve">Business driver, scope, Lewin phase</w:t>
            </w:r>
          </w:p>
        </w:tc>
        <w:tc>
          <w:tcPr/>
          <w:p>
            <w:pPr>
              <w:pStyle w:val="Compact"/>
              <w:jc w:val="left"/>
            </w:pPr>
            <w:r>
              <w:rPr>
                <w:sz w:val="22"/>
              </w:rPr>
              <w:t xml:space="preserve">CRUD</w:t>
            </w:r>
          </w:p>
        </w:tc>
      </w:tr>
      <w:tr>
        <w:trPr>
          <w:cantSplit/>
        </w:trPr>
        <w:tc>
          <w:tcPr/>
          <w:p>
            <w:pPr>
              <w:pStyle w:val="Compact"/>
              <w:jc w:val="left"/>
            </w:pPr>
            <w:r>
              <w:rPr>
                <w:sz w:val="22"/>
              </w:rPr>
              <w:t xml:space="preserve">M4</w:t>
            </w:r>
          </w:p>
        </w:tc>
        <w:tc>
          <w:tcPr/>
          <w:p>
            <w:pPr>
              <w:pStyle w:val="Compact"/>
              <w:jc w:val="left"/>
            </w:pPr>
            <w:r>
              <w:rPr>
                <w:sz w:val="22"/>
              </w:rPr>
              <w:t xml:space="preserve">Stakeholder Mapping</w:t>
            </w:r>
          </w:p>
        </w:tc>
        <w:tc>
          <w:tcPr/>
          <w:p>
            <w:pPr>
              <w:pStyle w:val="Compact"/>
              <w:jc w:val="left"/>
            </w:pPr>
            <w:r>
              <w:rPr>
                <w:sz w:val="22"/>
              </w:rPr>
              <w:t xml:space="preserve">Cohorts, impact dimension/severity, champions</w:t>
            </w:r>
          </w:p>
        </w:tc>
        <w:tc>
          <w:tcPr/>
          <w:p>
            <w:pPr>
              <w:pStyle w:val="Compact"/>
              <w:jc w:val="left"/>
            </w:pPr>
            <w:r>
              <w:rPr>
                <w:sz w:val="22"/>
              </w:rPr>
              <w:t xml:space="preserve">CRUD</w:t>
            </w:r>
          </w:p>
        </w:tc>
      </w:tr>
      <w:tr>
        <w:trPr>
          <w:cantSplit/>
        </w:trPr>
        <w:tc>
          <w:tcPr/>
          <w:p>
            <w:pPr>
              <w:pStyle w:val="Compact"/>
              <w:jc w:val="left"/>
            </w:pPr>
            <w:r>
              <w:rPr>
                <w:sz w:val="22"/>
              </w:rPr>
              <w:t xml:space="preserve">M5</w:t>
            </w:r>
          </w:p>
        </w:tc>
        <w:tc>
          <w:tcPr/>
          <w:p>
            <w:pPr>
              <w:pStyle w:val="Compact"/>
              <w:jc w:val="left"/>
            </w:pPr>
            <w:r>
              <w:rPr>
                <w:sz w:val="22"/>
              </w:rPr>
              <w:t xml:space="preserve">ADKAR Engine</w:t>
            </w:r>
          </w:p>
        </w:tc>
        <w:tc>
          <w:tcPr/>
          <w:p>
            <w:pPr>
              <w:pStyle w:val="Compact"/>
              <w:jc w:val="left"/>
            </w:pPr>
            <w:r>
              <w:rPr>
                <w:sz w:val="22"/>
              </w:rPr>
              <w:t xml:space="preserve">Five block scores, barrier notes</w:t>
            </w:r>
          </w:p>
        </w:tc>
        <w:tc>
          <w:tcPr/>
          <w:p>
            <w:pPr>
              <w:pStyle w:val="Compact"/>
              <w:jc w:val="left"/>
            </w:pPr>
            <w:r>
              <w:rPr>
                <w:sz w:val="22"/>
              </w:rPr>
              <w:t xml:space="preserve">CRUD</w:t>
            </w:r>
          </w:p>
        </w:tc>
      </w:tr>
      <w:tr>
        <w:trPr>
          <w:cantSplit/>
        </w:trPr>
        <w:tc>
          <w:tcPr/>
          <w:p>
            <w:pPr>
              <w:pStyle w:val="Compact"/>
              <w:jc w:val="left"/>
            </w:pPr>
            <w:r>
              <w:rPr>
                <w:sz w:val="22"/>
              </w:rPr>
              <w:t xml:space="preserve">M6</w:t>
            </w:r>
          </w:p>
        </w:tc>
        <w:tc>
          <w:tcPr/>
          <w:p>
            <w:pPr>
              <w:pStyle w:val="Compact"/>
              <w:jc w:val="left"/>
            </w:pPr>
            <w:r>
              <w:rPr>
                <w:sz w:val="22"/>
              </w:rPr>
              <w:t xml:space="preserve">Emotional &amp; Transition</w:t>
            </w:r>
          </w:p>
        </w:tc>
        <w:tc>
          <w:tcPr/>
          <w:p>
            <w:pPr>
              <w:pStyle w:val="Compact"/>
              <w:jc w:val="left"/>
            </w:pPr>
            <w:r>
              <w:rPr>
                <w:sz w:val="22"/>
              </w:rPr>
              <w:t xml:space="preserve">Bridges stage, Kübler-Ross sentiment</w:t>
            </w:r>
          </w:p>
        </w:tc>
        <w:tc>
          <w:tcPr/>
          <w:p>
            <w:pPr>
              <w:pStyle w:val="Compact"/>
              <w:jc w:val="left"/>
            </w:pPr>
            <w:r>
              <w:rPr>
                <w:sz w:val="22"/>
              </w:rPr>
              <w:t xml:space="preserve">CRUD</w:t>
            </w:r>
          </w:p>
        </w:tc>
      </w:tr>
      <w:tr>
        <w:trPr>
          <w:cantSplit/>
        </w:trPr>
        <w:tc>
          <w:tcPr/>
          <w:p>
            <w:pPr>
              <w:pStyle w:val="Compact"/>
              <w:jc w:val="left"/>
            </w:pPr>
            <w:r>
              <w:rPr>
                <w:sz w:val="22"/>
              </w:rPr>
              <w:t xml:space="preserve">M7</w:t>
            </w:r>
          </w:p>
        </w:tc>
        <w:tc>
          <w:tcPr/>
          <w:p>
            <w:pPr>
              <w:pStyle w:val="Compact"/>
              <w:jc w:val="left"/>
            </w:pPr>
            <w:r>
              <w:rPr>
                <w:sz w:val="22"/>
              </w:rPr>
              <w:t xml:space="preserve">Sponsor &amp; Coalition</w:t>
            </w:r>
          </w:p>
        </w:tc>
        <w:tc>
          <w:tcPr/>
          <w:p>
            <w:pPr>
              <w:pStyle w:val="Compact"/>
              <w:jc w:val="left"/>
            </w:pPr>
            <w:r>
              <w:rPr>
                <w:sz w:val="22"/>
              </w:rPr>
              <w:t xml:space="preserve">Sponsor roadmap, coalition members</w:t>
            </w:r>
          </w:p>
        </w:tc>
        <w:tc>
          <w:tcPr/>
          <w:p>
            <w:pPr>
              <w:pStyle w:val="Compact"/>
              <w:jc w:val="left"/>
            </w:pPr>
            <w:r>
              <w:rPr>
                <w:sz w:val="22"/>
              </w:rPr>
              <w:t xml:space="preserve">CRUD</w:t>
            </w:r>
          </w:p>
        </w:tc>
      </w:tr>
      <w:tr>
        <w:trPr>
          <w:cantSplit/>
        </w:trPr>
        <w:tc>
          <w:tcPr/>
          <w:p>
            <w:pPr>
              <w:pStyle w:val="Compact"/>
              <w:jc w:val="left"/>
            </w:pPr>
            <w:r>
              <w:rPr>
                <w:sz w:val="22"/>
              </w:rPr>
              <w:t xml:space="preserve">M8</w:t>
            </w:r>
          </w:p>
        </w:tc>
        <w:tc>
          <w:tcPr/>
          <w:p>
            <w:pPr>
              <w:pStyle w:val="Compact"/>
              <w:jc w:val="left"/>
            </w:pPr>
            <w:r>
              <w:rPr>
                <w:sz w:val="22"/>
              </w:rPr>
              <w:t xml:space="preserve">Communications</w:t>
            </w:r>
          </w:p>
        </w:tc>
        <w:tc>
          <w:tcPr/>
          <w:p>
            <w:pPr>
              <w:pStyle w:val="Compact"/>
              <w:jc w:val="left"/>
            </w:pPr>
            <w:r>
              <w:rPr>
                <w:sz w:val="22"/>
              </w:rPr>
              <w:t xml:space="preserve">Message × audience × channel × timing</w:t>
            </w:r>
          </w:p>
        </w:tc>
        <w:tc>
          <w:tcPr/>
          <w:p>
            <w:pPr>
              <w:pStyle w:val="Compact"/>
              <w:jc w:val="left"/>
            </w:pPr>
            <w:r>
              <w:rPr>
                <w:sz w:val="22"/>
              </w:rPr>
              <w:t xml:space="preserve">CRUD</w:t>
            </w:r>
          </w:p>
        </w:tc>
      </w:tr>
      <w:tr>
        <w:trPr>
          <w:cantSplit/>
        </w:trPr>
        <w:tc>
          <w:tcPr/>
          <w:p>
            <w:pPr>
              <w:pStyle w:val="Compact"/>
              <w:jc w:val="left"/>
            </w:pPr>
            <w:r>
              <w:rPr>
                <w:sz w:val="22"/>
              </w:rPr>
              <w:t xml:space="preserve">M9</w:t>
            </w:r>
          </w:p>
        </w:tc>
        <w:tc>
          <w:tcPr/>
          <w:p>
            <w:pPr>
              <w:pStyle w:val="Compact"/>
              <w:jc w:val="left"/>
            </w:pPr>
            <w:r>
              <w:rPr>
                <w:sz w:val="22"/>
              </w:rPr>
              <w:t xml:space="preserve">Training</w:t>
            </w:r>
          </w:p>
        </w:tc>
        <w:tc>
          <w:tcPr/>
          <w:p>
            <w:pPr>
              <w:pStyle w:val="Compact"/>
              <w:jc w:val="left"/>
            </w:pPr>
            <w:r>
              <w:rPr>
                <w:sz w:val="22"/>
              </w:rPr>
              <w:t xml:space="preserve">Curriculum, completion, certification</w:t>
            </w:r>
          </w:p>
        </w:tc>
        <w:tc>
          <w:tcPr/>
          <w:p>
            <w:pPr>
              <w:pStyle w:val="Compact"/>
              <w:jc w:val="left"/>
            </w:pPr>
            <w:r>
              <w:rPr>
                <w:sz w:val="22"/>
              </w:rPr>
              <w:t xml:space="preserve">CRUD</w:t>
            </w:r>
          </w:p>
        </w:tc>
      </w:tr>
      <w:tr>
        <w:trPr>
          <w:cantSplit/>
        </w:trPr>
        <w:tc>
          <w:tcPr/>
          <w:p>
            <w:pPr>
              <w:pStyle w:val="Compact"/>
              <w:jc w:val="left"/>
            </w:pPr>
            <w:r>
              <w:rPr>
                <w:sz w:val="22"/>
              </w:rPr>
              <w:t xml:space="preserve">M10</w:t>
            </w:r>
          </w:p>
        </w:tc>
        <w:tc>
          <w:tcPr/>
          <w:p>
            <w:pPr>
              <w:pStyle w:val="Compact"/>
              <w:jc w:val="left"/>
            </w:pPr>
            <w:r>
              <w:rPr>
                <w:sz w:val="22"/>
              </w:rPr>
              <w:t xml:space="preserve">Resistance</w:t>
            </w:r>
          </w:p>
        </w:tc>
        <w:tc>
          <w:tcPr/>
          <w:p>
            <w:pPr>
              <w:pStyle w:val="Compact"/>
              <w:jc w:val="left"/>
            </w:pPr>
            <w:r>
              <w:rPr>
                <w:sz w:val="22"/>
              </w:rPr>
              <w:t xml:space="preserve">Resistance log, Qualitative Coding Workbench</w:t>
            </w:r>
          </w:p>
        </w:tc>
        <w:tc>
          <w:tcPr/>
          <w:p>
            <w:pPr>
              <w:pStyle w:val="Compact"/>
              <w:jc w:val="left"/>
            </w:pPr>
            <w:r>
              <w:rPr>
                <w:sz w:val="22"/>
              </w:rPr>
              <w:t xml:space="preserve">CRUD</w:t>
            </w:r>
          </w:p>
        </w:tc>
      </w:tr>
      <w:tr>
        <w:trPr>
          <w:cantSplit/>
        </w:trPr>
        <w:tc>
          <w:tcPr/>
          <w:p>
            <w:pPr>
              <w:pStyle w:val="Compact"/>
              <w:jc w:val="left"/>
            </w:pPr>
            <w:r>
              <w:rPr>
                <w:sz w:val="22"/>
              </w:rPr>
              <w:t xml:space="preserve">M11</w:t>
            </w:r>
          </w:p>
        </w:tc>
        <w:tc>
          <w:tcPr/>
          <w:p>
            <w:pPr>
              <w:pStyle w:val="Compact"/>
              <w:jc w:val="left"/>
            </w:pPr>
            <w:r>
              <w:rPr>
                <w:sz w:val="22"/>
              </w:rPr>
              <w:t xml:space="preserve">Manager as Coach</w:t>
            </w:r>
          </w:p>
        </w:tc>
        <w:tc>
          <w:tcPr/>
          <w:p>
            <w:pPr>
              <w:pStyle w:val="Compact"/>
              <w:jc w:val="left"/>
            </w:pPr>
            <w:r>
              <w:rPr>
                <w:sz w:val="22"/>
              </w:rPr>
              <w:t xml:space="preserve">Team ADKAR heatmap, coaching actions</w:t>
            </w:r>
          </w:p>
        </w:tc>
        <w:tc>
          <w:tcPr/>
          <w:p>
            <w:pPr>
              <w:pStyle w:val="Compact"/>
              <w:jc w:val="left"/>
            </w:pPr>
            <w:r>
              <w:rPr>
                <w:sz w:val="22"/>
              </w:rPr>
              <w:t xml:space="preserve">Computed view + logged actions</w:t>
            </w:r>
          </w:p>
        </w:tc>
      </w:tr>
      <w:tr>
        <w:trPr>
          <w:cantSplit/>
        </w:trPr>
        <w:tc>
          <w:tcPr/>
          <w:p>
            <w:pPr>
              <w:pStyle w:val="Compact"/>
              <w:jc w:val="left"/>
            </w:pPr>
            <w:r>
              <w:rPr>
                <w:sz w:val="22"/>
              </w:rPr>
              <w:t xml:space="preserve">M12</w:t>
            </w:r>
          </w:p>
        </w:tc>
        <w:tc>
          <w:tcPr/>
          <w:p>
            <w:pPr>
              <w:pStyle w:val="Compact"/>
              <w:jc w:val="left"/>
            </w:pPr>
            <w:r>
              <w:rPr>
                <w:sz w:val="22"/>
              </w:rPr>
              <w:t xml:space="preserve">Sustainment</w:t>
            </w:r>
          </w:p>
        </w:tc>
        <w:tc>
          <w:tcPr/>
          <w:p>
            <w:pPr>
              <w:pStyle w:val="Compact"/>
              <w:jc w:val="left"/>
            </w:pPr>
            <w:r>
              <w:rPr>
                <w:sz w:val="22"/>
              </w:rPr>
              <w:t xml:space="preserve">Checkpoints, quick wins, lessons, sign-off</w:t>
            </w:r>
          </w:p>
        </w:tc>
        <w:tc>
          <w:tcPr/>
          <w:p>
            <w:pPr>
              <w:pStyle w:val="Compact"/>
              <w:jc w:val="left"/>
            </w:pPr>
            <w:r>
              <w:rPr>
                <w:sz w:val="22"/>
              </w:rPr>
              <w:t xml:space="preserve">CRUD</w:t>
            </w:r>
          </w:p>
        </w:tc>
      </w:tr>
      <w:tr>
        <w:trPr>
          <w:cantSplit/>
        </w:trPr>
        <w:tc>
          <w:tcPr/>
          <w:p>
            <w:pPr>
              <w:pStyle w:val="Compact"/>
              <w:jc w:val="left"/>
            </w:pPr>
            <w:r>
              <w:rPr>
                <w:sz w:val="22"/>
              </w:rPr>
              <w:t xml:space="preserve">M13</w:t>
            </w:r>
          </w:p>
        </w:tc>
        <w:tc>
          <w:tcPr/>
          <w:p>
            <w:pPr>
              <w:pStyle w:val="Compact"/>
              <w:jc w:val="left"/>
            </w:pPr>
            <w:r>
              <w:rPr>
                <w:sz w:val="22"/>
              </w:rPr>
              <w:t xml:space="preserve">Risk Register</w:t>
            </w:r>
          </w:p>
        </w:tc>
        <w:tc>
          <w:tcPr/>
          <w:p>
            <w:pPr>
              <w:pStyle w:val="Compact"/>
              <w:jc w:val="left"/>
            </w:pPr>
            <w:r>
              <w:rPr>
                <w:sz w:val="22"/>
              </w:rPr>
              <w:t xml:space="preserve">CM-specific risk entries</w:t>
            </w:r>
          </w:p>
        </w:tc>
        <w:tc>
          <w:tcPr/>
          <w:p>
            <w:pPr>
              <w:pStyle w:val="Compact"/>
              <w:jc w:val="left"/>
            </w:pPr>
            <w:r>
              <w:rPr>
                <w:sz w:val="22"/>
              </w:rPr>
              <w:t xml:space="preserve">CRUD</w:t>
            </w:r>
          </w:p>
        </w:tc>
      </w:tr>
      <w:tr>
        <w:trPr>
          <w:cantSplit/>
        </w:trPr>
        <w:tc>
          <w:tcPr/>
          <w:p>
            <w:pPr>
              <w:pStyle w:val="Compact"/>
              <w:jc w:val="left"/>
            </w:pPr>
            <w:r>
              <w:rPr>
                <w:sz w:val="22"/>
              </w:rPr>
              <w:t xml:space="preserve">M14</w:t>
            </w:r>
          </w:p>
        </w:tc>
        <w:tc>
          <w:tcPr/>
          <w:p>
            <w:pPr>
              <w:pStyle w:val="Compact"/>
              <w:jc w:val="left"/>
            </w:pPr>
            <w:r>
              <w:rPr>
                <w:sz w:val="22"/>
              </w:rPr>
              <w:t xml:space="preserve">Analytics</w:t>
            </w:r>
          </w:p>
        </w:tc>
        <w:tc>
          <w:tcPr/>
          <w:p>
            <w:pPr>
              <w:pStyle w:val="Compact"/>
              <w:jc w:val="left"/>
            </w:pPr>
            <w:r>
              <w:rPr>
                <w:sz w:val="22"/>
              </w:rPr>
              <w:t xml:space="preserve">Composite Readiness Index, adoption curves</w:t>
            </w:r>
          </w:p>
        </w:tc>
        <w:tc>
          <w:tcPr/>
          <w:p>
            <w:pPr>
              <w:pStyle w:val="Compact"/>
              <w:jc w:val="left"/>
            </w:pPr>
            <w:r>
              <w:rPr>
                <w:sz w:val="22"/>
              </w:rPr>
              <w:t xml:space="preserve">Read-only (computed)</w:t>
            </w:r>
          </w:p>
        </w:tc>
      </w:tr>
      <w:tr>
        <w:trPr>
          <w:cantSplit/>
        </w:trPr>
        <w:tc>
          <w:tcPr/>
          <w:p>
            <w:pPr>
              <w:pStyle w:val="Compact"/>
              <w:jc w:val="left"/>
            </w:pPr>
            <w:r>
              <w:rPr>
                <w:sz w:val="22"/>
              </w:rPr>
              <w:t xml:space="preserve">M15</w:t>
            </w:r>
          </w:p>
        </w:tc>
        <w:tc>
          <w:tcPr/>
          <w:p>
            <w:pPr>
              <w:pStyle w:val="Compact"/>
              <w:jc w:val="left"/>
            </w:pPr>
            <w:r>
              <w:rPr>
                <w:sz w:val="22"/>
              </w:rPr>
              <w:t xml:space="preserve">Journey Map</w:t>
            </w:r>
          </w:p>
        </w:tc>
        <w:tc>
          <w:tcPr/>
          <w:p>
            <w:pPr>
              <w:pStyle w:val="Compact"/>
              <w:jc w:val="left"/>
            </w:pPr>
            <w:r>
              <w:rPr>
                <w:sz w:val="22"/>
              </w:rPr>
              <w:t xml:space="preserve">Combined ADKAR/Bridges/sentiment timeline</w:t>
            </w:r>
          </w:p>
        </w:tc>
        <w:tc>
          <w:tcPr/>
          <w:p>
            <w:pPr>
              <w:pStyle w:val="Compact"/>
              <w:jc w:val="left"/>
            </w:pPr>
            <w:r>
              <w:rPr>
                <w:sz w:val="22"/>
              </w:rPr>
              <w:t xml:space="preserve">Read-only (computed)</w:t>
            </w:r>
          </w:p>
        </w:tc>
      </w:tr>
      <w:tr>
        <w:trPr>
          <w:cantSplit/>
        </w:trPr>
        <w:tc>
          <w:tcPr/>
          <w:p>
            <w:pPr>
              <w:pStyle w:val="Compact"/>
              <w:jc w:val="left"/>
            </w:pPr>
            <w:r>
              <w:rPr>
                <w:sz w:val="22"/>
              </w:rPr>
              <w:t xml:space="preserve">M16</w:t>
            </w:r>
          </w:p>
        </w:tc>
        <w:tc>
          <w:tcPr/>
          <w:p>
            <w:pPr>
              <w:pStyle w:val="Compact"/>
              <w:jc w:val="left"/>
            </w:pPr>
            <w:r>
              <w:rPr>
                <w:sz w:val="22"/>
              </w:rPr>
              <w:t xml:space="preserve">AI Use Case Library</w:t>
            </w:r>
          </w:p>
        </w:tc>
        <w:tc>
          <w:tcPr/>
          <w:p>
            <w:pPr>
              <w:pStyle w:val="Compact"/>
              <w:jc w:val="left"/>
            </w:pPr>
            <w:r>
              <w:rPr>
                <w:sz w:val="22"/>
              </w:rPr>
              <w:t xml:space="preserve">Governed AI use-case catalog</w:t>
            </w:r>
          </w:p>
        </w:tc>
        <w:tc>
          <w:tcPr/>
          <w:p>
            <w:pPr>
              <w:pStyle w:val="Compact"/>
              <w:jc w:val="left"/>
            </w:pPr>
            <w:r>
              <w:rPr>
                <w:sz w:val="22"/>
              </w:rPr>
              <w:t xml:space="preserve">Activation toggles only</w:t>
            </w:r>
          </w:p>
        </w:tc>
      </w:tr>
      <w:tr>
        <w:trPr>
          <w:cantSplit/>
        </w:trPr>
        <w:tc>
          <w:tcPr/>
          <w:p>
            <w:pPr>
              <w:pStyle w:val="Compact"/>
              <w:jc w:val="left"/>
            </w:pPr>
            <w:r>
              <w:rPr>
                <w:sz w:val="22"/>
              </w:rPr>
              <w:t xml:space="preserve">M17</w:t>
            </w:r>
          </w:p>
        </w:tc>
        <w:tc>
          <w:tcPr/>
          <w:p>
            <w:pPr>
              <w:pStyle w:val="Compact"/>
              <w:jc w:val="left"/>
            </w:pPr>
            <w:r>
              <w:rPr>
                <w:sz w:val="22"/>
              </w:rPr>
              <w:t xml:space="preserve">WBS &amp; Gantt</w:t>
            </w:r>
          </w:p>
        </w:tc>
        <w:tc>
          <w:tcPr/>
          <w:p>
            <w:pPr>
              <w:pStyle w:val="Compact"/>
              <w:jc w:val="left"/>
            </w:pPr>
            <w:r>
              <w:rPr>
                <w:sz w:val="22"/>
              </w:rPr>
              <w:t xml:space="preserve">Baseline vs. actual schedule, Phase Gates</w:t>
            </w:r>
          </w:p>
        </w:tc>
        <w:tc>
          <w:tcPr/>
          <w:p>
            <w:pPr>
              <w:pStyle w:val="Compact"/>
              <w:jc w:val="left"/>
            </w:pPr>
            <w:r>
              <w:rPr>
                <w:sz w:val="22"/>
              </w:rPr>
              <w:t xml:space="preserve">CRUD</w:t>
            </w:r>
          </w:p>
        </w:tc>
      </w:tr>
      <w:tr>
        <w:trPr>
          <w:cantSplit/>
        </w:trPr>
        <w:tc>
          <w:tcPr/>
          <w:p>
            <w:pPr>
              <w:pStyle w:val="Compact"/>
              <w:jc w:val="left"/>
            </w:pPr>
            <w:r>
              <w:rPr>
                <w:sz w:val="22"/>
              </w:rPr>
              <w:t xml:space="preserve">M18</w:t>
            </w:r>
          </w:p>
        </w:tc>
        <w:tc>
          <w:tcPr/>
          <w:p>
            <w:pPr>
              <w:pStyle w:val="Compact"/>
              <w:jc w:val="left"/>
            </w:pPr>
            <w:r>
              <w:rPr>
                <w:sz w:val="22"/>
              </w:rPr>
              <w:t xml:space="preserve">Process Registry</w:t>
            </w:r>
          </w:p>
        </w:tc>
        <w:tc>
          <w:tcPr/>
          <w:p>
            <w:pPr>
              <w:pStyle w:val="Compact"/>
              <w:jc w:val="left"/>
            </w:pPr>
            <w:r>
              <w:rPr>
                <w:sz w:val="22"/>
              </w:rPr>
              <w:t xml:space="preserve">10 macro processes, 16 E2E chains, RACSI grid</w:t>
            </w:r>
          </w:p>
        </w:tc>
        <w:tc>
          <w:tcPr/>
          <w:p>
            <w:pPr>
              <w:pStyle w:val="Compact"/>
              <w:jc w:val="left"/>
            </w:pPr>
            <w:r>
              <w:rPr>
                <w:sz w:val="22"/>
              </w:rPr>
              <w:t xml:space="preserve">RACSI grid editable; catalogs read-only</w:t>
            </w:r>
          </w:p>
        </w:tc>
      </w:tr>
      <w:tr>
        <w:trPr>
          <w:cantSplit/>
        </w:trPr>
        <w:tc>
          <w:tcPr/>
          <w:p>
            <w:pPr>
              <w:pStyle w:val="Compact"/>
              <w:jc w:val="left"/>
            </w:pPr>
            <w:r>
              <w:rPr>
                <w:sz w:val="22"/>
              </w:rPr>
              <w:t xml:space="preserve">M19</w:t>
            </w:r>
          </w:p>
        </w:tc>
        <w:tc>
          <w:tcPr/>
          <w:p>
            <w:pPr>
              <w:pStyle w:val="Compact"/>
              <w:jc w:val="left"/>
            </w:pPr>
            <w:r>
              <w:rPr>
                <w:sz w:val="22"/>
              </w:rPr>
              <w:t xml:space="preserve">CM Charters</w:t>
            </w:r>
          </w:p>
        </w:tc>
        <w:tc>
          <w:tcPr/>
          <w:p>
            <w:pPr>
              <w:pStyle w:val="Compact"/>
              <w:jc w:val="left"/>
            </w:pPr>
            <w:r>
              <w:rPr>
                <w:sz w:val="22"/>
              </w:rPr>
              <w:t xml:space="preserve">8 signed behavioral standards, compliance log</w:t>
            </w:r>
          </w:p>
        </w:tc>
        <w:tc>
          <w:tcPr/>
          <w:p>
            <w:pPr>
              <w:pStyle w:val="Compact"/>
              <w:jc w:val="left"/>
            </w:pPr>
            <w:r>
              <w:rPr>
                <w:sz w:val="22"/>
              </w:rPr>
              <w:t xml:space="preserve">CRUD</w:t>
            </w:r>
          </w:p>
        </w:tc>
      </w:tr>
      <w:tr>
        <w:trPr>
          <w:cantSplit/>
        </w:trPr>
        <w:tc>
          <w:tcPr/>
          <w:p>
            <w:pPr>
              <w:pStyle w:val="Compact"/>
              <w:jc w:val="left"/>
            </w:pPr>
            <w:r>
              <w:rPr>
                <w:sz w:val="22"/>
              </w:rPr>
              <w:t xml:space="preserve">M20</w:t>
            </w:r>
          </w:p>
        </w:tc>
        <w:tc>
          <w:tcPr/>
          <w:p>
            <w:pPr>
              <w:pStyle w:val="Compact"/>
              <w:jc w:val="left"/>
            </w:pPr>
            <w:r>
              <w:rPr>
                <w:sz w:val="22"/>
              </w:rPr>
              <w:t xml:space="preserve">Journeys &amp; Analytics</w:t>
            </w:r>
          </w:p>
        </w:tc>
        <w:tc>
          <w:tcPr/>
          <w:p>
            <w:pPr>
              <w:pStyle w:val="Compact"/>
              <w:jc w:val="left"/>
            </w:pPr>
            <w:r>
              <w:rPr>
                <w:sz w:val="22"/>
              </w:rPr>
              <w:t xml:space="preserve">8 experience journeys, touchpoint evidence</w:t>
            </w:r>
          </w:p>
        </w:tc>
        <w:tc>
          <w:tcPr/>
          <w:p>
            <w:pPr>
              <w:pStyle w:val="Compact"/>
              <w:jc w:val="left"/>
            </w:pPr>
            <w:r>
              <w:rPr>
                <w:sz w:val="22"/>
              </w:rPr>
              <w:t xml:space="preserve">Evidence logging; templates read-only</w:t>
            </w:r>
          </w:p>
        </w:tc>
      </w:tr>
    </w:tbl>
    <w:bookmarkEnd w:id="114"/>
    <w:bookmarkStart w:id="115" w:name="a.5-the-16-end-to-end-processes-index"/>
    <w:p>
      <w:pPr>
        <w:pStyle w:val="Heading3"/>
      </w:pPr>
      <w:r>
        <w:rPr>
          <w:b/>
          <w:color w:val="3F827B"/>
          <w:sz w:val="29"/>
        </w:rPr>
        <w:t xml:space="preserve">A.5 The 16 End-to-End Processes Index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shd w:val="clear" w:fill="1F4B45"/>
          </w:tcPr>
          <w:p>
            <w:pPr>
              <w:pStyle w:val="Compact"/>
              <w:jc w:val="left"/>
            </w:pPr>
            <w:r>
              <w:rPr>
                <w:b/>
                <w:color w:val="FFFFFF"/>
                <w:sz w:val="22"/>
              </w:rPr>
              <w:t xml:space="preserve">ID</w:t>
            </w:r>
          </w:p>
        </w:tc>
        <w:tc>
          <w:tcPr>
            <w:shd w:val="clear" w:fill="1F4B45"/>
          </w:tcPr>
          <w:p>
            <w:pPr>
              <w:pStyle w:val="Compact"/>
              <w:jc w:val="left"/>
            </w:pPr>
            <w:r>
              <w:rPr>
                <w:b/>
                <w:color w:val="FFFFFF"/>
                <w:sz w:val="22"/>
              </w:rPr>
              <w:t xml:space="preserve">Name</w:t>
            </w:r>
          </w:p>
        </w:tc>
        <w:tc>
          <w:tcPr>
            <w:shd w:val="clear" w:fill="1F4B45"/>
          </w:tcPr>
          <w:p>
            <w:pPr>
              <w:pStyle w:val="Compact"/>
              <w:jc w:val="left"/>
            </w:pPr>
            <w:r>
              <w:rPr>
                <w:b/>
                <w:color w:val="FFFFFF"/>
                <w:sz w:val="22"/>
              </w:rPr>
              <w:t xml:space="preserve">Kind</w:t>
            </w:r>
          </w:p>
        </w:tc>
        <w:tc>
          <w:tcPr>
            <w:shd w:val="clear" w:fill="1F4B45"/>
          </w:tcPr>
          <w:p>
            <w:pPr>
              <w:pStyle w:val="Compact"/>
              <w:jc w:val="left"/>
            </w:pPr>
            <w:r>
              <w:rPr>
                <w:b/>
                <w:color w:val="FFFFFF"/>
                <w:sz w:val="22"/>
              </w:rPr>
              <w:t xml:space="preserve">Bouregreg case</w:t>
            </w:r>
          </w:p>
        </w:tc>
      </w:tr>
      <w:tr>
        <w:trPr>
          <w:cantSplit/>
        </w:trPr>
        <w:tc>
          <w:tcPr/>
          <w:p>
            <w:pPr>
              <w:pStyle w:val="Compact"/>
              <w:jc w:val="left"/>
            </w:pPr>
            <w:r>
              <w:rPr>
                <w:sz w:val="22"/>
              </w:rPr>
              <w:t xml:space="preserve">E2E-01</w:t>
            </w:r>
          </w:p>
        </w:tc>
        <w:tc>
          <w:tcPr/>
          <w:p>
            <w:pPr>
              <w:pStyle w:val="Compact"/>
              <w:jc w:val="left"/>
            </w:pPr>
            <w:r>
              <w:rPr>
                <w:sz w:val="22"/>
              </w:rPr>
              <w:t xml:space="preserve">Readiness &amp; Mobilization</w:t>
            </w:r>
          </w:p>
        </w:tc>
        <w:tc>
          <w:tcPr/>
          <w:p>
            <w:pPr>
              <w:pStyle w:val="Compact"/>
              <w:jc w:val="left"/>
            </w:pPr>
            <w:r>
              <w:rPr>
                <w:sz w:val="22"/>
              </w:rPr>
              <w:t xml:space="preserve">Core</w:t>
            </w:r>
          </w:p>
        </w:tc>
        <w:tc>
          <w:tcPr/>
          <w:p>
            <w:pPr>
              <w:pStyle w:val="Compact"/>
              <w:jc w:val="left"/>
            </w:pPr>
            <w:r>
              <w:rPr>
                <w:sz w:val="22"/>
              </w:rPr>
              <w:t xml:space="preserve">ERP Adoption Program, W1–14</w:t>
            </w:r>
          </w:p>
        </w:tc>
      </w:tr>
      <w:tr>
        <w:trPr>
          <w:cantSplit/>
        </w:trPr>
        <w:tc>
          <w:tcPr/>
          <w:p>
            <w:pPr>
              <w:pStyle w:val="Compact"/>
              <w:jc w:val="left"/>
            </w:pPr>
            <w:r>
              <w:rPr>
                <w:sz w:val="22"/>
              </w:rPr>
              <w:t xml:space="preserve">E2E-02</w:t>
            </w:r>
          </w:p>
        </w:tc>
        <w:tc>
          <w:tcPr/>
          <w:p>
            <w:pPr>
              <w:pStyle w:val="Compact"/>
              <w:jc w:val="left"/>
            </w:pPr>
            <w:r>
              <w:rPr>
                <w:sz w:val="22"/>
              </w:rPr>
              <w:t xml:space="preserve">Capability &amp; Divergence Management</w:t>
            </w:r>
          </w:p>
        </w:tc>
        <w:tc>
          <w:tcPr/>
          <w:p>
            <w:pPr>
              <w:pStyle w:val="Compact"/>
              <w:jc w:val="left"/>
            </w:pPr>
            <w:r>
              <w:rPr>
                <w:sz w:val="22"/>
              </w:rPr>
              <w:t xml:space="preserve">Core</w:t>
            </w:r>
          </w:p>
        </w:tc>
        <w:tc>
          <w:tcPr/>
          <w:p>
            <w:pPr>
              <w:pStyle w:val="Compact"/>
              <w:jc w:val="left"/>
            </w:pPr>
            <w:r>
              <w:rPr>
                <w:sz w:val="22"/>
              </w:rPr>
              <w:t xml:space="preserve">ERP Adoption Program, W28–42</w:t>
            </w:r>
          </w:p>
        </w:tc>
      </w:tr>
      <w:tr>
        <w:trPr>
          <w:cantSplit/>
        </w:trPr>
        <w:tc>
          <w:tcPr/>
          <w:p>
            <w:pPr>
              <w:pStyle w:val="Compact"/>
              <w:jc w:val="left"/>
            </w:pPr>
            <w:r>
              <w:rPr>
                <w:sz w:val="22"/>
              </w:rPr>
              <w:t xml:space="preserve">E2E-03</w:t>
            </w:r>
          </w:p>
        </w:tc>
        <w:tc>
          <w:tcPr/>
          <w:p>
            <w:pPr>
              <w:pStyle w:val="Compact"/>
              <w:jc w:val="left"/>
            </w:pPr>
            <w:r>
              <w:rPr>
                <w:sz w:val="22"/>
              </w:rPr>
              <w:t xml:space="preserve">Resistance-to-Commitment</w:t>
            </w:r>
          </w:p>
        </w:tc>
        <w:tc>
          <w:tcPr/>
          <w:p>
            <w:pPr>
              <w:pStyle w:val="Compact"/>
              <w:jc w:val="left"/>
            </w:pPr>
            <w:r>
              <w:rPr>
                <w:sz w:val="22"/>
              </w:rPr>
              <w:t xml:space="preserve">Core</w:t>
            </w:r>
          </w:p>
        </w:tc>
        <w:tc>
          <w:tcPr/>
          <w:p>
            <w:pPr>
              <w:pStyle w:val="Compact"/>
              <w:jc w:val="left"/>
            </w:pPr>
            <w:r>
              <w:rPr>
                <w:sz w:val="22"/>
              </w:rPr>
              <w:t xml:space="preserve">ERP (Exception E1); Order-to-Cash; Settat Restructuring</w:t>
            </w:r>
          </w:p>
        </w:tc>
      </w:tr>
      <w:tr>
        <w:trPr>
          <w:cantSplit/>
        </w:trPr>
        <w:tc>
          <w:tcPr/>
          <w:p>
            <w:pPr>
              <w:pStyle w:val="Compact"/>
              <w:jc w:val="left"/>
            </w:pPr>
            <w:r>
              <w:rPr>
                <w:sz w:val="22"/>
              </w:rPr>
              <w:t xml:space="preserve">E2E-04</w:t>
            </w:r>
          </w:p>
        </w:tc>
        <w:tc>
          <w:tcPr/>
          <w:p>
            <w:pPr>
              <w:pStyle w:val="Compact"/>
              <w:jc w:val="left"/>
            </w:pPr>
            <w:r>
              <w:rPr>
                <w:sz w:val="22"/>
              </w:rPr>
              <w:t xml:space="preserve">Adoption-to-Sustainment</w:t>
            </w:r>
          </w:p>
        </w:tc>
        <w:tc>
          <w:tcPr/>
          <w:p>
            <w:pPr>
              <w:pStyle w:val="Compact"/>
              <w:jc w:val="left"/>
            </w:pPr>
            <w:r>
              <w:rPr>
                <w:sz w:val="22"/>
              </w:rPr>
              <w:t xml:space="preserve">Core</w:t>
            </w:r>
          </w:p>
        </w:tc>
        <w:tc>
          <w:tcPr/>
          <w:p>
            <w:pPr>
              <w:pStyle w:val="Compact"/>
              <w:jc w:val="left"/>
            </w:pPr>
            <w:r>
              <w:rPr>
                <w:sz w:val="22"/>
              </w:rPr>
              <w:t xml:space="preserve">ERP Adoption Program, W43–64</w:t>
            </w:r>
          </w:p>
        </w:tc>
      </w:tr>
      <w:tr>
        <w:trPr>
          <w:cantSplit/>
        </w:trPr>
        <w:tc>
          <w:tcPr/>
          <w:p>
            <w:pPr>
              <w:pStyle w:val="Compact"/>
              <w:jc w:val="left"/>
            </w:pPr>
            <w:r>
              <w:rPr>
                <w:sz w:val="22"/>
              </w:rPr>
              <w:t xml:space="preserve">E2E-05</w:t>
            </w:r>
          </w:p>
        </w:tc>
        <w:tc>
          <w:tcPr/>
          <w:p>
            <w:pPr>
              <w:pStyle w:val="Compact"/>
              <w:jc w:val="left"/>
            </w:pPr>
            <w:r>
              <w:rPr>
                <w:sz w:val="22"/>
              </w:rPr>
              <w:t xml:space="preserve">Signal Aggregation Loop</w:t>
            </w:r>
          </w:p>
        </w:tc>
        <w:tc>
          <w:tcPr/>
          <w:p>
            <w:pPr>
              <w:pStyle w:val="Compact"/>
              <w:jc w:val="left"/>
            </w:pPr>
            <w:r>
              <w:rPr>
                <w:sz w:val="22"/>
              </w:rPr>
              <w:t xml:space="preserve">Cross-cutting loop</w:t>
            </w:r>
          </w:p>
        </w:tc>
        <w:tc>
          <w:tcPr/>
          <w:p>
            <w:pPr>
              <w:pStyle w:val="Compact"/>
              <w:jc w:val="left"/>
            </w:pPr>
            <w:r>
              <w:rPr>
                <w:sz w:val="22"/>
              </w:rPr>
              <w:t xml:space="preserve">Continuous, all nine cases</w:t>
            </w:r>
          </w:p>
        </w:tc>
      </w:tr>
      <w:tr>
        <w:trPr>
          <w:cantSplit/>
        </w:trPr>
        <w:tc>
          <w:tcPr/>
          <w:p>
            <w:pPr>
              <w:pStyle w:val="Compact"/>
              <w:jc w:val="left"/>
            </w:pPr>
            <w:r>
              <w:rPr>
                <w:sz w:val="22"/>
              </w:rPr>
              <w:t xml:space="preserve">E2E-06</w:t>
            </w:r>
          </w:p>
        </w:tc>
        <w:tc>
          <w:tcPr/>
          <w:p>
            <w:pPr>
              <w:pStyle w:val="Compact"/>
              <w:jc w:val="left"/>
            </w:pPr>
            <w:r>
              <w:rPr>
                <w:sz w:val="22"/>
              </w:rPr>
              <w:t xml:space="preserve">PM ↔ CM Governance Bridge</w:t>
            </w:r>
          </w:p>
        </w:tc>
        <w:tc>
          <w:tcPr/>
          <w:p>
            <w:pPr>
              <w:pStyle w:val="Compact"/>
              <w:jc w:val="left"/>
            </w:pPr>
            <w:r>
              <w:rPr>
                <w:sz w:val="22"/>
              </w:rPr>
              <w:t xml:space="preserve">Cross-cutting loop</w:t>
            </w:r>
          </w:p>
        </w:tc>
        <w:tc>
          <w:tcPr/>
          <w:p>
            <w:pPr>
              <w:pStyle w:val="Compact"/>
              <w:jc w:val="left"/>
            </w:pPr>
            <w:r>
              <w:rPr>
                <w:sz w:val="22"/>
              </w:rPr>
              <w:t xml:space="preserve">Every Phase Gate, Part 1B.3</w:t>
            </w:r>
          </w:p>
        </w:tc>
      </w:tr>
      <w:tr>
        <w:trPr>
          <w:cantSplit/>
        </w:trPr>
        <w:tc>
          <w:tcPr/>
          <w:p>
            <w:pPr>
              <w:pStyle w:val="Compact"/>
              <w:jc w:val="left"/>
            </w:pPr>
            <w:r>
              <w:rPr>
                <w:sz w:val="22"/>
              </w:rPr>
              <w:t xml:space="preserve">E2E-07</w:t>
            </w:r>
          </w:p>
        </w:tc>
        <w:tc>
          <w:tcPr/>
          <w:p>
            <w:pPr>
              <w:pStyle w:val="Compact"/>
              <w:jc w:val="left"/>
            </w:pPr>
            <w:r>
              <w:rPr>
                <w:sz w:val="22"/>
              </w:rPr>
              <w:t xml:space="preserve">Champion Early-Warning Loop</w:t>
            </w:r>
          </w:p>
        </w:tc>
        <w:tc>
          <w:tcPr/>
          <w:p>
            <w:pPr>
              <w:pStyle w:val="Compact"/>
              <w:jc w:val="left"/>
            </w:pPr>
            <w:r>
              <w:rPr>
                <w:sz w:val="22"/>
              </w:rPr>
              <w:t xml:space="preserve">Cross-cutting loop</w:t>
            </w:r>
          </w:p>
        </w:tc>
        <w:tc>
          <w:tcPr/>
          <w:p>
            <w:pPr>
              <w:pStyle w:val="Compact"/>
              <w:jc w:val="left"/>
            </w:pPr>
            <w:r>
              <w:rPr>
                <w:sz w:val="22"/>
              </w:rPr>
              <w:t xml:space="preserve">ERP Adoption Program, W12+</w:t>
            </w:r>
          </w:p>
        </w:tc>
      </w:tr>
      <w:tr>
        <w:trPr>
          <w:cantSplit/>
        </w:trPr>
        <w:tc>
          <w:tcPr/>
          <w:p>
            <w:pPr>
              <w:pStyle w:val="Compact"/>
              <w:jc w:val="left"/>
            </w:pPr>
            <w:r>
              <w:rPr>
                <w:sz w:val="22"/>
              </w:rPr>
              <w:t xml:space="preserve">E2E-08</w:t>
            </w:r>
          </w:p>
        </w:tc>
        <w:tc>
          <w:tcPr/>
          <w:p>
            <w:pPr>
              <w:pStyle w:val="Compact"/>
              <w:jc w:val="left"/>
            </w:pPr>
            <w:r>
              <w:rPr>
                <w:sz w:val="22"/>
              </w:rPr>
              <w:t xml:space="preserve">Governance Escalation Loop</w:t>
            </w:r>
          </w:p>
        </w:tc>
        <w:tc>
          <w:tcPr/>
          <w:p>
            <w:pPr>
              <w:pStyle w:val="Compact"/>
              <w:jc w:val="left"/>
            </w:pPr>
            <w:r>
              <w:rPr>
                <w:sz w:val="22"/>
              </w:rPr>
              <w:t xml:space="preserve">Cross-cutting loop</w:t>
            </w:r>
          </w:p>
        </w:tc>
        <w:tc>
          <w:tcPr/>
          <w:p>
            <w:pPr>
              <w:pStyle w:val="Compact"/>
              <w:jc w:val="left"/>
            </w:pPr>
            <w:r>
              <w:rPr>
                <w:sz w:val="22"/>
              </w:rPr>
              <w:t xml:space="preserve">ERP Adoption Program, Exception E5</w:t>
            </w:r>
          </w:p>
        </w:tc>
      </w:tr>
      <w:tr>
        <w:trPr>
          <w:cantSplit/>
        </w:trPr>
        <w:tc>
          <w:tcPr/>
          <w:p>
            <w:pPr>
              <w:pStyle w:val="Compact"/>
              <w:jc w:val="left"/>
            </w:pPr>
            <w:r>
              <w:rPr>
                <w:sz w:val="22"/>
              </w:rPr>
              <w:t xml:space="preserve">E2E-ERP</w:t>
            </w:r>
          </w:p>
        </w:tc>
        <w:tc>
          <w:tcPr/>
          <w:p>
            <w:pPr>
              <w:pStyle w:val="Compact"/>
              <w:jc w:val="left"/>
            </w:pPr>
            <w:r>
              <w:rPr>
                <w:sz w:val="22"/>
              </w:rPr>
              <w:t xml:space="preserve">ERP Implementation Lifecycle</w:t>
            </w:r>
          </w:p>
        </w:tc>
        <w:tc>
          <w:tcPr/>
          <w:p>
            <w:pPr>
              <w:pStyle w:val="Compact"/>
              <w:jc w:val="left"/>
            </w:pPr>
            <w:r>
              <w:rPr>
                <w:sz w:val="22"/>
              </w:rPr>
              <w:t xml:space="preserve">Transformation type</w:t>
            </w:r>
          </w:p>
        </w:tc>
        <w:tc>
          <w:tcPr/>
          <w:p>
            <w:pPr>
              <w:pStyle w:val="Compact"/>
              <w:jc w:val="left"/>
            </w:pPr>
            <w:r>
              <w:rPr>
                <w:sz w:val="22"/>
              </w:rPr>
              <w:t xml:space="preserve">Bouregreg ERP Adoption Program</w:t>
            </w:r>
          </w:p>
        </w:tc>
      </w:tr>
      <w:tr>
        <w:trPr>
          <w:cantSplit/>
        </w:trPr>
        <w:tc>
          <w:tcPr/>
          <w:p>
            <w:pPr>
              <w:pStyle w:val="Compact"/>
              <w:jc w:val="left"/>
            </w:pPr>
            <w:r>
              <w:rPr>
                <w:sz w:val="22"/>
              </w:rPr>
              <w:t xml:space="preserve">E2E-BPR</w:t>
            </w:r>
          </w:p>
        </w:tc>
        <w:tc>
          <w:tcPr/>
          <w:p>
            <w:pPr>
              <w:pStyle w:val="Compact"/>
              <w:jc w:val="left"/>
            </w:pPr>
            <w:r>
              <w:rPr>
                <w:sz w:val="22"/>
              </w:rPr>
              <w:t xml:space="preserve">Business Process Reengineering Lifecycle</w:t>
            </w:r>
          </w:p>
        </w:tc>
        <w:tc>
          <w:tcPr/>
          <w:p>
            <w:pPr>
              <w:pStyle w:val="Compact"/>
              <w:jc w:val="left"/>
            </w:pPr>
            <w:r>
              <w:rPr>
                <w:sz w:val="22"/>
              </w:rPr>
              <w:t xml:space="preserve">Transformation type</w:t>
            </w:r>
          </w:p>
        </w:tc>
        <w:tc>
          <w:tcPr/>
          <w:p>
            <w:pPr>
              <w:pStyle w:val="Compact"/>
              <w:jc w:val="left"/>
            </w:pPr>
            <w:r>
              <w:rPr>
                <w:sz w:val="22"/>
              </w:rPr>
              <w:t xml:space="preserve">Order-to-Cash Process Redesign</w:t>
            </w:r>
          </w:p>
        </w:tc>
      </w:tr>
      <w:tr>
        <w:trPr>
          <w:cantSplit/>
        </w:trPr>
        <w:tc>
          <w:tcPr/>
          <w:p>
            <w:pPr>
              <w:pStyle w:val="Compact"/>
              <w:jc w:val="left"/>
            </w:pPr>
            <w:r>
              <w:rPr>
                <w:sz w:val="22"/>
              </w:rPr>
              <w:t xml:space="preserve">E2E-BPA</w:t>
            </w:r>
          </w:p>
        </w:tc>
        <w:tc>
          <w:tcPr/>
          <w:p>
            <w:pPr>
              <w:pStyle w:val="Compact"/>
              <w:jc w:val="left"/>
            </w:pPr>
            <w:r>
              <w:rPr>
                <w:sz w:val="22"/>
              </w:rPr>
              <w:t xml:space="preserve">Business Process Automation Lifecycle</w:t>
            </w:r>
          </w:p>
        </w:tc>
        <w:tc>
          <w:tcPr/>
          <w:p>
            <w:pPr>
              <w:pStyle w:val="Compact"/>
              <w:jc w:val="left"/>
            </w:pPr>
            <w:r>
              <w:rPr>
                <w:sz w:val="22"/>
              </w:rPr>
              <w:t xml:space="preserve">Transformation type</w:t>
            </w:r>
          </w:p>
        </w:tc>
        <w:tc>
          <w:tcPr/>
          <w:p>
            <w:pPr>
              <w:pStyle w:val="Compact"/>
              <w:jc w:val="left"/>
            </w:pPr>
            <w:r>
              <w:rPr>
                <w:sz w:val="22"/>
              </w:rPr>
              <w:t xml:space="preserve">Kenitra Invoice-Matching Automation</w:t>
            </w:r>
          </w:p>
        </w:tc>
      </w:tr>
      <w:tr>
        <w:trPr>
          <w:cantSplit/>
        </w:trPr>
        <w:tc>
          <w:tcPr/>
          <w:p>
            <w:pPr>
              <w:pStyle w:val="Compact"/>
              <w:jc w:val="left"/>
            </w:pPr>
            <w:r>
              <w:rPr>
                <w:sz w:val="22"/>
              </w:rPr>
              <w:t xml:space="preserve">E2E-IMS</w:t>
            </w:r>
          </w:p>
        </w:tc>
        <w:tc>
          <w:tcPr/>
          <w:p>
            <w:pPr>
              <w:pStyle w:val="Compact"/>
              <w:jc w:val="left"/>
            </w:pPr>
            <w:r>
              <w:rPr>
                <w:sz w:val="22"/>
              </w:rPr>
              <w:t xml:space="preserve">Integrated Management System Lifecycle</w:t>
            </w:r>
          </w:p>
        </w:tc>
        <w:tc>
          <w:tcPr/>
          <w:p>
            <w:pPr>
              <w:pStyle w:val="Compact"/>
              <w:jc w:val="left"/>
            </w:pPr>
            <w:r>
              <w:rPr>
                <w:sz w:val="22"/>
              </w:rPr>
              <w:t xml:space="preserve">Transformation type</w:t>
            </w:r>
          </w:p>
        </w:tc>
        <w:tc>
          <w:tcPr/>
          <w:p>
            <w:pPr>
              <w:pStyle w:val="Compact"/>
              <w:jc w:val="left"/>
            </w:pPr>
            <w:r>
              <w:rPr>
                <w:sz w:val="22"/>
              </w:rPr>
              <w:t xml:space="preserve">ISO 9001/14001 Integrated Management System</w:t>
            </w:r>
          </w:p>
        </w:tc>
      </w:tr>
      <w:tr>
        <w:trPr>
          <w:cantSplit/>
        </w:trPr>
        <w:tc>
          <w:tcPr/>
          <w:p>
            <w:pPr>
              <w:pStyle w:val="Compact"/>
              <w:jc w:val="left"/>
            </w:pPr>
            <w:r>
              <w:rPr>
                <w:sz w:val="22"/>
              </w:rPr>
              <w:t xml:space="preserve">E2E-CULT</w:t>
            </w:r>
          </w:p>
        </w:tc>
        <w:tc>
          <w:tcPr/>
          <w:p>
            <w:pPr>
              <w:pStyle w:val="Compact"/>
              <w:jc w:val="left"/>
            </w:pPr>
            <w:r>
              <w:rPr>
                <w:sz w:val="22"/>
              </w:rPr>
              <w:t xml:space="preserve">Cultural / Values Transformation Lifecycle</w:t>
            </w:r>
          </w:p>
        </w:tc>
        <w:tc>
          <w:tcPr/>
          <w:p>
            <w:pPr>
              <w:pStyle w:val="Compact"/>
              <w:jc w:val="left"/>
            </w:pPr>
            <w:r>
              <w:rPr>
                <w:sz w:val="22"/>
              </w:rPr>
              <w:t xml:space="preserve">Transformation type</w:t>
            </w:r>
          </w:p>
        </w:tc>
        <w:tc>
          <w:tcPr/>
          <w:p>
            <w:pPr>
              <w:pStyle w:val="Compact"/>
              <w:jc w:val="left"/>
            </w:pPr>
            <w:r>
              <w:rPr>
                <w:sz w:val="22"/>
              </w:rPr>
              <w:t xml:space="preserve">One Bouregreg: Post-Acquisition Culture Integration</w:t>
            </w:r>
          </w:p>
        </w:tc>
      </w:tr>
      <w:tr>
        <w:trPr>
          <w:cantSplit/>
        </w:trPr>
        <w:tc>
          <w:tcPr/>
          <w:p>
            <w:pPr>
              <w:pStyle w:val="Compact"/>
              <w:jc w:val="left"/>
            </w:pPr>
            <w:r>
              <w:rPr>
                <w:sz w:val="22"/>
              </w:rPr>
              <w:t xml:space="preserve">E2E-OM</w:t>
            </w:r>
          </w:p>
        </w:tc>
        <w:tc>
          <w:tcPr/>
          <w:p>
            <w:pPr>
              <w:pStyle w:val="Compact"/>
              <w:jc w:val="left"/>
            </w:pPr>
            <w:r>
              <w:rPr>
                <w:sz w:val="22"/>
              </w:rPr>
              <w:t xml:space="preserve">Operating Model Redesign Lifecycle</w:t>
            </w:r>
          </w:p>
        </w:tc>
        <w:tc>
          <w:tcPr/>
          <w:p>
            <w:pPr>
              <w:pStyle w:val="Compact"/>
              <w:jc w:val="left"/>
            </w:pPr>
            <w:r>
              <w:rPr>
                <w:sz w:val="22"/>
              </w:rPr>
              <w:t xml:space="preserve">Transformation type</w:t>
            </w:r>
          </w:p>
        </w:tc>
        <w:tc>
          <w:tcPr/>
          <w:p>
            <w:pPr>
              <w:pStyle w:val="Compact"/>
              <w:jc w:val="left"/>
            </w:pPr>
            <w:r>
              <w:rPr>
                <w:sz w:val="22"/>
              </w:rPr>
              <w:t xml:space="preserve">Regional Operating Model Redesign</w:t>
            </w:r>
          </w:p>
        </w:tc>
      </w:tr>
      <w:tr>
        <w:trPr>
          <w:cantSplit/>
        </w:trPr>
        <w:tc>
          <w:tcPr/>
          <w:p>
            <w:pPr>
              <w:pStyle w:val="Compact"/>
              <w:jc w:val="left"/>
            </w:pPr>
            <w:r>
              <w:rPr>
                <w:sz w:val="22"/>
              </w:rPr>
              <w:t xml:space="preserve">E2E-COMP</w:t>
            </w:r>
          </w:p>
        </w:tc>
        <w:tc>
          <w:tcPr/>
          <w:p>
            <w:pPr>
              <w:pStyle w:val="Compact"/>
              <w:jc w:val="left"/>
            </w:pPr>
            <w:r>
              <w:rPr>
                <w:sz w:val="22"/>
              </w:rPr>
              <w:t xml:space="preserve">Compliance-Driven Change Lifecycle</w:t>
            </w:r>
          </w:p>
        </w:tc>
        <w:tc>
          <w:tcPr/>
          <w:p>
            <w:pPr>
              <w:pStyle w:val="Compact"/>
              <w:jc w:val="left"/>
            </w:pPr>
            <w:r>
              <w:rPr>
                <w:sz w:val="22"/>
              </w:rPr>
              <w:t xml:space="preserve">Transformation type</w:t>
            </w:r>
          </w:p>
        </w:tc>
        <w:tc>
          <w:tcPr/>
          <w:p>
            <w:pPr>
              <w:pStyle w:val="Compact"/>
              <w:jc w:val="left"/>
            </w:pPr>
            <w:r>
              <w:rPr>
                <w:sz w:val="22"/>
              </w:rPr>
              <w:t xml:space="preserve">Loi 09-08 Data Protection Compliance Program</w:t>
            </w:r>
          </w:p>
        </w:tc>
      </w:tr>
      <w:tr>
        <w:trPr>
          <w:cantSplit/>
        </w:trPr>
        <w:tc>
          <w:tcPr/>
          <w:p>
            <w:pPr>
              <w:pStyle w:val="Compact"/>
              <w:jc w:val="left"/>
            </w:pPr>
            <w:r>
              <w:rPr>
                <w:sz w:val="22"/>
              </w:rPr>
              <w:t xml:space="preserve">E2E-TSD</w:t>
            </w:r>
          </w:p>
        </w:tc>
        <w:tc>
          <w:tcPr/>
          <w:p>
            <w:pPr>
              <w:pStyle w:val="Compact"/>
              <w:jc w:val="left"/>
            </w:pPr>
            <w:r>
              <w:rPr>
                <w:sz w:val="22"/>
              </w:rPr>
              <w:t xml:space="preserve">Training &amp; Skills Development Lifecycle</w:t>
            </w:r>
          </w:p>
        </w:tc>
        <w:tc>
          <w:tcPr/>
          <w:p>
            <w:pPr>
              <w:pStyle w:val="Compact"/>
              <w:jc w:val="left"/>
            </w:pPr>
            <w:r>
              <w:rPr>
                <w:sz w:val="22"/>
              </w:rPr>
              <w:t xml:space="preserve">Transformation type</w:t>
            </w:r>
          </w:p>
        </w:tc>
        <w:tc>
          <w:tcPr/>
          <w:p>
            <w:pPr>
              <w:pStyle w:val="Compact"/>
              <w:jc w:val="left"/>
            </w:pPr>
            <w:r>
              <w:rPr>
                <w:sz w:val="22"/>
              </w:rPr>
              <w:t xml:space="preserve">Plant Digital Skills Upskilling Program</w:t>
            </w:r>
          </w:p>
        </w:tc>
      </w:tr>
    </w:tbl>
    <w:bookmarkEnd w:id="115"/>
    <w:bookmarkStart w:id="116" w:name="a.6-glossary"/>
    <w:p>
      <w:pPr>
        <w:pStyle w:val="Heading3"/>
      </w:pPr>
      <w:r>
        <w:rPr>
          <w:b/>
          <w:color w:val="3F827B"/>
          <w:sz w:val="29"/>
        </w:rPr>
        <w:t xml:space="preserve">A.6 Glossary</w:t>
      </w:r>
    </w:p>
    <w:p>
      <w:pPr>
        <w:numPr>
          <w:ilvl w:val="0"/>
          <w:numId w:val="1023"/>
        </w:numPr>
        <w:pStyle w:val="Compact"/>
      </w:pPr>
      <w:r>
        <w:rPr>
          <w:bCs/>
          <w:b/>
          <w:sz w:val="25"/>
        </w:rPr>
        <w:t xml:space="preserve">ADKAR</w:t>
      </w:r>
      <w:r>
        <w:rPr>
          <w:sz w:val="25"/>
        </w:rPr>
        <w:t xml:space="preserve"> </w:t>
      </w:r>
      <w:r>
        <w:rPr>
          <w:sz w:val="25"/>
        </w:rPr>
        <w:t xml:space="preserve">— Prosci’s individual-change model: Awareness, Desire, Knowledge, Ability, Reinforcement.</w:t>
      </w:r>
    </w:p>
    <w:p>
      <w:pPr>
        <w:numPr>
          <w:ilvl w:val="0"/>
          <w:numId w:val="1023"/>
        </w:numPr>
        <w:pStyle w:val="Compact"/>
      </w:pPr>
      <w:r>
        <w:rPr>
          <w:bCs/>
          <w:b/>
          <w:sz w:val="25"/>
        </w:rPr>
        <w:t xml:space="preserve">Bridges’ Transition Model</w:t>
      </w:r>
      <w:r>
        <w:rPr>
          <w:sz w:val="25"/>
        </w:rPr>
        <w:t xml:space="preserve"> </w:t>
      </w:r>
      <w:r>
        <w:rPr>
          <w:sz w:val="25"/>
        </w:rPr>
        <w:t xml:space="preserve">— William Bridges’ three-stage emotional model: Ending, Neutral Zone, New Beginning.</w:t>
      </w:r>
    </w:p>
    <w:p>
      <w:pPr>
        <w:numPr>
          <w:ilvl w:val="0"/>
          <w:numId w:val="1023"/>
        </w:numPr>
        <w:pStyle w:val="Compact"/>
      </w:pPr>
      <w:r>
        <w:rPr>
          <w:bCs/>
          <w:b/>
          <w:sz w:val="25"/>
        </w:rPr>
        <w:t xml:space="preserve">Composite Readiness Index (CRI)</w:t>
      </w:r>
      <w:r>
        <w:rPr>
          <w:sz w:val="25"/>
        </w:rPr>
        <w:t xml:space="preserve"> </w:t>
      </w:r>
      <w:r>
        <w:rPr>
          <w:sz w:val="25"/>
        </w:rPr>
        <w:t xml:space="preserve">— journi’s single blended readiness number; ADKAR 50% + Kübler-Ross sentiment 25% + training completion 25%.</w:t>
      </w:r>
    </w:p>
    <w:p>
      <w:pPr>
        <w:numPr>
          <w:ilvl w:val="0"/>
          <w:numId w:val="1023"/>
        </w:numPr>
        <w:pStyle w:val="Compact"/>
      </w:pPr>
      <w:r>
        <w:rPr>
          <w:bCs/>
          <w:b/>
          <w:sz w:val="25"/>
        </w:rPr>
        <w:t xml:space="preserve">Divergence Pattern Detector</w:t>
      </w:r>
      <w:r>
        <w:rPr>
          <w:sz w:val="25"/>
        </w:rPr>
        <w:t xml:space="preserve"> </w:t>
      </w:r>
      <w:r>
        <w:rPr>
          <w:sz w:val="25"/>
        </w:rPr>
        <w:t xml:space="preserve">— journi’s automated check for a cohort whose demonstrated capability (Knowledge/Ability) has outpaced their emotional transition (Bridges still</w:t>
      </w:r>
      <w:r>
        <w:rPr>
          <w:sz w:val="25"/>
        </w:rPr>
        <w:t xml:space="preserve"> </w:t>
      </w:r>
      <w:r>
        <w:rPr>
          <w:sz w:val="25"/>
        </w:rPr>
        <w:t xml:space="preserve">“</w:t>
      </w:r>
      <w:r>
        <w:rPr>
          <w:sz w:val="25"/>
        </w:rPr>
        <w:t xml:space="preserve">Ending</w:t>
      </w:r>
      <w:r>
        <w:rPr>
          <w:sz w:val="25"/>
        </w:rPr>
        <w:t xml:space="preserve">”</w:t>
      </w:r>
      <w:r>
        <w:rPr>
          <w:sz w:val="25"/>
        </w:rPr>
        <w:t xml:space="preserve">); surfaces as ALT-001.</w:t>
      </w:r>
    </w:p>
    <w:p>
      <w:pPr>
        <w:numPr>
          <w:ilvl w:val="0"/>
          <w:numId w:val="1023"/>
        </w:numPr>
        <w:pStyle w:val="Compact"/>
      </w:pPr>
      <w:r>
        <w:rPr>
          <w:bCs/>
          <w:b/>
          <w:sz w:val="25"/>
        </w:rPr>
        <w:t xml:space="preserve">E2E</w:t>
      </w:r>
      <w:r>
        <w:rPr>
          <w:sz w:val="25"/>
        </w:rPr>
        <w:t xml:space="preserve"> </w:t>
      </w:r>
      <w:r>
        <w:rPr>
          <w:sz w:val="25"/>
        </w:rPr>
        <w:t xml:space="preserve">— End-to-End (process chain), registered on M18.</w:t>
      </w:r>
    </w:p>
    <w:p>
      <w:pPr>
        <w:numPr>
          <w:ilvl w:val="0"/>
          <w:numId w:val="1023"/>
        </w:numPr>
        <w:pStyle w:val="Compact"/>
      </w:pPr>
      <w:r>
        <w:rPr>
          <w:bCs/>
          <w:b/>
          <w:sz w:val="25"/>
        </w:rPr>
        <w:t xml:space="preserve">Kübler-Ross Change Curve</w:t>
      </w:r>
      <w:r>
        <w:rPr>
          <w:sz w:val="25"/>
        </w:rPr>
        <w:t xml:space="preserve"> </w:t>
      </w:r>
      <w:r>
        <w:rPr>
          <w:sz w:val="25"/>
        </w:rPr>
        <w:t xml:space="preserve">— as implemented in journi, a simplified four-stage sentiment model: Denial, Resistance/Anger, Exploration, Commitment.</w:t>
      </w:r>
    </w:p>
    <w:p>
      <w:pPr>
        <w:numPr>
          <w:ilvl w:val="0"/>
          <w:numId w:val="1023"/>
        </w:numPr>
        <w:pStyle w:val="Compact"/>
      </w:pPr>
      <w:r>
        <w:rPr>
          <w:bCs/>
          <w:b/>
          <w:sz w:val="25"/>
        </w:rPr>
        <w:t xml:space="preserve">Lewin’s Change Model</w:t>
      </w:r>
      <w:r>
        <w:rPr>
          <w:sz w:val="25"/>
        </w:rPr>
        <w:t xml:space="preserve"> </w:t>
      </w:r>
      <w:r>
        <w:rPr>
          <w:sz w:val="25"/>
        </w:rPr>
        <w:t xml:space="preserve">— Kurt Lewin’s organizational three-stage model: Unfreeze, Change, Refreeze.</w:t>
      </w:r>
    </w:p>
    <w:p>
      <w:pPr>
        <w:numPr>
          <w:ilvl w:val="0"/>
          <w:numId w:val="1023"/>
        </w:numPr>
        <w:pStyle w:val="Compact"/>
      </w:pPr>
      <w:r>
        <w:rPr>
          <w:bCs/>
          <w:b/>
          <w:sz w:val="25"/>
        </w:rPr>
        <w:t xml:space="preserve">MP</w:t>
      </w:r>
      <w:r>
        <w:rPr>
          <w:sz w:val="25"/>
        </w:rPr>
        <w:t xml:space="preserve"> </w:t>
      </w:r>
      <w:r>
        <w:rPr>
          <w:sz w:val="25"/>
        </w:rPr>
        <w:t xml:space="preserve">— Macro Process (one of journi’s 10 registered process categories, MP-01 through MP-10).</w:t>
      </w:r>
    </w:p>
    <w:p>
      <w:pPr>
        <w:numPr>
          <w:ilvl w:val="0"/>
          <w:numId w:val="1023"/>
        </w:numPr>
        <w:pStyle w:val="Compact"/>
      </w:pPr>
      <w:r>
        <w:rPr>
          <w:bCs/>
          <w:b/>
          <w:sz w:val="25"/>
        </w:rPr>
        <w:t xml:space="preserve">RACSI</w:t>
      </w:r>
      <w:r>
        <w:rPr>
          <w:sz w:val="25"/>
        </w:rPr>
        <w:t xml:space="preserve"> </w:t>
      </w:r>
      <w:r>
        <w:rPr>
          <w:sz w:val="25"/>
        </w:rPr>
        <w:t xml:space="preserve">— journi’s seven-role responsibility grid; see A.2.</w:t>
      </w:r>
    </w:p>
    <w:p>
      <w:pPr>
        <w:numPr>
          <w:ilvl w:val="0"/>
          <w:numId w:val="1023"/>
        </w:numPr>
        <w:pStyle w:val="Compact"/>
      </w:pPr>
      <w:r>
        <w:rPr>
          <w:bCs/>
          <w:b/>
          <w:sz w:val="25"/>
        </w:rPr>
        <w:t xml:space="preserve">SIPOC</w:t>
      </w:r>
      <w:r>
        <w:rPr>
          <w:sz w:val="25"/>
        </w:rPr>
        <w:t xml:space="preserve"> </w:t>
      </w:r>
      <w:r>
        <w:rPr>
          <w:sz w:val="25"/>
        </w:rPr>
        <w:t xml:space="preserve">— Suppliers, Inputs, Process, Outputs, Customers — the process-mapping frame used throughout Part 1B and Part 3.</w:t>
      </w:r>
    </w:p>
    <w:p>
      <w:pPr>
        <w:numPr>
          <w:ilvl w:val="0"/>
          <w:numId w:val="1023"/>
        </w:numPr>
        <w:pStyle w:val="Compact"/>
      </w:pPr>
      <w:r>
        <w:rPr>
          <w:bCs/>
          <w:b/>
          <w:sz w:val="25"/>
        </w:rPr>
        <w:t xml:space="preserve">TPL-ERP-8</w:t>
      </w:r>
      <w:r>
        <w:rPr>
          <w:sz w:val="25"/>
        </w:rPr>
        <w:t xml:space="preserve"> </w:t>
      </w:r>
      <w:r>
        <w:rPr>
          <w:sz w:val="25"/>
        </w:rPr>
        <w:t xml:space="preserve">— journi’s 8-phase ERP implementation Phase Template (M17): Discovery, Design, Build, Test, Train, Deploy, Hypercare, Sustain.</w:t>
      </w:r>
    </w:p>
    <w:p>
      <w:pPr>
        <w:numPr>
          <w:ilvl w:val="0"/>
          <w:numId w:val="1023"/>
        </w:numPr>
        <w:pStyle w:val="Compact"/>
      </w:pPr>
      <w:r>
        <w:rPr>
          <w:bCs/>
          <w:b/>
          <w:sz w:val="25"/>
        </w:rPr>
        <w:t xml:space="preserve">WBS</w:t>
      </w:r>
      <w:r>
        <w:rPr>
          <w:sz w:val="25"/>
        </w:rPr>
        <w:t xml:space="preserve"> </w:t>
      </w:r>
      <w:r>
        <w:rPr>
          <w:sz w:val="25"/>
        </w:rPr>
        <w:t xml:space="preserve">— Work Breakdown Structure, M17’s combined Project Management / Change Management schedule.</w:t>
      </w:r>
    </w:p>
    <w:p>
      <w:pPr>
        <w:pStyle w:val="FirstParagraph"/>
      </w:pPr>
    </w:p>
    <w:bookmarkEnd w:id="116"/>
    <w:bookmarkStart w:id="117" w:name="a.7-a-worked-racsi-grid-example-m18"/>
    <w:p>
      <w:pPr>
        <w:pStyle w:val="Heading3"/>
      </w:pPr>
      <w:r>
        <w:rPr>
          <w:b/>
          <w:color w:val="3F827B"/>
          <w:sz w:val="29"/>
        </w:rPr>
        <w:t xml:space="preserve">A.7 A Worked RACSI Grid Example (M18)</w:t>
      </w:r>
    </w:p>
    <w:p>
      <w:pPr>
        <w:pStyle w:val="FirstParagraph"/>
      </w:pPr>
      <w:r>
        <w:rPr>
          <w:sz w:val="25"/>
        </w:rPr>
        <w:t xml:space="preserve">The RACSI grid on M18 assigns one set of R/A/C/S/I roles per macro process, platform-wide — editable cell by cell by whoever holds that capability (by default, Org-Admin-and-above). The excerpt below shows how Bouregreg Group’s Org Admin, Meryem Sabri, filled in the first five of the ten macro processes after Part 1’s tenant setup, before Part 1B’s program began: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cantSplit/>
        </w:trPr>
        <w:tc>
          <w:tcPr>
            <w:shd w:val="clear" w:fill="1F4B45"/>
          </w:tcPr>
          <w:p>
            <w:pPr>
              <w:pStyle w:val="Compact"/>
              <w:jc w:val="left"/>
            </w:pPr>
            <w:r>
              <w:rPr>
                <w:b/>
                <w:color w:val="FFFFFF"/>
                <w:sz w:val="22"/>
              </w:rPr>
              <w:t xml:space="preserve">Macro Process</w:t>
            </w:r>
          </w:p>
        </w:tc>
        <w:tc>
          <w:tcPr>
            <w:shd w:val="clear" w:fill="1F4B45"/>
          </w:tcPr>
          <w:p>
            <w:pPr>
              <w:pStyle w:val="Compact"/>
              <w:jc w:val="left"/>
            </w:pPr>
            <w:r>
              <w:rPr>
                <w:b/>
                <w:color w:val="FFFFFF"/>
                <w:sz w:val="22"/>
              </w:rPr>
              <w:t xml:space="preserve">R (Responsible)</w:t>
            </w:r>
          </w:p>
        </w:tc>
        <w:tc>
          <w:tcPr>
            <w:shd w:val="clear" w:fill="1F4B45"/>
          </w:tcPr>
          <w:p>
            <w:pPr>
              <w:pStyle w:val="Compact"/>
              <w:jc w:val="left"/>
            </w:pPr>
            <w:r>
              <w:rPr>
                <w:b/>
                <w:color w:val="FFFFFF"/>
                <w:sz w:val="22"/>
              </w:rPr>
              <w:t xml:space="preserve">A (Accountable)</w:t>
            </w:r>
          </w:p>
        </w:tc>
        <w:tc>
          <w:tcPr>
            <w:shd w:val="clear" w:fill="1F4B45"/>
          </w:tcPr>
          <w:p>
            <w:pPr>
              <w:pStyle w:val="Compact"/>
              <w:jc w:val="left"/>
            </w:pPr>
            <w:r>
              <w:rPr>
                <w:b/>
                <w:color w:val="FFFFFF"/>
                <w:sz w:val="22"/>
              </w:rPr>
              <w:t xml:space="preserve">C (Consulted)</w:t>
            </w:r>
          </w:p>
        </w:tc>
        <w:tc>
          <w:tcPr>
            <w:shd w:val="clear" w:fill="1F4B45"/>
          </w:tcPr>
          <w:p>
            <w:pPr>
              <w:pStyle w:val="Compact"/>
              <w:jc w:val="left"/>
            </w:pPr>
            <w:r>
              <w:rPr>
                <w:b/>
                <w:color w:val="FFFFFF"/>
                <w:sz w:val="22"/>
              </w:rPr>
              <w:t xml:space="preserve">S (Support)</w:t>
            </w:r>
          </w:p>
        </w:tc>
        <w:tc>
          <w:tcPr>
            <w:shd w:val="clear" w:fill="1F4B45"/>
          </w:tcPr>
          <w:p>
            <w:pPr>
              <w:pStyle w:val="Compact"/>
              <w:jc w:val="left"/>
            </w:pPr>
            <w:r>
              <w:rPr>
                <w:b/>
                <w:color w:val="FFFFFF"/>
                <w:sz w:val="22"/>
              </w:rPr>
              <w:t xml:space="preserve">I (Informed)</w:t>
            </w:r>
          </w:p>
        </w:tc>
      </w:tr>
      <w:tr>
        <w:trPr>
          <w:cantSplit/>
        </w:trPr>
        <w:tc>
          <w:tcPr/>
          <w:p>
            <w:pPr>
              <w:pStyle w:val="Compact"/>
              <w:jc w:val="left"/>
            </w:pPr>
            <w:r>
              <w:rPr>
                <w:sz w:val="22"/>
              </w:rPr>
              <w:t xml:space="preserve">MP-01 Change Impact &amp; Stakeholder Assessment</w:t>
            </w:r>
          </w:p>
        </w:tc>
        <w:tc>
          <w:tcPr/>
          <w:p>
            <w:pPr>
              <w:pStyle w:val="Compact"/>
              <w:jc w:val="left"/>
            </w:pPr>
            <w:r>
              <w:rPr>
                <w:sz w:val="22"/>
              </w:rPr>
              <w:t xml:space="preserve">PM, FPO</w:t>
            </w:r>
          </w:p>
        </w:tc>
        <w:tc>
          <w:tcPr/>
          <w:p>
            <w:pPr>
              <w:pStyle w:val="Compact"/>
              <w:jc w:val="left"/>
            </w:pPr>
            <w:r>
              <w:rPr>
                <w:sz w:val="22"/>
              </w:rPr>
              <w:t xml:space="preserve">ES</w:t>
            </w:r>
          </w:p>
        </w:tc>
        <w:tc>
          <w:tcPr/>
          <w:p>
            <w:pPr>
              <w:pStyle w:val="Compact"/>
              <w:jc w:val="left"/>
            </w:pPr>
            <w:r>
              <w:rPr>
                <w:sz w:val="22"/>
              </w:rPr>
              <w:t xml:space="preserve">CM</w:t>
            </w:r>
          </w:p>
        </w:tc>
        <w:tc>
          <w:tcPr/>
          <w:p>
            <w:pPr>
              <w:pStyle w:val="Compact"/>
              <w:jc w:val="left"/>
            </w:pPr>
            <w:r>
              <w:rPr>
                <w:sz w:val="22"/>
              </w:rPr>
              <w:t xml:space="preserve">SUP</w:t>
            </w:r>
          </w:p>
        </w:tc>
        <w:tc>
          <w:tcPr/>
          <w:p>
            <w:pPr>
              <w:pStyle w:val="Compact"/>
              <w:jc w:val="left"/>
            </w:pPr>
            <w:r>
              <w:rPr>
                <w:sz w:val="22"/>
              </w:rPr>
              <w:t xml:space="preserve">EU</w:t>
            </w:r>
          </w:p>
        </w:tc>
      </w:tr>
      <w:tr>
        <w:trPr>
          <w:cantSplit/>
        </w:trPr>
        <w:tc>
          <w:tcPr/>
          <w:p>
            <w:pPr>
              <w:pStyle w:val="Compact"/>
              <w:jc w:val="left"/>
            </w:pPr>
            <w:r>
              <w:rPr>
                <w:sz w:val="22"/>
              </w:rPr>
              <w:t xml:space="preserve">MP-02 Sponsorship &amp; Governance Management</w:t>
            </w:r>
          </w:p>
        </w:tc>
        <w:tc>
          <w:tcPr/>
          <w:p>
            <w:pPr>
              <w:pStyle w:val="Compact"/>
              <w:jc w:val="left"/>
            </w:pPr>
            <w:r>
              <w:rPr>
                <w:sz w:val="22"/>
              </w:rPr>
              <w:t xml:space="preserve">CM</w:t>
            </w:r>
          </w:p>
        </w:tc>
        <w:tc>
          <w:tcPr/>
          <w:p>
            <w:pPr>
              <w:pStyle w:val="Compact"/>
              <w:jc w:val="left"/>
            </w:pPr>
            <w:r>
              <w:rPr>
                <w:sz w:val="22"/>
              </w:rPr>
              <w:t xml:space="preserve">ES</w:t>
            </w:r>
          </w:p>
        </w:tc>
        <w:tc>
          <w:tcPr/>
          <w:p>
            <w:pPr>
              <w:pStyle w:val="Compact"/>
              <w:jc w:val="left"/>
            </w:pPr>
            <w:r>
              <w:rPr>
                <w:sz w:val="22"/>
              </w:rPr>
              <w:t xml:space="preserve">PM</w:t>
            </w:r>
          </w:p>
        </w:tc>
        <w:tc>
          <w:tcPr/>
          <w:p>
            <w:pPr>
              <w:pStyle w:val="Compact"/>
              <w:jc w:val="left"/>
            </w:pPr>
            <w:r>
              <w:rPr>
                <w:sz w:val="22"/>
              </w:rPr>
              <w:t xml:space="preserve">SUP</w:t>
            </w:r>
          </w:p>
        </w:tc>
        <w:tc>
          <w:tcPr/>
          <w:p>
            <w:pPr>
              <w:pStyle w:val="Compact"/>
              <w:jc w:val="left"/>
            </w:pPr>
            <w:r>
              <w:rPr>
                <w:sz w:val="22"/>
              </w:rPr>
              <w:t xml:space="preserve">EU</w:t>
            </w:r>
          </w:p>
        </w:tc>
      </w:tr>
      <w:tr>
        <w:trPr>
          <w:cantSplit/>
        </w:trPr>
        <w:tc>
          <w:tcPr/>
          <w:p>
            <w:pPr>
              <w:pStyle w:val="Compact"/>
              <w:jc w:val="left"/>
            </w:pPr>
            <w:r>
              <w:rPr>
                <w:sz w:val="22"/>
              </w:rPr>
              <w:t xml:space="preserve">MP-03 Communication &amp; Awareness Management</w:t>
            </w:r>
          </w:p>
        </w:tc>
        <w:tc>
          <w:tcPr/>
          <w:p>
            <w:pPr>
              <w:pStyle w:val="Compact"/>
              <w:jc w:val="left"/>
            </w:pPr>
            <w:r>
              <w:rPr>
                <w:sz w:val="22"/>
              </w:rPr>
              <w:t xml:space="preserve">CM</w:t>
            </w:r>
          </w:p>
        </w:tc>
        <w:tc>
          <w:tcPr/>
          <w:p>
            <w:pPr>
              <w:pStyle w:val="Compact"/>
              <w:jc w:val="left"/>
            </w:pPr>
            <w:r>
              <w:rPr>
                <w:sz w:val="22"/>
              </w:rPr>
              <w:t xml:space="preserve">CM</w:t>
            </w:r>
          </w:p>
        </w:tc>
        <w:tc>
          <w:tcPr/>
          <w:p>
            <w:pPr>
              <w:pStyle w:val="Compact"/>
              <w:jc w:val="left"/>
            </w:pPr>
            <w:r>
              <w:rPr>
                <w:sz w:val="22"/>
              </w:rPr>
              <w:t xml:space="preserve">FPO</w:t>
            </w:r>
          </w:p>
        </w:tc>
        <w:tc>
          <w:tcPr/>
          <w:p>
            <w:pPr>
              <w:pStyle w:val="Compact"/>
              <w:jc w:val="left"/>
            </w:pPr>
            <w:r>
              <w:rPr>
                <w:sz w:val="22"/>
              </w:rPr>
              <w:t xml:space="preserve">SUP</w:t>
            </w:r>
          </w:p>
        </w:tc>
        <w:tc>
          <w:tcPr/>
          <w:p>
            <w:pPr>
              <w:pStyle w:val="Compact"/>
              <w:jc w:val="left"/>
            </w:pPr>
            <w:r>
              <w:rPr>
                <w:sz w:val="22"/>
              </w:rPr>
              <w:t xml:space="preserve">EU, ES</w:t>
            </w:r>
          </w:p>
        </w:tc>
      </w:tr>
      <w:tr>
        <w:trPr>
          <w:cantSplit/>
        </w:trPr>
        <w:tc>
          <w:tcPr/>
          <w:p>
            <w:pPr>
              <w:pStyle w:val="Compact"/>
              <w:jc w:val="left"/>
            </w:pPr>
            <w:r>
              <w:rPr>
                <w:sz w:val="22"/>
              </w:rPr>
              <w:t xml:space="preserve">MP-04 Resistance &amp; Barrier Management</w:t>
            </w:r>
          </w:p>
        </w:tc>
        <w:tc>
          <w:tcPr/>
          <w:p>
            <w:pPr>
              <w:pStyle w:val="Compact"/>
              <w:jc w:val="left"/>
            </w:pPr>
            <w:r>
              <w:rPr>
                <w:sz w:val="22"/>
              </w:rPr>
              <w:t xml:space="preserve">CM</w:t>
            </w:r>
          </w:p>
        </w:tc>
        <w:tc>
          <w:tcPr/>
          <w:p>
            <w:pPr>
              <w:pStyle w:val="Compact"/>
              <w:jc w:val="left"/>
            </w:pPr>
            <w:r>
              <w:rPr>
                <w:sz w:val="22"/>
              </w:rPr>
              <w:t xml:space="preserve">CM</w:t>
            </w:r>
          </w:p>
        </w:tc>
        <w:tc>
          <w:tcPr/>
          <w:p>
            <w:pPr>
              <w:pStyle w:val="Compact"/>
              <w:jc w:val="left"/>
            </w:pPr>
            <w:r>
              <w:rPr>
                <w:sz w:val="22"/>
              </w:rPr>
              <w:t xml:space="preserve">ES, SUP</w:t>
            </w:r>
          </w:p>
        </w:tc>
        <w:tc>
          <w:tcPr/>
          <w:p>
            <w:pPr>
              <w:pStyle w:val="Compact"/>
              <w:jc w:val="left"/>
            </w:pPr>
            <w:r>
              <w:rPr>
                <w:sz w:val="22"/>
              </w:rPr>
              <w:t xml:space="preserve">PM</w:t>
            </w:r>
          </w:p>
        </w:tc>
        <w:tc>
          <w:tcPr/>
          <w:p>
            <w:pPr>
              <w:pStyle w:val="Compact"/>
              <w:jc w:val="left"/>
            </w:pPr>
            <w:r>
              <w:rPr>
                <w:sz w:val="22"/>
              </w:rPr>
              <w:t xml:space="preserve">FPO, EU</w:t>
            </w:r>
          </w:p>
        </w:tc>
      </w:tr>
      <w:tr>
        <w:trPr>
          <w:cantSplit/>
        </w:trPr>
        <w:tc>
          <w:tcPr/>
          <w:p>
            <w:pPr>
              <w:pStyle w:val="Compact"/>
              <w:jc w:val="left"/>
            </w:pPr>
            <w:r>
              <w:rPr>
                <w:sz w:val="22"/>
              </w:rPr>
              <w:t xml:space="preserve">MP-05 Training &amp; Capability Enablement</w:t>
            </w:r>
          </w:p>
        </w:tc>
        <w:tc>
          <w:tcPr/>
          <w:p>
            <w:pPr>
              <w:pStyle w:val="Compact"/>
              <w:jc w:val="left"/>
            </w:pPr>
            <w:r>
              <w:rPr>
                <w:sz w:val="22"/>
              </w:rPr>
              <w:t xml:space="preserve">CM, SUP</w:t>
            </w:r>
          </w:p>
        </w:tc>
        <w:tc>
          <w:tcPr/>
          <w:p>
            <w:pPr>
              <w:pStyle w:val="Compact"/>
              <w:jc w:val="left"/>
            </w:pPr>
            <w:r>
              <w:rPr>
                <w:sz w:val="22"/>
              </w:rPr>
              <w:t xml:space="preserve">CM</w:t>
            </w:r>
          </w:p>
        </w:tc>
        <w:tc>
          <w:tcPr/>
          <w:p>
            <w:pPr>
              <w:pStyle w:val="Compact"/>
              <w:jc w:val="left"/>
            </w:pPr>
            <w:r>
              <w:rPr>
                <w:sz w:val="22"/>
              </w:rPr>
              <w:t xml:space="preserve">FPO</w:t>
            </w:r>
          </w:p>
        </w:tc>
        <w:tc>
          <w:tcPr/>
          <w:p>
            <w:pPr>
              <w:pStyle w:val="Compact"/>
              <w:jc w:val="left"/>
            </w:pPr>
            <w:r>
              <w:rPr>
                <w:sz w:val="22"/>
              </w:rPr>
              <w:t xml:space="preserve">PM</w:t>
            </w:r>
          </w:p>
        </w:tc>
        <w:tc>
          <w:tcPr/>
          <w:p>
            <w:pPr>
              <w:pStyle w:val="Compact"/>
              <w:jc w:val="left"/>
            </w:pPr>
            <w:r>
              <w:rPr>
                <w:sz w:val="22"/>
              </w:rPr>
              <w:t xml:space="preserve">ES, EU</w:t>
            </w:r>
          </w:p>
        </w:tc>
      </w:tr>
    </w:tbl>
    <w:p>
      <w:pPr>
        <w:pStyle w:val="BodyText"/>
      </w:pPr>
      <w:r>
        <w:rPr>
          <w:sz w:val="25"/>
        </w:rPr>
        <w:t xml:space="preserve">Two things this excerpt is meant to make concrete rather than abstract: first, the Accountable role is not always the Executive Sponsor — MP-03 through MP-05 name the Change Manager Accountable, since the CFO is Consulted or Informed on communications and training decisions rather than personally accountable for them. Second, the same role can appear in more than one column for the same process only if it is Responsible alongside another Responsible role (M18’s own rule, matching A.2) — Accountable is always exactly one role, with no exception anywhere in this grid.</w:t>
      </w:r>
    </w:p>
    <w:p>
      <w:pPr>
        <w:pStyle w:val="BodyText"/>
      </w:pPr>
    </w:p>
    <w:bookmarkEnd w:id="117"/>
    <w:bookmarkStart w:id="118" w:name="a.8-sample-journi-entries"/>
    <w:p>
      <w:pPr>
        <w:pStyle w:val="Heading3"/>
      </w:pPr>
      <w:r>
        <w:rPr>
          <w:b/>
          <w:color w:val="3F827B"/>
          <w:sz w:val="29"/>
        </w:rPr>
        <w:t xml:space="preserve">A.8 Sample journi Entries</w:t>
      </w:r>
    </w:p>
    <w:p>
      <w:pPr>
        <w:pStyle w:val="FirstParagraph"/>
      </w:pPr>
      <w:r>
        <w:rPr>
          <w:sz w:val="25"/>
        </w:rPr>
        <w:t xml:space="preserve">The snippets below are the kind of text a Change Manager actually types into journi’s justification and note fields — included here so a first-time user isn’t staring at a blank field wondering what</w:t>
      </w:r>
      <w:r>
        <w:rPr>
          <w:sz w:val="25"/>
        </w:rPr>
        <w:t xml:space="preserve"> </w:t>
      </w:r>
      <w:r>
        <w:rPr>
          <w:sz w:val="25"/>
        </w:rPr>
        <w:t xml:space="preserve">“</w:t>
      </w:r>
      <w:r>
        <w:rPr>
          <w:sz w:val="25"/>
        </w:rPr>
        <w:t xml:space="preserve">good</w:t>
      </w:r>
      <w:r>
        <w:rPr>
          <w:sz w:val="25"/>
        </w:rPr>
        <w:t xml:space="preserve">”</w:t>
      </w:r>
      <w:r>
        <w:rPr>
          <w:sz w:val="25"/>
        </w:rPr>
        <w:t xml:space="preserve"> </w:t>
      </w:r>
      <w:r>
        <w:rPr>
          <w:sz w:val="25"/>
        </w:rPr>
        <w:t xml:space="preserve">looks like.</w:t>
      </w:r>
    </w:p>
    <w:p>
      <w:pPr>
        <w:pStyle w:val="BodyText"/>
      </w:pPr>
      <w:r>
        <w:rPr>
          <w:bCs/>
          <w:b/>
          <w:sz w:val="25"/>
        </w:rPr>
        <w:t xml:space="preserve">A Lewin phase-call justification (M3, Phase 3 — Build, Part 1B.3):</w:t>
      </w:r>
      <w:r>
        <w:rPr>
          <w:sz w:val="25"/>
        </w:rPr>
        <w:t xml:space="preserve"> </w:t>
      </w:r>
      <w:r>
        <w:rPr>
          <w:iCs/>
          <w:i/>
          <w:sz w:val="25"/>
        </w:rPr>
        <w:t xml:space="preserve">“</w:t>
      </w:r>
      <w:r>
        <w:rPr>
          <w:iCs/>
          <w:i/>
          <w:sz w:val="25"/>
        </w:rPr>
        <w:t xml:space="preserve">Moving Unfreeze → Change. Configuration sprints 1–4 complete against approved design principles; Desire trending upward across Casablanca and Kenitra (Settat’s Desire stall resolved per the Month 5–6 sponsor intervention, see Exception E1 log). Evidence reviewed with Steering Committee 14 [date]; no dissent recorded.</w:t>
      </w:r>
      <w:r>
        <w:rPr>
          <w:iCs/>
          <w:i/>
          <w:sz w:val="25"/>
        </w:rPr>
        <w:t xml:space="preserve">”</w:t>
      </w:r>
    </w:p>
    <w:p>
      <w:pPr>
        <w:pStyle w:val="BodyText"/>
      </w:pPr>
      <w:r>
        <w:rPr>
          <w:bCs/>
          <w:b/>
          <w:sz w:val="25"/>
        </w:rPr>
        <w:t xml:space="preserve">An ADKAR barrier-reason note (M5, auto-escalated at Desire = 2, Exception E1):</w:t>
      </w:r>
      <w:r>
        <w:rPr>
          <w:sz w:val="25"/>
        </w:rPr>
        <w:t xml:space="preserve"> </w:t>
      </w:r>
      <w:r>
        <w:rPr>
          <w:iCs/>
          <w:i/>
          <w:sz w:val="25"/>
        </w:rPr>
        <w:t xml:space="preserve">“</w:t>
      </w:r>
      <w:r>
        <w:rPr>
          <w:iCs/>
          <w:i/>
          <w:sz w:val="25"/>
        </w:rPr>
        <w:t xml:space="preserve">Settat plant-floor cohort, Desire = 2. Listening session (12 [date]) surfaced two themes: (1) low visibility into what the new inventory workflow looks like on Line 2 specifically; (2) unresolved concern about post-go-live staffing levels. Theme 2 confirmed as primary driver. Escalated to CFO for direct response — see E1 recovery Task 3.</w:t>
      </w:r>
      <w:r>
        <w:rPr>
          <w:iCs/>
          <w:i/>
          <w:sz w:val="25"/>
        </w:rPr>
        <w:t xml:space="preserve">”</w:t>
      </w:r>
    </w:p>
    <w:p>
      <w:pPr>
        <w:pStyle w:val="BodyText"/>
      </w:pPr>
      <w:r>
        <w:rPr>
          <w:bCs/>
          <w:b/>
          <w:sz w:val="25"/>
        </w:rPr>
        <w:t xml:space="preserve">A Communications entry (M8, Phase 6 — Deploy):</w:t>
      </w:r>
      <w:r>
        <w:rPr>
          <w:sz w:val="25"/>
        </w:rPr>
        <w:t xml:space="preserve"> </w:t>
      </w:r>
      <w:r>
        <w:rPr>
          <w:iCs/>
          <w:i/>
          <w:sz w:val="25"/>
        </w:rPr>
        <w:t xml:space="preserve">“</w:t>
      </w:r>
      <w:r>
        <w:rPr>
          <w:iCs/>
          <w:i/>
          <w:sz w:val="25"/>
        </w:rPr>
        <w:t xml:space="preserve">Go-live confirmation — all sites. Audience: all 3,400 staff. Channel: email + site noticeboards + supervisor cascade. Timing: Monday W43, 07:00, ahead of first shift. Checked against saturation detection — no other queued communication this week.</w:t>
      </w:r>
      <w:r>
        <w:rPr>
          <w:iCs/>
          <w:i/>
          <w:sz w:val="25"/>
        </w:rPr>
        <w:t xml:space="preserve">”</w:t>
      </w:r>
    </w:p>
    <w:p>
      <w:pPr>
        <w:pStyle w:val="BodyText"/>
      </w:pPr>
      <w:r>
        <w:rPr>
          <w:bCs/>
          <w:b/>
          <w:sz w:val="25"/>
        </w:rPr>
        <w:t xml:space="preserve">A Charter compliance-log entry (M19, Sponsor Charter):</w:t>
      </w:r>
      <w:r>
        <w:rPr>
          <w:sz w:val="25"/>
        </w:rPr>
        <w:t xml:space="preserve"> </w:t>
      </w:r>
      <w:r>
        <w:rPr>
          <w:iCs/>
          <w:i/>
          <w:sz w:val="25"/>
        </w:rPr>
        <w:t xml:space="preserve">“</w:t>
      </w:r>
      <w:r>
        <w:rPr>
          <w:iCs/>
          <w:i/>
          <w:sz w:val="25"/>
        </w:rPr>
        <w:t xml:space="preserve">CFO delivered Q2 town hall in person at all three sites (Casablanca 14 [date], Kenitra 15 [date], Settat 16 [date]). Visible sponsorship action logged against Sponsor Charter standard 1 (active, visible commitment). Cross-referenced to M7 sponsor roadmap action #4.</w:t>
      </w:r>
      <w:r>
        <w:rPr>
          <w:iCs/>
          <w:i/>
          <w:sz w:val="25"/>
        </w:rPr>
        <w:t xml:space="preserve">”</w:t>
      </w:r>
    </w:p>
    <w:p>
      <w:pPr>
        <w:pStyle w:val="BodyText"/>
      </w:pPr>
      <w:r>
        <w:rPr>
          <w:bCs/>
          <w:b/>
          <w:sz w:val="25"/>
        </w:rPr>
        <w:t xml:space="preserve">A Sustainment checkpoint note (M12, 90-day checkpoint, Exception E5):</w:t>
      </w:r>
      <w:r>
        <w:rPr>
          <w:sz w:val="25"/>
        </w:rPr>
        <w:t xml:space="preserve"> </w:t>
      </w:r>
      <w:r>
        <w:rPr>
          <w:iCs/>
          <w:i/>
          <w:sz w:val="25"/>
        </w:rPr>
        <w:t xml:space="preserve">“</w:t>
      </w:r>
      <w:r>
        <w:rPr>
          <w:iCs/>
          <w:i/>
          <w:sz w:val="25"/>
        </w:rPr>
        <w:t xml:space="preserve">Reinforcement score 2.6, below the 3.0 target. Root cause: manager check-ins tapered off after the 60-day checkpoint once daily hypercare tracking ended. Remediation: CFO re-authorized a further checkpoint cadence at 105 and 120 days; champion network re-chartered for reinforcement specifically. Refreeze call delayed pending two consecutive healthy checkpoints.</w:t>
      </w:r>
      <w:r>
        <w:rPr>
          <w:iCs/>
          <w:i/>
          <w:sz w:val="25"/>
        </w:rPr>
        <w:t xml:space="preserve">”</w:t>
      </w:r>
    </w:p>
    <w:p>
      <w:pPr>
        <w:pStyle w:val="BodyText"/>
      </w:pPr>
    </w:p>
    <w:bookmarkEnd w:id="118"/>
    <w:bookmarkStart w:id="119" w:name="a.9-frequently-asked-questions"/>
    <w:p>
      <w:pPr>
        <w:pStyle w:val="Heading3"/>
      </w:pPr>
      <w:r>
        <w:rPr>
          <w:b/>
          <w:color w:val="3F827B"/>
          <w:sz w:val="29"/>
        </w:rPr>
        <w:t xml:space="preserve">A.9 Frequently Asked Questions</w:t>
      </w:r>
    </w:p>
    <w:p>
      <w:pPr>
        <w:pStyle w:val="FirstParagraph"/>
      </w:pPr>
      <w:r>
        <w:rPr>
          <w:bCs/>
          <w:b/>
          <w:sz w:val="25"/>
        </w:rPr>
        <w:t xml:space="preserve">Why does journi never auto-compute a Lewin, Bridges, or Kübler-Ross reading, when it does compute the Composite Readiness Index?</w:t>
      </w:r>
      <w:r>
        <w:rPr>
          <w:sz w:val="25"/>
        </w:rPr>
        <w:t xml:space="preserve"> </w:t>
      </w:r>
      <w:r>
        <w:rPr>
          <w:sz w:val="25"/>
        </w:rPr>
        <w:t xml:space="preserve">Because those three are judgment calls about people’s actual lived experience of change, and a wrong automated inference would be worse than a human one arrived at deliberately. The Composite Readiness Index and Divergence Pattern Detector are different: both are pure arithmetic over numbers a human already logged, with no interpretive judgment involved.</w:t>
      </w:r>
    </w:p>
    <w:p>
      <w:pPr>
        <w:pStyle w:val="BodyText"/>
      </w:pPr>
      <w:r>
        <w:rPr>
          <w:bCs/>
          <w:b/>
          <w:sz w:val="25"/>
        </w:rPr>
        <w:t xml:space="preserve">If Bouregreg’s program overlaps eight other CM Projects, doesn’t ALT-008 (Change Saturation) just fire constantly and become noise?</w:t>
      </w:r>
      <w:r>
        <w:rPr>
          <w:sz w:val="25"/>
        </w:rPr>
        <w:t xml:space="preserve"> </w:t>
      </w:r>
      <w:r>
        <w:rPr>
          <w:sz w:val="25"/>
        </w:rPr>
        <w:t xml:space="preserve">It fires when a population segment is targeted by two or more</w:t>
      </w:r>
      <w:r>
        <w:rPr>
          <w:sz w:val="25"/>
        </w:rPr>
        <w:t xml:space="preserve"> </w:t>
      </w:r>
      <w:r>
        <w:rPr>
          <w:iCs/>
          <w:i/>
          <w:sz w:val="25"/>
        </w:rPr>
        <w:t xml:space="preserve">other</w:t>
      </w:r>
      <w:r>
        <w:rPr>
          <w:sz w:val="25"/>
        </w:rPr>
        <w:t xml:space="preserve"> </w:t>
      </w:r>
      <w:r>
        <w:rPr>
          <w:sz w:val="25"/>
        </w:rPr>
        <w:t xml:space="preserve">concurrent initiatives — a real signal in a nine-project portfolio, not a bug. Part 5’s escalation guidance treats it as a PMO-level review item on a 10-business-day SLA, not an urgent interrupt, which is the right severity for a genuinely common but non-critical condition.</w:t>
      </w:r>
    </w:p>
    <w:p>
      <w:pPr>
        <w:pStyle w:val="BodyText"/>
      </w:pPr>
      <w:r>
        <w:rPr>
          <w:bCs/>
          <w:b/>
          <w:sz w:val="25"/>
        </w:rPr>
        <w:t xml:space="preserve">Why does the 64-week calendar in Part 1B.2 show phases overlapping instead of running strictly one after another?</w:t>
      </w:r>
      <w:r>
        <w:rPr>
          <w:sz w:val="25"/>
        </w:rPr>
        <w:t xml:space="preserve"> </w:t>
      </w:r>
      <w:r>
        <w:rPr>
          <w:sz w:val="25"/>
        </w:rPr>
        <w:t xml:space="preserve">Because a real ERP program’s Project Management and Change Management tracks run in parallel — Design starting before Discovery formally closes reflects how work actually proceeds, not an inconsistency in the calendar.</w:t>
      </w:r>
    </w:p>
    <w:p>
      <w:pPr>
        <w:pStyle w:val="BodyText"/>
      </w:pPr>
      <w:r>
        <w:rPr>
          <w:bCs/>
          <w:b/>
          <w:sz w:val="25"/>
        </w:rPr>
        <w:t xml:space="preserve">Are the six exceptions in Part 1B.4 the only ways a program can go off track?</w:t>
      </w:r>
      <w:r>
        <w:rPr>
          <w:sz w:val="25"/>
        </w:rPr>
        <w:t xml:space="preserve"> </w:t>
      </w:r>
      <w:r>
        <w:rPr>
          <w:sz w:val="25"/>
        </w:rPr>
        <w:t xml:space="preserve">No — they are six realistic, well-evidenced patterns, not an exhaustive list. journi’s own documentation is explicit that Exception E8 (the Governance Escalation Loop, Part 3) is its own weakest-evidence entry, included for completeness rather than as strong as the other seven.</w:t>
      </w:r>
    </w:p>
    <w:p>
      <w:pPr>
        <w:pStyle w:val="BodyText"/>
      </w:pPr>
      <w:r>
        <w:rPr>
          <w:bCs/>
          <w:b/>
          <w:sz w:val="25"/>
        </w:rPr>
        <w:t xml:space="preserve">Why does Exception E3 (Two-Clock Problem) matter even for a program with no visible sentiment lag?</w:t>
      </w:r>
      <w:r>
        <w:rPr>
          <w:sz w:val="25"/>
        </w:rPr>
        <w:t xml:space="preserve"> </w:t>
      </w:r>
      <w:r>
        <w:rPr>
          <w:sz w:val="25"/>
        </w:rPr>
        <w:t xml:space="preserve">Because the discipline — marking Lewin provisional at go-live rather than confirmed — costs nothing when there is no lag, and catches the case when there is one. Part 1B.3’s Phase 6 Task 4 applies it unconditionally, not only when trouble is already visible.</w:t>
      </w:r>
    </w:p>
    <w:p>
      <w:pPr>
        <w:pStyle w:val="BodyText"/>
      </w:pPr>
      <w:r>
        <w:rPr>
          <w:bCs/>
          <w:b/>
          <w:sz w:val="25"/>
        </w:rPr>
        <w:t xml:space="preserve">Does every Change Management Project need to run through all six exceptions?</w:t>
      </w:r>
      <w:r>
        <w:rPr>
          <w:sz w:val="25"/>
        </w:rPr>
        <w:t xml:space="preserve"> </w:t>
      </w:r>
      <w:r>
        <w:rPr>
          <w:sz w:val="25"/>
        </w:rPr>
        <w:t xml:space="preserve">No — the Kenitra Invoice-Matching Automation case in Part 4 is deliberately built to close without any of the 9 live alerts firing. Exceptions are named, realistic possibilities to watch for, not a checklist every program must complete.</w:t>
      </w:r>
    </w:p>
    <w:p>
      <w:pPr>
        <w:pStyle w:val="BodyText"/>
      </w:pPr>
      <w:r>
        <w:rPr>
          <w:bCs/>
          <w:b/>
          <w:sz w:val="25"/>
        </w:rPr>
        <w:t xml:space="preserve">Why does the Restructuring case in Part 4 have no dedicated Phase Template, when eight other archetypes do?</w:t>
      </w:r>
      <w:r>
        <w:rPr>
          <w:sz w:val="25"/>
        </w:rPr>
        <w:t xml:space="preserve"> </w:t>
      </w:r>
      <w:r>
        <w:rPr>
          <w:sz w:val="25"/>
        </w:rPr>
        <w:t xml:space="preserve">Because that is genuinely how the E2E addendum (CR1) was built — 8 transformation types got a registered chain and Phase Template; Restructuring and M&amp;A did not. This guide states that gap rather than invent a lifecycle journi doesn’t actually have.</w:t>
      </w:r>
    </w:p>
    <w:p>
      <w:pPr>
        <w:pStyle w:val="BodyText"/>
      </w:pPr>
      <w:r>
        <w:rPr>
          <w:bCs/>
          <w:b/>
          <w:sz w:val="25"/>
        </w:rPr>
        <w:t xml:space="preserve">Why does the Composite Readiness Index weight ADKAR at 50% and not something else?</w:t>
      </w:r>
      <w:r>
        <w:rPr>
          <w:sz w:val="25"/>
        </w:rPr>
        <w:t xml:space="preserve"> </w:t>
      </w:r>
      <w:r>
        <w:rPr>
          <w:sz w:val="25"/>
        </w:rPr>
        <w:t xml:space="preserve">That weighting is journi’s own hardcoded formula (</w:t>
      </w:r>
      <w:r>
        <w:rPr>
          <w:rStyle w:val="VerbatimChar"/>
          <w:sz w:val="25"/>
        </w:rPr>
        <w:t xml:space="preserve">ADKAR% × 0.50 + sentiment% × 0.25 + training% × 0.25</w:t>
      </w:r>
      <w:r>
        <w:rPr>
          <w:sz w:val="25"/>
        </w:rPr>
        <w:t xml:space="preserve">, A.3), not a configurable setting exposed anywhere in the platform. This guide states the exact formula rather than a rounded approximation of it, since a Change Manager reading a CRI trend line needs to know precisely what moved it.</w:t>
      </w:r>
    </w:p>
    <w:p>
      <w:pPr>
        <w:pStyle w:val="BodyText"/>
      </w:pPr>
      <w:r>
        <w:rPr>
          <w:bCs/>
          <w:b/>
          <w:sz w:val="25"/>
        </w:rPr>
        <w:t xml:space="preserve">Can a Practitioner/Contributor ever see individual-level ADKAR or sentiment scores?</w:t>
      </w:r>
      <w:r>
        <w:rPr>
          <w:sz w:val="25"/>
        </w:rPr>
        <w:t xml:space="preserve"> </w:t>
      </w:r>
      <w:r>
        <w:rPr>
          <w:sz w:val="25"/>
        </w:rPr>
        <w:t xml:space="preserve">No, by design — Practitioner is deliberately excluded from</w:t>
      </w:r>
      <w:r>
        <w:rPr>
          <w:sz w:val="25"/>
        </w:rPr>
        <w:t xml:space="preserve"> </w:t>
      </w:r>
      <w:r>
        <w:rPr>
          <w:rStyle w:val="VerbatimChar"/>
          <w:sz w:val="25"/>
        </w:rPr>
        <w:t xml:space="preserve">ROLES_WITH_INDIVIDUAL_VISIBILITY</w:t>
      </w:r>
      <w:r>
        <w:rPr>
          <w:sz w:val="25"/>
        </w:rPr>
        <w:t xml:space="preserve"> </w:t>
      </w:r>
      <w:r>
        <w:rPr>
          <w:sz w:val="25"/>
        </w:rPr>
        <w:t xml:space="preserve">even though it holds general write access. A Practitioner like Ghita Bennis can log data and tag coded evidence, but the modules that show named-person detail (M4, M5, M6, M11) show her the aggregated view, the same one an Employee or Sponsor sees.</w:t>
      </w:r>
    </w:p>
    <w:p>
      <w:pPr>
        <w:pStyle w:val="BodyText"/>
      </w:pPr>
      <w:r>
        <w:rPr>
          <w:bCs/>
          <w:b/>
          <w:sz w:val="25"/>
        </w:rPr>
        <w:t xml:space="preserve">What happens if the Settat cohort’s Desire score recovers in Exception E1 but Kübler-Ross sentiment doesn’t move with it?</w:t>
      </w:r>
      <w:r>
        <w:rPr>
          <w:sz w:val="25"/>
        </w:rPr>
        <w:t xml:space="preserve"> </w:t>
      </w:r>
      <w:r>
        <w:rPr>
          <w:sz w:val="25"/>
        </w:rPr>
        <w:t xml:space="preserve">That is functionally the start of a second, independent exception — either a fresh Divergence Pattern check (E2) if Knowledge/Ability are also high, or simply a slower-than-expected sentiment recovery worth its own targeted listening session, run the same way E1’s Recovery Task 2 was. journi does not merge two separate framework readings into one resolved status; each is tracked and re-scored independently.</w:t>
      </w:r>
    </w:p>
    <w:p>
      <w:pPr>
        <w:pStyle w:val="BodyText"/>
      </w:pPr>
      <w:r>
        <w:rPr>
          <w:bCs/>
          <w:b/>
          <w:sz w:val="25"/>
        </w:rPr>
        <w:t xml:space="preserve">Does Part 4’s nine-project library reflect a realistic number of concurrent Change Management Projects for one Organization?</w:t>
      </w:r>
      <w:r>
        <w:rPr>
          <w:sz w:val="25"/>
        </w:rPr>
        <w:t xml:space="preserve"> </w:t>
      </w:r>
      <w:r>
        <w:rPr>
          <w:sz w:val="25"/>
        </w:rPr>
        <w:t xml:space="preserve">It is on the high end deliberately, to make ALT-008 and ALT-011 (Part 5) genuinely fire rather than stay theoretical — a real 3,400-person manufacturing group might typically run two to four concurrent CM Projects, not nine. The library’s size is a teaching choice, stated as such rather than presented as a typical caseload.</w:t>
      </w:r>
    </w:p>
    <w:p>
      <w:pPr>
        <w:pStyle w:val="BodyText"/>
      </w:pPr>
      <w:r>
        <w:rPr>
          <w:bCs/>
          <w:b/>
          <w:sz w:val="25"/>
        </w:rPr>
        <w:t xml:space="preserve">Why does M11 (Manager as Coach) show a People Manager their own team’s ADKAR heatmap instead of a raw list of scores?</w:t>
      </w:r>
      <w:r>
        <w:rPr>
          <w:sz w:val="25"/>
        </w:rPr>
        <w:t xml:space="preserve"> </w:t>
      </w:r>
      <w:r>
        <w:rPr>
          <w:sz w:val="25"/>
        </w:rPr>
        <w:t xml:space="preserve">Because a heatmap surfaces which of the five ADKAR blocks is weakest at a glance, without requiring the supervisor to interpret five separate numbers per person themselves — exactly the audience-appropriate framing journi applies throughout: a Change Manager sees the diagnostic detail, a People Manager sees the actionable summary for their own team only.</w:t>
      </w:r>
    </w:p>
    <w:p>
      <w:pPr>
        <w:pStyle w:val="BodyText"/>
      </w:pPr>
      <w:r>
        <w:rPr>
          <w:bCs/>
          <w:b/>
          <w:sz w:val="25"/>
        </w:rPr>
        <w:t xml:space="preserve">If Bouregreg’s CFO is the Sponsor on five of the nine Part 4 cases at once, doesn’t that overload one person?</w:t>
      </w:r>
      <w:r>
        <w:rPr>
          <w:sz w:val="25"/>
        </w:rPr>
        <w:t xml:space="preserve"> </w:t>
      </w:r>
      <w:r>
        <w:rPr>
          <w:sz w:val="25"/>
        </w:rPr>
        <w:t xml:space="preserve">In a real deployment it plausibly would, and that concentration is itself worth naming: journi’s Sponsor &amp; Coalition module (M7) tracks each project’s sponsorship independently, so an overloaded Sponsor shows up as thinning visibility across multiple projects rather than being hidden by one project’s own clean-looking record — exactly the kind of portfolio-level signal ALT-003 (Sponsor Coverage Gap) is built to catch if that CFO’s attention genuinely starts to spread too thin.</w:t>
      </w:r>
    </w:p>
    <w:bookmarkEnd w:id="119"/>
    <w:bookmarkStart w:id="120" w:name="about-this-version"/>
    <w:p>
      <w:pPr>
        <w:pStyle w:val="Heading3"/>
      </w:pPr>
      <w:r>
        <w:rPr>
          <w:b/>
          <w:color w:val="3F827B"/>
          <w:sz w:val="29"/>
        </w:rPr>
        <w:t xml:space="preserve">About This Version</w:t>
      </w:r>
    </w:p>
    <w:p>
      <w:pPr>
        <w:pStyle w:val="FirstParagraph"/>
      </w:pPr>
      <w:r>
        <w:rPr>
          <w:sz w:val="25"/>
        </w:rPr>
        <w:t xml:space="preserve">This is Version 1.0 of the journi Complete User Guide, built around a single new scenario tenant — Bouregreg Group — created specifically for this document and not part of journi’s other seeded demo data. Every module, field, RBAC rule, alert trigger, macro process, and end-to-end process composition named in it was verified against journi’s actual source code at the time of writing, not assumed from a specification. Where this guide states a constraint — an Organization’s sector being one of exactly three values, a Kübler-Ross model with four stages rather than the textbook seven, an alert that never fires for lack of a real backend — that constraint reflects journi’s real, current behavior.</w:t>
      </w:r>
    </w:p>
    <w:p>
      <w:pPr>
        <w:pStyle w:val="BodyText"/>
      </w:pPr>
      <w:r>
        <w:rPr>
          <w:sz w:val="25"/>
        </w:rPr>
        <w:t xml:space="preserve">The 64-week program calendar (Part 1B.2), the eight scenario mini-timelines (Part 4), and the month-by-month narrative (Part 1B.6) are this guide’s own illustrative pacing, built for a 3,400-person, three-site organization, and are stated as illustrative rather than implied to be a platform default. Everything else — module behavior, RBAC gating, alert trigger conditions, macro process compositions, framework stage vocabulary — is verified journi platform fact.</w:t>
      </w:r>
    </w:p>
    <w:p>
      <w:pPr>
        <w:pStyle w:val="BodyText"/>
      </w:pPr>
      <w:r>
        <w:rPr>
          <w:bCs/>
          <w:b/>
          <w:sz w:val="25"/>
        </w:rPr>
        <w:t xml:space="preserve">What this version covers, end to end:</w:t>
      </w:r>
      <w:r>
        <w:rPr>
          <w:sz w:val="25"/>
        </w:rPr>
        <w:t xml:space="preserve"> </w:t>
      </w:r>
      <w:r>
        <w:rPr>
          <w:sz w:val="25"/>
        </w:rPr>
        <w:t xml:space="preserve">a complete tenant build from a blank deployment (Part 1); a 64-week ERP program run week by week through all four frameworks’ real stage vocabulary, normal flow and all six documented exceptions, in full task-and-step detail (Part 1B); every one of journi’s 20 modules with its real CRUD and RBAC behavior (Part 2); all 16 registered End-to-End processes, each traced to a real point in the Bouregreg scenario (Part 3); a nine-project scenario library covering eight of journi’s ten Main Project archetypes and exercising all 9 live-computed alerts at least once (Part 4); the full alert catalog and the two automated readiness metrics behind it (Part 5); and a nine-section quick-reference appendix, from role and RACSI legends through a worked grid example, sample field entries, and this FAQ.</w:t>
      </w:r>
    </w:p>
    <w:p>
      <w:pPr>
        <w:pStyle w:val="BodyText"/>
      </w:pPr>
      <w:r>
        <w:rPr>
          <w:bCs/>
          <w:b/>
          <w:sz w:val="25"/>
        </w:rPr>
        <w:t xml:space="preserve">What a future version might add:</w:t>
      </w:r>
      <w:r>
        <w:rPr>
          <w:sz w:val="25"/>
        </w:rPr>
        <w:t xml:space="preserve"> </w:t>
      </w:r>
      <w:r>
        <w:rPr>
          <w:sz w:val="25"/>
        </w:rPr>
        <w:t xml:space="preserve">a second scenario tenant in a different sector (Logistics or Health, the two sectors this version’s single Manufacturing tenant does not exercise); a full step-by-step SIPOC/RACSI treatment of the eight Part 4 scenarios at the same depth Part 1B gives the ERP program; and worked examples of the seven catalogued-but-non-live alerts once journi’s backend infrastructure exists to compute them for real.</w:t>
      </w:r>
    </w:p>
    <w:p>
      <w:pPr>
        <w:pStyle w:val="BodyText"/>
      </w:pPr>
      <w:r>
        <w:rPr>
          <w:bCs/>
          <w:b/>
          <w:sz w:val="25"/>
        </w:rPr>
        <w:t xml:space="preserve">A closing note on scope discipline.</w:t>
      </w:r>
      <w:r>
        <w:rPr>
          <w:sz w:val="25"/>
        </w:rPr>
        <w:t xml:space="preserve"> </w:t>
      </w:r>
      <w:r>
        <w:rPr>
          <w:sz w:val="25"/>
        </w:rPr>
        <w:t xml:space="preserve">This guide is long because the request behind it was specific: every module, every registered process, a genuine week-by-week timeline across all four frameworks, and a scenario library broad enough to exercise every live alert — not because length was a goal in its own right. Every table, worked example, and cross-reference above earns its place by tracing back to a real journi behavior, a real point in Bouregreg’s timeline, or a real cross-reference a reader would otherwise have to reconstruct by flipping between Parts. Where this guide could not point to a real, verified journi behavior — a Restructuring Phase Template that doesn’t exist, an alert that never fires, a currency figure this guide itself invented for narrative color — it says so plainly rather than paper over the gap. That discipline, more than the page count, is what this guide is actually meant to deliver.</w:t>
      </w:r>
    </w:p>
    <w:p>
      <w:r>
        <w:rPr>
          <w:sz w:val="25"/>
        </w:rPr>
        <w:pict>
          <v:rect style="width:0;height:1.5pt" o:hralign="center" o:hrstd="t" o:hr="t"/>
        </w:pict>
      </w:r>
    </w:p>
    <w:p>
      <w:pPr>
        <w:pStyle w:val="FirstParagraph"/>
      </w:pPr>
      <w:r>
        <w:rPr>
          <w:iCs/>
          <w:i/>
          <w:sz w:val="25"/>
        </w:rPr>
        <w:t xml:space="preserve">This concludes the journi Complete User Guide — Parts 1, 1B, and 2 through 5, plus this Appendix.</w:t>
      </w:r>
    </w:p>
    <w:bookmarkEnd w:id="120"/>
    <w:bookmarkEnd w:id="121"/>
    <w:sectPr>
      <w:headerReference w:type="default" r:id="rId9"/>
      <w:footerReference w:type="default" r:id="rId10"/>
      <w:pgSz w:w="12240" w:h="15840"/>
      <w:pgMar w:left="864" w:right="864"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Page </w:t>
    </w:r>
    <w:r>
      <w:rPr>
        <w:sz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99999"/>
        <w:sz w:val="16"/>
      </w:rPr>
      <w:t>journi — The Complete User Guide</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5"/>
    </w:rPr>
  </w:style>
  <w:style w:styleId="BodyText" w:type="paragraph">
    <w:name w:val="Body Text"/>
    <w:basedOn w:val="Normal"/>
    <w:link w:val="BodyTextChar"/>
    <w:pPr>
      <w:spacing w:after="180" w:before="180"/>
    </w:pPr>
    <w:qFormat/>
    <w:rPr>
      <w:sz w:val="25"/>
    </w:rPr>
  </w:style>
  <w:style w:customStyle="1" w:styleId="FirstParagraph" w:type="paragraph">
    <w:name w:val="First Paragraph"/>
    <w:basedOn w:val="BodyText"/>
    <w:next w:val="BodyText"/>
    <w:qFormat/>
    <w:rPr>
      <w:sz w:val="25"/>
    </w:rPr>
  </w:style>
  <w:style w:customStyle="1" w:styleId="Compact" w:type="paragraph">
    <w:name w:val="Compact"/>
    <w:basedOn w:val="BodyText"/>
    <w:qFormat/>
    <w:pPr>
      <w:spacing w:after="36" w:before="36"/>
    </w:pPr>
    <w:rPr>
      <w:sz w:val="25"/>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sz w:val="25"/>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2026-08-27T12:41:10Z</dcterms:created>
  <dcterms:modified xsi:type="dcterms:W3CDTF">2026-08-27T12:41:10Z</dcterms:modified>
</cp:coreProperties>
</file>

<file path=docProps/custom.xml><?xml version="1.0" encoding="utf-8"?>
<Properties xmlns="http://schemas.openxmlformats.org/officeDocument/2006/custom-properties" xmlns:vt="http://schemas.openxmlformats.org/officeDocument/2006/docPropsVTypes"/>
</file>