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jc w:val="center"/>
      </w:pPr>
      <w:r>
        <w:rPr>
          <w:rFonts w:ascii="Times New Roman" w:cs="Times New Roman" w:eastAsia="Times New Roman" w:hAnsi="Times New Roman"/>
          <w:b/>
          <w:bCs/>
          <w:color w:val="3A3A3C"/>
          <w:sz w:val="40"/>
          <w:szCs w:val="40"/>
        </w:rPr>
        <w:t xml:space="preserve">POWERACT</w:t>
      </w:r>
      <w:r>
        <w:rPr>
          <w:rFonts w:ascii="Times New Roman" w:cs="Times New Roman" w:eastAsia="Times New Roman" w:hAnsi="Times New Roman"/>
          <w:b/>
          <w:bCs/>
          <w:color w:val="F8931D"/>
          <w:sz w:val="40"/>
          <w:szCs w:val="40"/>
        </w:rPr>
        <w:t xml:space="preserve"> CONSULTING</w:t>
      </w:r>
    </w:p>
    <w:p>
      <w:pPr>
        <w:spacing w:after="500"/>
        <w:jc w:val="center"/>
      </w:pPr>
      <w:r>
        <w:rPr>
          <w:rFonts w:ascii="Times New Roman" w:cs="Times New Roman" w:eastAsia="Times New Roman" w:hAnsi="Times New Roman"/>
          <w:i/>
          <w:iCs/>
          <w:color w:val="808184"/>
          <w:sz w:val="18"/>
          <w:szCs w:val="18"/>
        </w:rPr>
        <w:t xml:space="preserve">Powered by DynamicBA — AI-assisted scope-to-specs automation</w:t>
      </w:r>
    </w:p>
    <w:p>
      <w:pPr>
        <w:pBdr>
          <w:bottom w:val="single" w:color="E07B00" w:sz="8" w:space="8"/>
        </w:pBdr>
        <w:spacing w:after="150" w:before="300"/>
        <w:jc w:val="center"/>
      </w:pPr>
      <w:r>
        <w:rPr>
          <w:rFonts w:ascii="Times New Roman" w:cs="Times New Roman" w:eastAsia="Times New Roman" w:hAnsi="Times New Roman"/>
          <w:b/>
          <w:bCs/>
          <w:color w:val="E07B00"/>
          <w:sz w:val="48"/>
          <w:szCs w:val="48"/>
        </w:rPr>
        <w:t xml:space="preserve">DynamicBA — User Guide</w:t>
      </w:r>
    </w:p>
    <w:p>
      <w:pPr>
        <w:spacing w:after="600"/>
        <w:jc w:val="center"/>
      </w:pPr>
      <w:r>
        <w:rPr>
          <w:rFonts w:ascii="Times New Roman" w:cs="Times New Roman" w:eastAsia="Times New Roman" w:hAnsi="Times New Roman"/>
          <w:color w:val="3A3A3C"/>
          <w:sz w:val="26"/>
          <w:szCs w:val="26"/>
        </w:rPr>
        <w:t xml:space="preserve">AI-assisted scope-to-specs automation for management consulting engagements</w:t>
      </w:r>
    </w:p>
    <w:p>
      <w:pPr>
        <w:spacing w:after="400"/>
      </w:pPr>
    </w:p>
    <w:p>
      <w:pPr>
        <w:spacing w:after="110"/>
        <w:jc w:val="center"/>
      </w:pPr>
      <w:r>
        <w:rPr>
          <w:rFonts w:ascii="Times New Roman" w:cs="Times New Roman" w:eastAsia="Times New Roman" w:hAnsi="Times New Roman"/>
          <w:b/>
          <w:bCs/>
          <w:color w:val="808184"/>
          <w:sz w:val="20"/>
          <w:szCs w:val="20"/>
        </w:rPr>
        <w:t xml:space="preserve">Client:  </w:t>
      </w:r>
      <w:r>
        <w:rPr>
          <w:rFonts w:ascii="Times New Roman" w:cs="Times New Roman" w:eastAsia="Times New Roman" w:hAnsi="Times New Roman"/>
          <w:color w:val="3A3A3C"/>
          <w:sz w:val="20"/>
          <w:szCs w:val="20"/>
        </w:rPr>
        <w:t xml:space="preserve">POWERACT Consulting — Internal &amp; Client Distribution</w:t>
      </w:r>
    </w:p>
    <w:p>
      <w:pPr>
        <w:spacing w:after="110"/>
        <w:jc w:val="center"/>
      </w:pPr>
      <w:r>
        <w:rPr>
          <w:rFonts w:ascii="Times New Roman" w:cs="Times New Roman" w:eastAsia="Times New Roman" w:hAnsi="Times New Roman"/>
          <w:b/>
          <w:bCs/>
          <w:color w:val="808184"/>
          <w:sz w:val="20"/>
          <w:szCs w:val="20"/>
        </w:rPr>
        <w:t xml:space="preserve">Project / Engagement:  </w:t>
      </w:r>
      <w:r>
        <w:rPr>
          <w:rFonts w:ascii="Times New Roman" w:cs="Times New Roman" w:eastAsia="Times New Roman" w:hAnsi="Times New Roman"/>
          <w:color w:val="3A3A3C"/>
          <w:sz w:val="20"/>
          <w:szCs w:val="20"/>
        </w:rPr>
        <w:t xml:space="preserve">DynamicBA Platform</w:t>
      </w:r>
    </w:p>
    <w:p>
      <w:pPr>
        <w:spacing w:after="110"/>
        <w:jc w:val="center"/>
      </w:pPr>
      <w:r>
        <w:rPr>
          <w:rFonts w:ascii="Times New Roman" w:cs="Times New Roman" w:eastAsia="Times New Roman" w:hAnsi="Times New Roman"/>
          <w:b/>
          <w:bCs/>
          <w:color w:val="808184"/>
          <w:sz w:val="20"/>
          <w:szCs w:val="20"/>
        </w:rPr>
        <w:t xml:space="preserve">Prepared for:  </w:t>
      </w:r>
      <w:r>
        <w:rPr>
          <w:rFonts w:ascii="Times New Roman" w:cs="Times New Roman" w:eastAsia="Times New Roman" w:hAnsi="Times New Roman"/>
          <w:color w:val="3A3A3C"/>
          <w:sz w:val="20"/>
          <w:szCs w:val="20"/>
        </w:rPr>
        <w:t xml:space="preserve">DynamicBA Users</w:t>
      </w:r>
    </w:p>
    <w:p>
      <w:pPr>
        <w:spacing w:after="110"/>
        <w:jc w:val="center"/>
      </w:pPr>
      <w:r>
        <w:rPr>
          <w:rFonts w:ascii="Times New Roman" w:cs="Times New Roman" w:eastAsia="Times New Roman" w:hAnsi="Times New Roman"/>
          <w:b/>
          <w:bCs/>
          <w:color w:val="808184"/>
          <w:sz w:val="20"/>
          <w:szCs w:val="20"/>
        </w:rPr>
        <w:t xml:space="preserve">Prepared by:  </w:t>
      </w:r>
      <w:r>
        <w:rPr>
          <w:rFonts w:ascii="Times New Roman" w:cs="Times New Roman" w:eastAsia="Times New Roman" w:hAnsi="Times New Roman"/>
          <w:color w:val="3A3A3C"/>
          <w:sz w:val="20"/>
          <w:szCs w:val="20"/>
        </w:rPr>
        <w:t xml:space="preserve">POWERACT Consulting</w:t>
      </w:r>
    </w:p>
    <w:p>
      <w:pPr>
        <w:spacing w:after="110"/>
        <w:jc w:val="center"/>
      </w:pPr>
      <w:r>
        <w:rPr>
          <w:rFonts w:ascii="Times New Roman" w:cs="Times New Roman" w:eastAsia="Times New Roman" w:hAnsi="Times New Roman"/>
          <w:b/>
          <w:bCs/>
          <w:color w:val="808184"/>
          <w:sz w:val="20"/>
          <w:szCs w:val="20"/>
        </w:rPr>
        <w:t xml:space="preserve">Date:  </w:t>
      </w:r>
      <w:r>
        <w:rPr>
          <w:rFonts w:ascii="Times New Roman" w:cs="Times New Roman" w:eastAsia="Times New Roman" w:hAnsi="Times New Roman"/>
          <w:color w:val="3A3A3C"/>
          <w:sz w:val="20"/>
          <w:szCs w:val="20"/>
        </w:rPr>
        <w:t xml:space="preserve">2026-09-22</w:t>
      </w:r>
    </w:p>
    <w:p>
      <w:pPr>
        <w:spacing w:after="110"/>
        <w:jc w:val="center"/>
      </w:pPr>
      <w:r>
        <w:rPr>
          <w:rFonts w:ascii="Times New Roman" w:cs="Times New Roman" w:eastAsia="Times New Roman" w:hAnsi="Times New Roman"/>
          <w:b/>
          <w:bCs/>
          <w:color w:val="808184"/>
          <w:sz w:val="20"/>
          <w:szCs w:val="20"/>
        </w:rPr>
        <w:t xml:space="preserve">Sign-Off Status:  </w:t>
      </w:r>
      <w:r>
        <w:rPr>
          <w:rFonts w:ascii="Times New Roman" w:cs="Times New Roman" w:eastAsia="Times New Roman" w:hAnsi="Times New Roman"/>
          <w:color w:val="3A3A3C"/>
          <w:sz w:val="20"/>
          <w:szCs w:val="20"/>
        </w:rPr>
        <w:t xml:space="preserve">Current</w:t>
      </w:r>
    </w:p>
    <w:p>
      <w:r>
        <w:br w:type="page"/>
      </w:r>
    </w:p>
    <w:p>
      <w:pPr>
        <w:pStyle w:val="Heading1"/>
      </w:pPr>
      <w:r>
        <w:rPr>
          <w:rFonts w:ascii="Times New Roman" w:cs="Times New Roman" w:eastAsia="Times New Roman" w:hAnsi="Times New Roman"/>
          <w:b/>
          <w:bCs/>
          <w:color w:val="E07B00"/>
          <w:sz w:val="34"/>
          <w:szCs w:val="3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000" w:right="1000" w:bottom="1000" w:left="1000" w:header="708" w:footer="708" w:gutter="0"/>
          <w:pgNumType/>
          <w:docGrid w:linePitch="360"/>
        </w:sectPr>
      </w:pPr>
    </w:p>
    <w:p>
      <w:pPr>
        <w:pStyle w:val="Heading1"/>
      </w:pPr>
      <w:r>
        <w:rPr>
          <w:rFonts w:ascii="Times New Roman" w:cs="Times New Roman" w:eastAsia="Times New Roman" w:hAnsi="Times New Roman"/>
          <w:b/>
          <w:bCs/>
          <w:color w:val="E07B00"/>
          <w:sz w:val="34"/>
          <w:szCs w:val="34"/>
        </w:rPr>
        <w:t xml:space="preserve">1. What DynamicBA Does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DynamicBA turns a signed Statement of Work into a reviewed automation specification package through four short steps: upload the SOW, generate a draft specification (with AI assistance), review and validate it, then export a handoff package. A human consultant reviews and approves everything before it counts as final — DynamicBA drafts, your team decides.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Engagements are organized as Clients (your customers) → Projects (one engagement per client) → the 4-Step Wizard (the work itself). Everything else in the app — Governance, Reports, AI Use Cases, Admin — supports that core flow.</w:t>
      </w:r>
    </w:p>
    <w:p>
      <w:pPr>
        <w:pStyle w:val="Heading2"/>
      </w:pPr>
      <w:r>
        <w:rPr>
          <w:rFonts w:ascii="Times New Roman" w:cs="Times New Roman" w:eastAsia="Times New Roman" w:hAnsi="Times New Roman"/>
          <w:b/>
          <w:bCs/>
          <w:color w:val="3A3A3C"/>
          <w:sz w:val="27"/>
          <w:szCs w:val="27"/>
        </w:rPr>
        <w:t xml:space="preserve">1.1 The Four Steps, in One Line Each</w:t>
      </w:r>
    </w:p>
    <w:tbl>
      <w:tblPr>
        <w:tblW w:type="dxa" w:w="9540"/>
        <w:tblBorders>
          <w:top w:val="single" w:color="E3E3E4" w:sz="2"/>
          <w:left w:val="single" w:color="E3E3E4" w:sz="2"/>
          <w:bottom w:val="single" w:color="E3E3E4" w:sz="2"/>
          <w:right w:val="single" w:color="E3E3E4" w:sz="2"/>
          <w:insideH w:val="single" w:color="E3E3E4" w:sz="2"/>
          <w:insideV w:val="single" w:color="E3E3E4" w:sz="2"/>
        </w:tblBorders>
      </w:tblPr>
      <w:tblGrid>
        <w:gridCol w:w="2400"/>
        <w:gridCol w:w="7140"/>
      </w:tblGrid>
      <w:tr>
        <w:trPr>
          <w:tblHeader/>
        </w:trPr>
        <w:tc>
          <w:tcPr>
            <w:tcW w:type="dxa" w:w="2400"/>
            <w:shd w:fill="F8931D" w:color="auto" w:val="clear"/>
            <w:tcMar>
              <w:top w:type="dxa" w:w="70"/>
              <w:left w:type="dxa" w:w="100"/>
              <w:bottom w:type="dxa" w:w="70"/>
              <w:right w:type="dxa" w:w="100"/>
            </w:tcMar>
            <w:vAlign w:val="center"/>
          </w:tcPr>
          <w:p>
            <w:r>
              <w:rPr>
                <w:rFonts w:ascii="Times New Roman" w:cs="Times New Roman" w:eastAsia="Times New Roman" w:hAnsi="Times New Roman"/>
                <w:b/>
                <w:bCs/>
                <w:color w:val="FFFFFF"/>
                <w:sz w:val="19"/>
                <w:szCs w:val="19"/>
              </w:rPr>
              <w:t xml:space="preserve">Step</w:t>
            </w:r>
          </w:p>
        </w:tc>
        <w:tc>
          <w:tcPr>
            <w:tcW w:type="dxa" w:w="7140"/>
            <w:shd w:fill="F8931D" w:color="auto" w:val="clear"/>
            <w:tcMar>
              <w:top w:type="dxa" w:w="70"/>
              <w:left w:type="dxa" w:w="100"/>
              <w:bottom w:type="dxa" w:w="70"/>
              <w:right w:type="dxa" w:w="100"/>
            </w:tcMar>
            <w:vAlign w:val="center"/>
          </w:tcPr>
          <w:p>
            <w:r>
              <w:rPr>
                <w:rFonts w:ascii="Times New Roman" w:cs="Times New Roman" w:eastAsia="Times New Roman" w:hAnsi="Times New Roman"/>
                <w:b/>
                <w:bCs/>
                <w:color w:val="FFFFFF"/>
                <w:sz w:val="19"/>
                <w:szCs w:val="19"/>
              </w:rPr>
              <w:t xml:space="preserve">What happens</w:t>
            </w:r>
          </w:p>
        </w:tc>
      </w:tr>
      <w:tr>
        <w:tc>
          <w:tcPr>
            <w:tcW w:type="dxa" w:w="2400"/>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1. Upload SOW</w:t>
            </w:r>
          </w:p>
        </w:tc>
        <w:tc>
          <w:tcPr>
            <w:tcW w:type="dxa" w:w="7140"/>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Enter the Statement of Work and stakeholders; DynamicBA scores completeness and asks clarifying questions if anything is missing.</w:t>
            </w:r>
          </w:p>
        </w:tc>
      </w:tr>
      <w:tr>
        <w:tc>
          <w:tcPr>
            <w:tcW w:type="dxa" w:w="2400"/>
            <w:shd w:fill="F2F2F3" w:color="auto" w:val="clear"/>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2. Generate Spec Package</w:t>
            </w:r>
          </w:p>
        </w:tc>
        <w:tc>
          <w:tcPr>
            <w:tcW w:type="dxa" w:w="7140"/>
            <w:shd w:fill="F2F2F3" w:color="auto" w:val="clear"/>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Click "Generate Draft with AI" to draft automation candidates, use cases, business rules, controls, KPIs and risks from the SOW — or fill them in yourself. Either way, review and edit before continuing.</w:t>
            </w:r>
          </w:p>
        </w:tc>
      </w:tr>
      <w:tr>
        <w:tc>
          <w:tcPr>
            <w:tcW w:type="dxa" w:w="2400"/>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3. Review &amp; Validate</w:t>
            </w:r>
          </w:p>
        </w:tc>
        <w:tc>
          <w:tcPr>
            <w:tcW w:type="dxa" w:w="7140"/>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Walk the traceability checklist and confirm the draft is ready for the client.</w:t>
            </w:r>
          </w:p>
        </w:tc>
      </w:tr>
      <w:tr>
        <w:tc>
          <w:tcPr>
            <w:tcW w:type="dxa" w:w="2400"/>
            <w:shd w:fill="F2F2F3" w:color="auto" w:val="clear"/>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4. Export &amp; Handoff</w:t>
            </w:r>
          </w:p>
        </w:tc>
        <w:tc>
          <w:tcPr>
            <w:tcW w:type="dxa" w:w="7140"/>
            <w:shd w:fill="F2F2F3" w:color="auto" w:val="clear"/>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Export the full specification package as Word, PDF, or Excel, and record client sign-off.</w:t>
            </w:r>
          </w:p>
        </w:tc>
      </w:tr>
    </w:tbl>
    <w:p>
      <w:r>
        <w:br w:type="page"/>
      </w:r>
    </w:p>
    <w:p>
      <w:pPr>
        <w:pStyle w:val="Heading1"/>
      </w:pPr>
      <w:r>
        <w:rPr>
          <w:rFonts w:ascii="Times New Roman" w:cs="Times New Roman" w:eastAsia="Times New Roman" w:hAnsi="Times New Roman"/>
          <w:b/>
          <w:bCs/>
          <w:color w:val="E07B00"/>
          <w:sz w:val="34"/>
          <w:szCs w:val="34"/>
        </w:rPr>
        <w:t xml:space="preserve">2. Getting Started</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Open the app in a browser and either sign in or create an account.</w:t>
      </w:r>
    </w:p>
    <w:p>
      <w:pPr>
        <w:pStyle w:val="ListParagraph"/>
        <w:numPr>
          <w:ilvl w:val="0"/>
          <w:numId w:val="1"/>
        </w:numPr>
        <w:spacing w:after="100"/>
      </w:pPr>
      <w:r>
        <w:rPr>
          <w:rFonts w:ascii="Times New Roman" w:cs="Times New Roman" w:eastAsia="Times New Roman" w:hAnsi="Times New Roman"/>
          <w:color w:val="58595B"/>
          <w:sz w:val="24"/>
          <w:szCs w:val="24"/>
        </w:rPr>
        <w:t xml:space="preserve">Fastest way to explore: sign in with the seeded demo account, admin@dynamicba.demo / DemoAdmin123!, after your admin runs npm run seed once (see the Installation Guide).</w:t>
      </w:r>
    </w:p>
    <w:p>
      <w:pPr>
        <w:pStyle w:val="ListParagraph"/>
        <w:numPr>
          <w:ilvl w:val="0"/>
          <w:numId w:val="1"/>
        </w:numPr>
        <w:spacing w:after="100"/>
      </w:pPr>
      <w:r>
        <w:rPr>
          <w:rFonts w:ascii="Times New Roman" w:cs="Times New Roman" w:eastAsia="Times New Roman" w:hAnsi="Times New Roman"/>
          <w:color w:val="58595B"/>
          <w:sz w:val="24"/>
          <w:szCs w:val="24"/>
        </w:rPr>
        <w:t xml:space="preserve">Starting your own practice: choose "Create one" on the sign-in screen, found an Organization, and you become its first Organization Admin.</w:t>
      </w:r>
    </w:p>
    <w:p>
      <w:pPr>
        <w:pStyle w:val="ListParagraph"/>
        <w:numPr>
          <w:ilvl w:val="0"/>
          <w:numId w:val="1"/>
        </w:numPr>
        <w:spacing w:after="100"/>
      </w:pPr>
      <w:r>
        <w:rPr>
          <w:rFonts w:ascii="Times New Roman" w:cs="Times New Roman" w:eastAsia="Times New Roman" w:hAnsi="Times New Roman"/>
          <w:color w:val="58595B"/>
          <w:sz w:val="24"/>
          <w:szCs w:val="24"/>
        </w:rPr>
        <w:t xml:space="preserve">Joining a teammate's practice: ask them for their Organization ID (shown under Admin → Organization) and choose "Join an existing Organization" instead.</w:t>
      </w:r>
    </w:p>
    <w:p>
      <w:pPr>
        <w:pStyle w:val="Heading2"/>
      </w:pPr>
      <w:r>
        <w:rPr>
          <w:rFonts w:ascii="Times New Roman" w:cs="Times New Roman" w:eastAsia="Times New Roman" w:hAnsi="Times New Roman"/>
          <w:b/>
          <w:bCs/>
          <w:color w:val="3A3A3C"/>
          <w:sz w:val="27"/>
          <w:szCs w:val="27"/>
        </w:rPr>
        <w:t xml:space="preserve">2.1 Roles, at a Glance</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An Organization Admin assigns roles under Admin → Users &amp; Roles. Most day-to-day work only needs "can edit projects" (Business Analyst and similar roles) or "can only view" (Client Sponsor, Auditor).</w:t>
      </w:r>
    </w:p>
    <w:tbl>
      <w:tblPr>
        <w:tblW w:type="dxa" w:w="9540"/>
        <w:tblBorders>
          <w:top w:val="single" w:color="E3E3E4" w:sz="2"/>
          <w:left w:val="single" w:color="E3E3E4" w:sz="2"/>
          <w:bottom w:val="single" w:color="E3E3E4" w:sz="2"/>
          <w:right w:val="single" w:color="E3E3E4" w:sz="2"/>
          <w:insideH w:val="single" w:color="E3E3E4" w:sz="2"/>
          <w:insideV w:val="single" w:color="E3E3E4" w:sz="2"/>
        </w:tblBorders>
      </w:tblPr>
      <w:tblGrid>
        <w:gridCol w:w="3200"/>
        <w:gridCol w:w="6340"/>
      </w:tblGrid>
      <w:tr>
        <w:trPr>
          <w:tblHeader/>
        </w:trPr>
        <w:tc>
          <w:tcPr>
            <w:tcW w:type="dxa" w:w="3200"/>
            <w:shd w:fill="F8931D" w:color="auto" w:val="clear"/>
            <w:tcMar>
              <w:top w:type="dxa" w:w="70"/>
              <w:left w:type="dxa" w:w="100"/>
              <w:bottom w:type="dxa" w:w="70"/>
              <w:right w:type="dxa" w:w="100"/>
            </w:tcMar>
            <w:vAlign w:val="center"/>
          </w:tcPr>
          <w:p>
            <w:r>
              <w:rPr>
                <w:rFonts w:ascii="Times New Roman" w:cs="Times New Roman" w:eastAsia="Times New Roman" w:hAnsi="Times New Roman"/>
                <w:b/>
                <w:bCs/>
                <w:color w:val="FFFFFF"/>
                <w:sz w:val="19"/>
                <w:szCs w:val="19"/>
              </w:rPr>
              <w:t xml:space="preserve">Role</w:t>
            </w:r>
          </w:p>
        </w:tc>
        <w:tc>
          <w:tcPr>
            <w:tcW w:type="dxa" w:w="6340"/>
            <w:shd w:fill="F8931D" w:color="auto" w:val="clear"/>
            <w:tcMar>
              <w:top w:type="dxa" w:w="70"/>
              <w:left w:type="dxa" w:w="100"/>
              <w:bottom w:type="dxa" w:w="70"/>
              <w:right w:type="dxa" w:w="100"/>
            </w:tcMar>
            <w:vAlign w:val="center"/>
          </w:tcPr>
          <w:p>
            <w:r>
              <w:rPr>
                <w:rFonts w:ascii="Times New Roman" w:cs="Times New Roman" w:eastAsia="Times New Roman" w:hAnsi="Times New Roman"/>
                <w:b/>
                <w:bCs/>
                <w:color w:val="FFFFFF"/>
                <w:sz w:val="19"/>
                <w:szCs w:val="19"/>
              </w:rPr>
              <w:t xml:space="preserve">Typical use</w:t>
            </w:r>
          </w:p>
        </w:tc>
      </w:tr>
      <w:tr>
        <w:tc>
          <w:tcPr>
            <w:tcW w:type="dxa" w:w="3200"/>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Organization Admin</w:t>
            </w:r>
          </w:p>
        </w:tc>
        <w:tc>
          <w:tcPr>
            <w:tcW w:type="dxa" w:w="6340"/>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Full control: users, permissions, licensing, AI provider setup.</w:t>
            </w:r>
          </w:p>
        </w:tc>
      </w:tr>
      <w:tr>
        <w:tc>
          <w:tcPr>
            <w:tcW w:type="dxa" w:w="3200"/>
            <w:shd w:fill="F2F2F3" w:color="auto" w:val="clear"/>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Delivery Lead / Solution Architect</w:t>
            </w:r>
          </w:p>
        </w:tc>
        <w:tc>
          <w:tcPr>
            <w:tcW w:type="dxa" w:w="6340"/>
            <w:shd w:fill="F2F2F3" w:color="auto" w:val="clear"/>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Runs engagements end to end, approves sign-off, manages governance.</w:t>
            </w:r>
          </w:p>
        </w:tc>
      </w:tr>
      <w:tr>
        <w:tc>
          <w:tcPr>
            <w:tcW w:type="dxa" w:w="3200"/>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Business Analyst (and Lead/Senior variants)</w:t>
            </w:r>
          </w:p>
        </w:tc>
        <w:tc>
          <w:tcPr>
            <w:tcW w:type="dxa" w:w="6340"/>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Does the day-to-day work inside the 4-step wizard.</w:t>
            </w:r>
          </w:p>
        </w:tc>
      </w:tr>
      <w:tr>
        <w:tc>
          <w:tcPr>
            <w:tcW w:type="dxa" w:w="3200"/>
            <w:shd w:fill="F2F2F3" w:color="auto" w:val="clear"/>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Client Sponsor (Viewer)</w:t>
            </w:r>
          </w:p>
        </w:tc>
        <w:tc>
          <w:tcPr>
            <w:tcW w:type="dxa" w:w="6340"/>
            <w:shd w:fill="F2F2F3" w:color="auto" w:val="clear"/>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Read-only access to review progress and specs.</w:t>
            </w:r>
          </w:p>
        </w:tc>
      </w:tr>
      <w:tr>
        <w:tc>
          <w:tcPr>
            <w:tcW w:type="dxa" w:w="3200"/>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Auditor</w:t>
            </w:r>
          </w:p>
        </w:tc>
        <w:tc>
          <w:tcPr>
            <w:tcW w:type="dxa" w:w="6340"/>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Read-only access plus the audit log.</w:t>
            </w:r>
          </w:p>
        </w:tc>
      </w:tr>
    </w:tbl>
    <w:p>
      <w:r>
        <w:br w:type="page"/>
      </w:r>
    </w:p>
    <w:p>
      <w:pPr>
        <w:pStyle w:val="Heading1"/>
      </w:pPr>
      <w:r>
        <w:rPr>
          <w:rFonts w:ascii="Times New Roman" w:cs="Times New Roman" w:eastAsia="Times New Roman" w:hAnsi="Times New Roman"/>
          <w:b/>
          <w:bCs/>
          <w:color w:val="E07B00"/>
          <w:sz w:val="34"/>
          <w:szCs w:val="34"/>
        </w:rPr>
        <w:t xml:space="preserve">3. Setting Up AI-Generated Drafts (Optional but Recommended)</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Step 2's "Generate Draft with AI" button calls the Anthropic (Claude) API to draft a first-pass specification from your SOW. It is optional — everything can still be entered by hand — but it saves most of the manual typing that Step 2 used to require.</w:t>
      </w:r>
    </w:p>
    <w:p>
      <w:pPr>
        <w:pStyle w:val="Heading2"/>
      </w:pPr>
      <w:r>
        <w:rPr>
          <w:rFonts w:ascii="Times New Roman" w:cs="Times New Roman" w:eastAsia="Times New Roman" w:hAnsi="Times New Roman"/>
          <w:b/>
          <w:bCs/>
          <w:color w:val="3A3A3C"/>
          <w:sz w:val="27"/>
          <w:szCs w:val="27"/>
        </w:rPr>
        <w:t xml:space="preserve">3.1 One-Time Setup (an Organization Admin does this once)</w:t>
      </w:r>
    </w:p>
    <w:p>
      <w:pPr>
        <w:pStyle w:val="ListParagraph"/>
        <w:numPr>
          <w:ilvl w:val="0"/>
          <w:numId w:val="1"/>
        </w:numPr>
        <w:spacing w:after="100"/>
      </w:pPr>
      <w:r>
        <w:rPr>
          <w:rFonts w:ascii="Times New Roman" w:cs="Times New Roman" w:eastAsia="Times New Roman" w:hAnsi="Times New Roman"/>
          <w:color w:val="58595B"/>
          <w:sz w:val="24"/>
          <w:szCs w:val="24"/>
        </w:rPr>
        <w:t xml:space="preserve">Get an API key at console.anthropic.com.</w:t>
      </w:r>
    </w:p>
    <w:p>
      <w:pPr>
        <w:pStyle w:val="ListParagraph"/>
        <w:numPr>
          <w:ilvl w:val="0"/>
          <w:numId w:val="1"/>
        </w:numPr>
        <w:spacing w:after="100"/>
      </w:pPr>
      <w:r>
        <w:rPr>
          <w:rFonts w:ascii="Times New Roman" w:cs="Times New Roman" w:eastAsia="Times New Roman" w:hAnsi="Times New Roman"/>
          <w:color w:val="58595B"/>
          <w:sz w:val="24"/>
          <w:szCs w:val="24"/>
        </w:rPr>
        <w:t xml:space="preserve">In DynamicBA, go to Admin → AI Provider.</w:t>
      </w:r>
    </w:p>
    <w:p>
      <w:pPr>
        <w:pStyle w:val="ListParagraph"/>
        <w:numPr>
          <w:ilvl w:val="0"/>
          <w:numId w:val="1"/>
        </w:numPr>
        <w:spacing w:after="100"/>
      </w:pPr>
      <w:r>
        <w:rPr>
          <w:rFonts w:ascii="Times New Roman" w:cs="Times New Roman" w:eastAsia="Times New Roman" w:hAnsi="Times New Roman"/>
          <w:color w:val="58595B"/>
          <w:sz w:val="24"/>
          <w:szCs w:val="24"/>
        </w:rPr>
        <w:t xml:space="preserve">Paste the key, pick a model (Claude Sonnet 5 is the recommended default), and click Save.</w:t>
      </w:r>
    </w:p>
    <w:p>
      <w:pPr>
        <w:pStyle w:val="ListParagraph"/>
        <w:numPr>
          <w:ilvl w:val="0"/>
          <w:numId w:val="1"/>
        </w:numPr>
        <w:spacing w:after="100"/>
      </w:pPr>
      <w:r>
        <w:rPr>
          <w:rFonts w:ascii="Times New Roman" w:cs="Times New Roman" w:eastAsia="Times New Roman" w:hAnsi="Times New Roman"/>
          <w:color w:val="58595B"/>
          <w:sz w:val="24"/>
          <w:szCs w:val="24"/>
        </w:rPr>
        <w:t xml:space="preserve">That's it — every project in your Organization can now use "Generate Draft with AI" in Step 2.</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The key is stored only in your own server's local data file and is sent only to Anthropic's API to generate your drafts — never anywhere else. A technical alternative for IT-managed deployments: set ANTHROPIC_API_KEY in server/.env instead, which every Organization on that server will then share automatically.</w:t>
      </w:r>
    </w:p>
    <w:p>
      <w:pPr>
        <w:pStyle w:val="Heading2"/>
      </w:pPr>
      <w:r>
        <w:rPr>
          <w:rFonts w:ascii="Times New Roman" w:cs="Times New Roman" w:eastAsia="Times New Roman" w:hAnsi="Times New Roman"/>
          <w:b/>
          <w:bCs/>
          <w:color w:val="3A3A3C"/>
          <w:sz w:val="27"/>
          <w:szCs w:val="27"/>
        </w:rPr>
        <w:t xml:space="preserve">3.2 What the AI Does and Doesn't Do</w:t>
      </w:r>
    </w:p>
    <w:p>
      <w:pPr>
        <w:pStyle w:val="ListParagraph"/>
        <w:numPr>
          <w:ilvl w:val="0"/>
          <w:numId w:val="1"/>
        </w:numPr>
        <w:spacing w:after="100"/>
      </w:pPr>
      <w:r>
        <w:rPr>
          <w:rFonts w:ascii="Times New Roman" w:cs="Times New Roman" w:eastAsia="Times New Roman" w:hAnsi="Times New Roman"/>
          <w:color w:val="58595B"/>
          <w:sz w:val="24"/>
          <w:szCs w:val="24"/>
        </w:rPr>
        <w:t xml:space="preserve">It reads that project's own Statement of Work and stakeholder list — not a generic template.</w:t>
      </w:r>
    </w:p>
    <w:p>
      <w:pPr>
        <w:pStyle w:val="ListParagraph"/>
        <w:numPr>
          <w:ilvl w:val="0"/>
          <w:numId w:val="1"/>
        </w:numPr>
        <w:spacing w:after="100"/>
      </w:pPr>
      <w:r>
        <w:rPr>
          <w:rFonts w:ascii="Times New Roman" w:cs="Times New Roman" w:eastAsia="Times New Roman" w:hAnsi="Times New Roman"/>
          <w:color w:val="58595B"/>
          <w:sz w:val="24"/>
          <w:szCs w:val="24"/>
        </w:rPr>
        <w:t xml:space="preserve">It drafts automation candidates, pain points, system landscape entries, use cases, business rules, controls, KPIs, and risks.</w:t>
      </w:r>
    </w:p>
    <w:p>
      <w:pPr>
        <w:pStyle w:val="ListParagraph"/>
        <w:numPr>
          <w:ilvl w:val="0"/>
          <w:numId w:val="1"/>
        </w:numPr>
        <w:spacing w:after="100"/>
      </w:pPr>
      <w:r>
        <w:rPr>
          <w:rFonts w:ascii="Times New Roman" w:cs="Times New Roman" w:eastAsia="Times New Roman" w:hAnsi="Times New Roman"/>
          <w:color w:val="58595B"/>
          <w:sz w:val="24"/>
          <w:szCs w:val="24"/>
        </w:rPr>
        <w:t xml:space="preserve">Every AI-drafted record is tagged as a Draft. Feasibility and ROI scores are still computed by DynamicBA's own transparent formula, not decided by the AI, so every number stays explainable.</w:t>
      </w:r>
    </w:p>
    <w:p>
      <w:pPr>
        <w:pStyle w:val="ListParagraph"/>
        <w:numPr>
          <w:ilvl w:val="0"/>
          <w:numId w:val="1"/>
        </w:numPr>
        <w:spacing w:after="100"/>
      </w:pPr>
      <w:r>
        <w:rPr>
          <w:rFonts w:ascii="Times New Roman" w:cs="Times New Roman" w:eastAsia="Times New Roman" w:hAnsi="Times New Roman"/>
          <w:color w:val="58595B"/>
          <w:sz w:val="24"/>
          <w:szCs w:val="24"/>
        </w:rPr>
        <w:t xml:space="preserve">Nothing an AI drafts is final until a person on your team reviews it and moves it forward — the same review discipline as anything typed in by hand.</w:t>
      </w:r>
    </w:p>
    <w:p>
      <w:r>
        <w:br w:type="page"/>
      </w:r>
    </w:p>
    <w:p>
      <w:pPr>
        <w:pStyle w:val="Heading1"/>
      </w:pPr>
      <w:r>
        <w:rPr>
          <w:rFonts w:ascii="Times New Roman" w:cs="Times New Roman" w:eastAsia="Times New Roman" w:hAnsi="Times New Roman"/>
          <w:b/>
          <w:bCs/>
          <w:color w:val="E07B00"/>
          <w:sz w:val="34"/>
          <w:szCs w:val="34"/>
        </w:rPr>
        <w:t xml:space="preserve">4. Usage Scenarios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The rest of this guide is a set of short, realistic scenarios rather than a field-by-field manual — DynamicBA's forms are self-explanatory once you've seen a couple of examples. Skim the ones closest to your situation.</w:t>
      </w:r>
    </w:p>
    <w:p>
      <w:pPr>
        <w:pStyle w:val="Heading2"/>
      </w:pPr>
      <w:r>
        <w:rPr>
          <w:rFonts w:ascii="Times New Roman" w:cs="Times New Roman" w:eastAsia="Times New Roman" w:hAnsi="Times New Roman"/>
          <w:b/>
          <w:bCs/>
          <w:color w:val="3A3A3C"/>
          <w:sz w:val="27"/>
          <w:szCs w:val="27"/>
        </w:rPr>
        <w:t xml:space="preserve">4.1 A New Public-Sector Engagement, Start to Finish (Public Sector)</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The City of Ashford wants to modernize online permit applications. A Business Analyst creates the client "City of Ashford Municipal Services" (industry: Public Sector), then a project "Citizen Permit Application Modernization." In Step 1 they paste the SOW's objectives, scope, deliverables, timeline, and constraints, add the client sponsor as a stakeholder, and run the pre-flight check — it scores 82/100, clearing the 70-point gate. In Step 2 they click "Generate Draft with AI," which proposes an automated eligibility pre-check candidate, a document-upload use case, and a KPI targeting a 30% reduction in approval time. The analyst reviews each, adjusts the KPI target to match the client's actual goal, and continues. Step 3's traceability checklist passes, and Step 4 exports a full Word/PDF/Excel package for the client sponsor to sign off on.</w:t>
      </w:r>
    </w:p>
    <w:p>
      <w:pPr>
        <w:pStyle w:val="Heading2"/>
      </w:pPr>
      <w:r>
        <w:rPr>
          <w:rFonts w:ascii="Times New Roman" w:cs="Times New Roman" w:eastAsia="Times New Roman" w:hAnsi="Times New Roman"/>
          <w:b/>
          <w:bCs/>
          <w:color w:val="3A3A3C"/>
          <w:sz w:val="27"/>
          <w:szCs w:val="27"/>
        </w:rPr>
        <w:t xml:space="preserve">4.2 Construction Quality Dispatch Automation (Manufacturing in Construction)</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 precast-concrete manufacturer wants automated quality-and-dispatch tracking. The SOW mentions batch testing, curing times, and dispatch scheduling — enough detail that the AI draft proposes a "Batch Quality Auto-Release" candidate with a high feasibility score (batch test data is already digitized) and a control requiring a detective check before dispatch. The analyst keeps the AI's control but renames the candidate to match the client's own terminology before continuing.</w:t>
      </w:r>
    </w:p>
    <w:p>
      <w:pPr>
        <w:pStyle w:val="Heading2"/>
      </w:pPr>
      <w:r>
        <w:rPr>
          <w:rFonts w:ascii="Times New Roman" w:cs="Times New Roman" w:eastAsia="Times New Roman" w:hAnsi="Times New Roman"/>
          <w:b/>
          <w:bCs/>
          <w:color w:val="3A3A3C"/>
          <w:sz w:val="27"/>
          <w:szCs w:val="27"/>
        </w:rPr>
        <w:t xml:space="preserve">4.3 A Human Checkpoint for Sensitive Health Data (Healthcare)</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On a Patient Intake Digitization engagement, the future-state design includes an AI-assisted step that touches patient health information. When the analyst marks that Exception Flow as "AI-Assisted" and "Handles sensitive data," DynamicBA automatically raises a governance alert requiring a named human checkpoint (control CTRL-07) before the step can go live — this triggers whether the step was drafted by AI or typed in by hand.</w:t>
      </w:r>
    </w:p>
    <w:p>
      <w:pPr>
        <w:pStyle w:val="Heading2"/>
      </w:pPr>
      <w:r>
        <w:rPr>
          <w:rFonts w:ascii="Times New Roman" w:cs="Times New Roman" w:eastAsia="Times New Roman" w:hAnsi="Times New Roman"/>
          <w:b/>
          <w:bCs/>
          <w:color w:val="3A3A3C"/>
          <w:sz w:val="27"/>
          <w:szCs w:val="27"/>
        </w:rPr>
        <w:t xml:space="preserve">4.4 Segregation of Duties on a Financial Control (Agro-Business – Dairy Products)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 dairy cooperative's milk-payment reconciliation candidate needs a control linked to a financial action. Marking a Control Spec as "Linked to financial action" triggers rule BR-10, which requires the control to be Detective (a second person checks the work) rather than Preventive alone — DynamicBA flags a Preventive-only control here as a finding until a Detective control is also added.</w:t>
      </w:r>
    </w:p>
    <w:p>
      <w:pPr>
        <w:pStyle w:val="Heading2"/>
      </w:pPr>
      <w:r>
        <w:rPr>
          <w:rFonts w:ascii="Times New Roman" w:cs="Times New Roman" w:eastAsia="Times New Roman" w:hAnsi="Times New Roman"/>
          <w:b/>
          <w:bCs/>
          <w:color w:val="3A3A3C"/>
          <w:sz w:val="27"/>
          <w:szCs w:val="27"/>
        </w:rPr>
        <w:t xml:space="preserve">4.5 A High-Feasibility Candidate Gets Auto-Promoted (Transportation)</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 fleet dispatcher's "Automated Delivery Exception Routing" candidate scores 86 on DynamicBA's feasibility formula (technical 90, data quality 85, process stability 80, strategic fit 88). Because that clears the 80-point threshold, rule BR-07 promotes it straight into the active prioritization matrix — no manual re-ranking needed.</w:t>
      </w:r>
    </w:p>
    <w:p>
      <w:pPr>
        <w:pStyle w:val="Heading2"/>
      </w:pPr>
      <w:r>
        <w:rPr>
          <w:rFonts w:ascii="Times New Roman" w:cs="Times New Roman" w:eastAsia="Times New Roman" w:hAnsi="Times New Roman"/>
          <w:b/>
          <w:bCs/>
          <w:color w:val="3A3A3C"/>
          <w:sz w:val="27"/>
          <w:szCs w:val="27"/>
        </w:rPr>
        <w:t xml:space="preserve">4.6 A Low-ROI Candidate Gets Auto-Deprioritized (Oil/Gas/Energy)</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 pipeline-inspection reporting candidate has a strong feasibility score but a 22-month payback period. Rule BR-08 automatically deprioritizes anything with a payback beyond 18 months into the strategic backlog, regardless of feasibility — keeping the active matrix focused on near-term wins.</w:t>
      </w:r>
    </w:p>
    <w:p>
      <w:pPr>
        <w:pStyle w:val="Heading2"/>
      </w:pPr>
      <w:r>
        <w:rPr>
          <w:rFonts w:ascii="Times New Roman" w:cs="Times New Roman" w:eastAsia="Times New Roman" w:hAnsi="Times New Roman"/>
          <w:b/>
          <w:bCs/>
          <w:color w:val="3A3A3C"/>
          <w:sz w:val="27"/>
          <w:szCs w:val="27"/>
        </w:rPr>
        <w:t xml:space="preserve">4.7 A Vague SOW Triggers Clarifying Questions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When a Statement of Work is thin — say, "improve efficiency" with no named scope or deliverables — the Step 1 completeness score comes back below 70, and DynamicBA lists specific clarifying questions (rule BR-02) to take back to the client sponsor instead of letting the team guess. Re-running the check after the SOW is filled out lifts the score and unlocks Step 2.</w:t>
      </w:r>
    </w:p>
    <w:p>
      <w:pPr>
        <w:pStyle w:val="Heading2"/>
      </w:pPr>
      <w:r>
        <w:rPr>
          <w:rFonts w:ascii="Times New Roman" w:cs="Times New Roman" w:eastAsia="Times New Roman" w:hAnsi="Times New Roman"/>
          <w:b/>
          <w:bCs/>
          <w:color w:val="3A3A3C"/>
          <w:sz w:val="27"/>
          <w:szCs w:val="27"/>
        </w:rPr>
        <w:t xml:space="preserve">4.8 Reviewing and Correcting an AI Draft</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AI drafts are a starting point, not a finish line. A common pattern: click "Generate Draft with AI," skim the summary banner ("6 automation candidates, 4 use cases, 5 business rules…"), then walk each tab and either accept, edit, or delete individual items — exactly as you would with anything a junior analyst on your team drafted for review.</w:t>
      </w:r>
    </w:p>
    <w:p>
      <w:pPr>
        <w:pStyle w:val="Heading2"/>
      </w:pPr>
      <w:r>
        <w:rPr>
          <w:rFonts w:ascii="Times New Roman" w:cs="Times New Roman" w:eastAsia="Times New Roman" w:hAnsi="Times New Roman"/>
          <w:b/>
          <w:bCs/>
          <w:color w:val="3A3A3C"/>
          <w:sz w:val="27"/>
          <w:szCs w:val="27"/>
        </w:rPr>
        <w:t xml:space="preserve">4.9 Working Without an AI Provider Configured</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If no Organization Admin has set up an AI provider yet, the "Generate Draft with AI" button explains that and stays disabled — but every field in Step 2 can still be filled in by hand, exactly as DynamicBA worked before the AI integration existed. Nothing is blocked; AI is a shortcut, not a requirement.</w:t>
      </w:r>
    </w:p>
    <w:p>
      <w:pPr>
        <w:pStyle w:val="Heading2"/>
      </w:pPr>
      <w:r>
        <w:rPr>
          <w:rFonts w:ascii="Times New Roman" w:cs="Times New Roman" w:eastAsia="Times New Roman" w:hAnsi="Times New Roman"/>
          <w:b/>
          <w:bCs/>
          <w:color w:val="3A3A3C"/>
          <w:sz w:val="27"/>
          <w:szCs w:val="27"/>
        </w:rPr>
        <w:t xml:space="preserve">4.10 An Invalid KPI Data Source Gets Caught</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 KPI Spec's "data source" must name one of DynamicBA's 32 canonical object classes (e.g., Automation_Candidate, not a free-text guess). Picking a value outside that list raises a governance finding (rule tied to control CTRL-08) before the KPI can be marked ready, so a report can never point at data that doesn't exist.</w:t>
      </w:r>
    </w:p>
    <w:p>
      <w:pPr>
        <w:pStyle w:val="Heading2"/>
      </w:pPr>
      <w:r>
        <w:rPr>
          <w:rFonts w:ascii="Times New Roman" w:cs="Times New Roman" w:eastAsia="Times New Roman" w:hAnsi="Times New Roman"/>
          <w:b/>
          <w:bCs/>
          <w:color w:val="3A3A3C"/>
          <w:sz w:val="27"/>
          <w:szCs w:val="27"/>
        </w:rPr>
        <w:t xml:space="preserve">4.11 A Sign-Off SLA Breach Escalates Itself (Public Sector)</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Client sign-off is expected within five business days of a package export (control CTRL-10). If day five passes with no response, DynamicBA raises a governance alert visible on the project's Alerts panel so the Delivery Lead can follow up — it doesn't just wait silently.</w:t>
      </w:r>
    </w:p>
    <w:p>
      <w:pPr>
        <w:pStyle w:val="Heading2"/>
      </w:pPr>
      <w:r>
        <w:rPr>
          <w:rFonts w:ascii="Times New Roman" w:cs="Times New Roman" w:eastAsia="Times New Roman" w:hAnsi="Times New Roman"/>
          <w:b/>
          <w:bCs/>
          <w:color w:val="3A3A3C"/>
          <w:sz w:val="27"/>
          <w:szCs w:val="27"/>
        </w:rPr>
        <w:t xml:space="preserve">4.12 Hitting a Module Lock and Upgrading</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 Starter-plan Organization only has the SOW Ingestion module unlocked; Step 2's later tabs show a small lock icon and a note pointing to Admin → Licensing. An Organization Admin upgrades the plan there, and every locked module unlocks immediately for every project — no re-login needed.</w:t>
      </w:r>
    </w:p>
    <w:p>
      <w:pPr>
        <w:pStyle w:val="Heading2"/>
      </w:pPr>
      <w:r>
        <w:rPr>
          <w:rFonts w:ascii="Times New Roman" w:cs="Times New Roman" w:eastAsia="Times New Roman" w:hAnsi="Times New Roman"/>
          <w:b/>
          <w:bCs/>
          <w:color w:val="3A3A3C"/>
          <w:sz w:val="27"/>
          <w:szCs w:val="27"/>
        </w:rPr>
        <w:t xml:space="preserve">4.13 A New Teammate Hits the Seat Limit</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Licence plans cap how many users an Organization can have (for example, 15 on Professional). If Admin → Users &amp; Roles → Create User would exceed that cap, DynamicBA blocks the creation with a clear message naming the current usage and the limit, rather than silently failing — the admin either removes an inactive user first or upgrades the plan.</w:t>
      </w:r>
    </w:p>
    <w:p>
      <w:r>
        <w:br w:type="page"/>
      </w:r>
    </w:p>
    <w:p>
      <w:pPr>
        <w:pStyle w:val="Heading1"/>
      </w:pPr>
      <w:r>
        <w:rPr>
          <w:rFonts w:ascii="Times New Roman" w:cs="Times New Roman" w:eastAsia="Times New Roman" w:hAnsi="Times New Roman"/>
          <w:b/>
          <w:bCs/>
          <w:color w:val="E07B00"/>
          <w:sz w:val="34"/>
          <w:szCs w:val="34"/>
        </w:rPr>
        <w:t xml:space="preserve">5. Frequently Asked Questions</w:t>
      </w:r>
    </w:p>
    <w:p>
      <w:pPr>
        <w:pStyle w:val="Heading3"/>
      </w:pPr>
      <w:r>
        <w:rPr>
          <w:rFonts w:ascii="Times New Roman" w:cs="Times New Roman" w:eastAsia="Times New Roman" w:hAnsi="Times New Roman"/>
          <w:b/>
          <w:bCs/>
          <w:color w:val="E07B00"/>
          <w:sz w:val="24"/>
          <w:szCs w:val="24"/>
        </w:rPr>
        <w:t xml:space="preserve">Why can't I continue past Step 1?</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The SOW completeness score must reach 70/100 (control CTRL-01). Add the missing objectives, scope, deliverables, timeline, constraints, or stakeholders the clarifying questions point to, then re-run the check.</w:t>
      </w:r>
    </w:p>
    <w:p>
      <w:pPr>
        <w:pStyle w:val="Heading3"/>
      </w:pPr>
      <w:r>
        <w:rPr>
          <w:rFonts w:ascii="Times New Roman" w:cs="Times New Roman" w:eastAsia="Times New Roman" w:hAnsi="Times New Roman"/>
          <w:b/>
          <w:bCs/>
          <w:color w:val="E07B00"/>
          <w:sz w:val="24"/>
          <w:szCs w:val="24"/>
        </w:rPr>
        <w:t xml:space="preserve">Why can't I continue past Step 2?</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At least one Automation Candidate must be scored — either via "Generate Draft with AI" or added by hand in the Opportunity Assessment tab.</w:t>
      </w:r>
    </w:p>
    <w:p>
      <w:pPr>
        <w:pStyle w:val="Heading3"/>
      </w:pPr>
      <w:r>
        <w:rPr>
          <w:rFonts w:ascii="Times New Roman" w:cs="Times New Roman" w:eastAsia="Times New Roman" w:hAnsi="Times New Roman"/>
          <w:b/>
          <w:bCs/>
          <w:color w:val="E07B00"/>
          <w:sz w:val="24"/>
          <w:szCs w:val="24"/>
        </w:rPr>
        <w:t xml:space="preserve">Is any of DynamicBA's AI output final on its own?</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No. AI-drafted records are tagged Draft and feed into the same human review, edit, and approval flow as anything entered manually. Feasibility and ROI scores are always computed by DynamicBA's own transparent formula, never decided by the AI model itself.</w:t>
      </w:r>
    </w:p>
    <w:p>
      <w:pPr>
        <w:pStyle w:val="Heading3"/>
      </w:pPr>
      <w:r>
        <w:rPr>
          <w:rFonts w:ascii="Times New Roman" w:cs="Times New Roman" w:eastAsia="Times New Roman" w:hAnsi="Times New Roman"/>
          <w:b/>
          <w:bCs/>
          <w:color w:val="E07B00"/>
          <w:sz w:val="24"/>
          <w:szCs w:val="24"/>
        </w:rPr>
        <w:t xml:space="preserve">Can a Project be deleted permanently?</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Deleting a Project sends it to the Recycle Bin first. An Organization Admin (or anyone with recyclebin.manage) can restore it or permanently purge it from there.</w:t>
      </w:r>
    </w:p>
    <w:p>
      <w:pPr>
        <w:pStyle w:val="Heading3"/>
      </w:pPr>
      <w:r>
        <w:rPr>
          <w:rFonts w:ascii="Times New Roman" w:cs="Times New Roman" w:eastAsia="Times New Roman" w:hAnsi="Times New Roman"/>
          <w:b/>
          <w:bCs/>
          <w:color w:val="E07B00"/>
          <w:sz w:val="24"/>
          <w:szCs w:val="24"/>
        </w:rPr>
        <w:t xml:space="preserve">Where can I see everything that happened on a Project?</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Admin → Audit Log records who changed what and when, organization-wide.</w:t>
      </w:r>
    </w:p>
    <w:p>
      <w:r>
        <w:br w:type="page"/>
      </w:r>
    </w:p>
    <w:p>
      <w:pPr>
        <w:pStyle w:val="Heading1"/>
      </w:pPr>
      <w:r>
        <w:rPr>
          <w:rFonts w:ascii="Times New Roman" w:cs="Times New Roman" w:eastAsia="Times New Roman" w:hAnsi="Times New Roman"/>
          <w:b/>
          <w:bCs/>
          <w:color w:val="E07B00"/>
          <w:sz w:val="34"/>
          <w:szCs w:val="34"/>
        </w:rPr>
        <w:t xml:space="preserve">6. Glossary</w:t>
      </w:r>
    </w:p>
    <w:tbl>
      <w:tblPr>
        <w:tblW w:type="dxa" w:w="9540"/>
        <w:tblBorders>
          <w:top w:val="single" w:color="E3E3E4" w:sz="2"/>
          <w:left w:val="single" w:color="E3E3E4" w:sz="2"/>
          <w:bottom w:val="single" w:color="E3E3E4" w:sz="2"/>
          <w:right w:val="single" w:color="E3E3E4" w:sz="2"/>
          <w:insideH w:val="single" w:color="E3E3E4" w:sz="2"/>
          <w:insideV w:val="single" w:color="E3E3E4" w:sz="2"/>
        </w:tblBorders>
      </w:tblPr>
      <w:tblGrid>
        <w:gridCol w:w="2400"/>
        <w:gridCol w:w="7140"/>
      </w:tblGrid>
      <w:tr>
        <w:trPr>
          <w:tblHeader/>
        </w:trPr>
        <w:tc>
          <w:tcPr>
            <w:tcW w:type="dxa" w:w="2400"/>
            <w:shd w:fill="F8931D" w:color="auto" w:val="clear"/>
            <w:tcMar>
              <w:top w:type="dxa" w:w="70"/>
              <w:left w:type="dxa" w:w="100"/>
              <w:bottom w:type="dxa" w:w="70"/>
              <w:right w:type="dxa" w:w="100"/>
            </w:tcMar>
            <w:vAlign w:val="center"/>
          </w:tcPr>
          <w:p>
            <w:r>
              <w:rPr>
                <w:rFonts w:ascii="Times New Roman" w:cs="Times New Roman" w:eastAsia="Times New Roman" w:hAnsi="Times New Roman"/>
                <w:b/>
                <w:bCs/>
                <w:color w:val="FFFFFF"/>
                <w:sz w:val="19"/>
                <w:szCs w:val="19"/>
              </w:rPr>
              <w:t xml:space="preserve">Term</w:t>
            </w:r>
          </w:p>
        </w:tc>
        <w:tc>
          <w:tcPr>
            <w:tcW w:type="dxa" w:w="7140"/>
            <w:shd w:fill="F8931D" w:color="auto" w:val="clear"/>
            <w:tcMar>
              <w:top w:type="dxa" w:w="70"/>
              <w:left w:type="dxa" w:w="100"/>
              <w:bottom w:type="dxa" w:w="70"/>
              <w:right w:type="dxa" w:w="100"/>
            </w:tcMar>
            <w:vAlign w:val="center"/>
          </w:tcPr>
          <w:p>
            <w:r>
              <w:rPr>
                <w:rFonts w:ascii="Times New Roman" w:cs="Times New Roman" w:eastAsia="Times New Roman" w:hAnsi="Times New Roman"/>
                <w:b/>
                <w:bCs/>
                <w:color w:val="FFFFFF"/>
                <w:sz w:val="19"/>
                <w:szCs w:val="19"/>
              </w:rPr>
              <w:t xml:space="preserve">Meaning</w:t>
            </w:r>
          </w:p>
        </w:tc>
      </w:tr>
      <w:tr>
        <w:tc>
          <w:tcPr>
            <w:tcW w:type="dxa" w:w="2400"/>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SOW</w:t>
            </w:r>
          </w:p>
        </w:tc>
        <w:tc>
          <w:tcPr>
            <w:tcW w:type="dxa" w:w="7140"/>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Statement of Work — the signed engagement scope DynamicBA ingests in Step 1.</w:t>
            </w:r>
          </w:p>
        </w:tc>
      </w:tr>
      <w:tr>
        <w:tc>
          <w:tcPr>
            <w:tcW w:type="dxa" w:w="2400"/>
            <w:shd w:fill="F2F2F3" w:color="auto" w:val="clear"/>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MP-01 … MP-07</w:t>
            </w:r>
          </w:p>
        </w:tc>
        <w:tc>
          <w:tcPr>
            <w:tcW w:type="dxa" w:w="7140"/>
            <w:shd w:fill="F2F2F3" w:color="auto" w:val="clear"/>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DynamicBA's 7 internal macro processes covering the whole engagement lifecycle.</w:t>
            </w:r>
          </w:p>
        </w:tc>
      </w:tr>
      <w:tr>
        <w:tc>
          <w:tcPr>
            <w:tcW w:type="dxa" w:w="2400"/>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Object Class (OC-xx)</w:t>
            </w:r>
          </w:p>
        </w:tc>
        <w:tc>
          <w:tcPr>
            <w:tcW w:type="dxa" w:w="7140"/>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One of DynamicBA's 32 canonical record types (e.g., Automation_Candidate, Use_Case).</w:t>
            </w:r>
          </w:p>
        </w:tc>
      </w:tr>
      <w:tr>
        <w:tc>
          <w:tcPr>
            <w:tcW w:type="dxa" w:w="2400"/>
            <w:shd w:fill="F2F2F3" w:color="auto" w:val="clear"/>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Feasibility Score</w:t>
            </w:r>
          </w:p>
        </w:tc>
        <w:tc>
          <w:tcPr>
            <w:tcW w:type="dxa" w:w="7140"/>
            <w:shd w:fill="F2F2F3" w:color="auto" w:val="clear"/>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A 0-100 composite of technical, data-quality, process-stability, and strategic-fit ratings.</w:t>
            </w:r>
          </w:p>
        </w:tc>
      </w:tr>
      <w:tr>
        <w:tc>
          <w:tcPr>
            <w:tcW w:type="dxa" w:w="2400"/>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RBAC / Permission Matrix</w:t>
            </w:r>
          </w:p>
        </w:tc>
        <w:tc>
          <w:tcPr>
            <w:tcW w:type="dxa" w:w="7140"/>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Role-based access control — which role can do what, editable under Admin.</w:t>
            </w:r>
          </w:p>
        </w:tc>
      </w:tr>
      <w:tr>
        <w:tc>
          <w:tcPr>
            <w:tcW w:type="dxa" w:w="2400"/>
            <w:shd w:fill="F2F2F3" w:color="auto" w:val="clear"/>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Handoff Package</w:t>
            </w:r>
          </w:p>
        </w:tc>
        <w:tc>
          <w:tcPr>
            <w:tcW w:type="dxa" w:w="7140"/>
            <w:shd w:fill="F2F2F3" w:color="auto" w:val="clear"/>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The exported Word/PDF/Excel specification package delivered at Step 4.</w:t>
            </w:r>
          </w:p>
        </w:tc>
      </w:tr>
      <w:tr>
        <w:tc>
          <w:tcPr>
            <w:tcW w:type="dxa" w:w="2400"/>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AI-Generated Draft</w:t>
            </w:r>
          </w:p>
        </w:tc>
        <w:tc>
          <w:tcPr>
            <w:tcW w:type="dxa" w:w="7140"/>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Content produced by DynamicBA's AI Specification Assistant, always reviewed by a human before it counts as final.</w:t>
            </w:r>
          </w:p>
        </w:tc>
      </w:tr>
    </w:tbl>
    <w:p>
      <w:pPr>
        <w:spacing w:after="200" w:before="60"/>
      </w:pPr>
      <w:r>
        <w:rPr>
          <w:rFonts w:ascii="Times New Roman" w:cs="Times New Roman" w:eastAsia="Times New Roman" w:hAnsi="Times New Roman"/>
          <w:i/>
          <w:iCs/>
          <w:color w:val="58595B"/>
          <w:sz w:val="19"/>
          <w:szCs w:val="19"/>
        </w:rPr>
        <w:t xml:space="preserve">End of User Guide.</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184"/>
        <w:sz w:val="14"/>
        <w:szCs w:val="14"/>
      </w:rPr>
      <w:t xml:space="preserve">DynamicBA Specification Package — Page </w:t>
    </w:r>
    <w:r>
      <w:rPr>
        <w:rFonts w:ascii="Times New Roman" w:cs="Times New Roman" w:eastAsia="Times New Roman" w:hAnsi="Times New Roman"/>
        <w:color w:val="808184"/>
        <w:sz w:val="14"/>
        <w:szCs w:val="14"/>
      </w:rPr>
      <w:fldChar w:fldCharType="begin"/>
      <w:instrText xml:space="preserve">PAGE</w:instrText>
      <w:fldChar w:fldCharType="separate"/>
      <w:fldChar w:fldCharType="end"/>
    </w:r>
    <w:r>
      <w:rPr>
        <w:rFonts w:ascii="Times New Roman" w:cs="Times New Roman" w:eastAsia="Times New Roman" w:hAnsi="Times New Roman"/>
        <w:color w:val="808184"/>
        <w:sz w:val="14"/>
        <w:szCs w:val="14"/>
      </w:rPr>
      <w:t xml:space="preserve"> of </w:t>
    </w:r>
    <w:r>
      <w:rPr>
        <w:rFonts w:ascii="Times New Roman" w:cs="Times New Roman" w:eastAsia="Times New Roman" w:hAnsi="Times New Roman"/>
        <w:color w:val="808184"/>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E3E4" w:sz="4" w:space="4"/>
      </w:pBdr>
    </w:pPr>
    <w:r>
      <w:rPr>
        <w:rFonts w:ascii="Times New Roman" w:cs="Times New Roman" w:eastAsia="Times New Roman" w:hAnsi="Times New Roman"/>
        <w:color w:val="808184"/>
        <w:sz w:val="14"/>
        <w:szCs w:val="14"/>
      </w:rPr>
      <w:t xml:space="preserve">POWERACT Consulting — DynamicBA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58595B"/>
        <w:sz w:val="24"/>
        <w:szCs w:val="24"/>
      </w:rPr>
    </w:rPrDefault>
    <w:pPrDefault>
      <w:pPr>
        <w:spacing w:after="16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07B00" w:sz="6" w:space="4"/>
      </w:pBdr>
      <w:spacing w:after="200" w:before="360"/>
      <w:outlineLvl w:val="0"/>
    </w:pPr>
    <w:rPr>
      <w:rFonts w:ascii="Times New Roman" w:cs="Times New Roman" w:eastAsia="Times New Roman" w:hAnsi="Times New Roman"/>
      <w:b/>
      <w:bCs/>
      <w:color w:val="E07B00"/>
      <w:sz w:val="34"/>
      <w:szCs w:val="34"/>
    </w:rPr>
  </w:style>
  <w:style w:type="paragraph" w:styleId="Heading2">
    <w:name w:val="Heading 2"/>
    <w:basedOn w:val="Normal"/>
    <w:next w:val="Normal"/>
    <w:qFormat/>
    <w:pPr>
      <w:spacing w:after="140" w:before="260"/>
      <w:outlineLvl w:val="1"/>
    </w:pPr>
    <w:rPr>
      <w:rFonts w:ascii="Times New Roman" w:cs="Times New Roman" w:eastAsia="Times New Roman" w:hAnsi="Times New Roman"/>
      <w:b/>
      <w:bCs/>
      <w:color w:val="3A3A3C"/>
      <w:sz w:val="27"/>
      <w:szCs w:val="27"/>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E07B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2026-09-22T15:11:38.238Z</dcterms:created>
  <dcterms:modified xsi:type="dcterms:W3CDTF">2026-09-22T15:11:38.238Z</dcterms:modified>
</cp:coreProperties>
</file>

<file path=docProps/custom.xml><?xml version="1.0" encoding="utf-8"?>
<Properties xmlns="http://schemas.openxmlformats.org/officeDocument/2006/custom-properties" xmlns:vt="http://schemas.openxmlformats.org/officeDocument/2006/docPropsVTypes"/>
</file>