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Times New Roman" w:cs="Times New Roman" w:eastAsia="Times New Roman" w:hAnsi="Times New Roman"/>
          <w:b/>
          <w:bCs/>
          <w:color w:val="E07B00"/>
          <w:sz w:val="24"/>
          <w:szCs w:val="24"/>
        </w:rPr>
        <w:t xml:space="preserve">POWERACT CONSULTING</w:t>
      </w:r>
    </w:p>
    <w:p>
      <w:pPr>
        <w:spacing w:before="300"/>
        <w:jc w:val="center"/>
      </w:pPr>
      <w:r>
        <w:rPr>
          <w:rFonts w:ascii="Times New Roman" w:cs="Times New Roman" w:eastAsia="Times New Roman" w:hAnsi="Times New Roman"/>
          <w:b/>
          <w:bCs/>
          <w:color w:val="3A3A3C"/>
          <w:sz w:val="60"/>
          <w:szCs w:val="60"/>
        </w:rPr>
        <w:t xml:space="preserve">NCP Solver</w:t>
      </w:r>
    </w:p>
    <w:p>
      <w:pPr>
        <w:jc w:val="center"/>
      </w:pPr>
      <w:r>
        <w:rPr>
          <w:rFonts w:ascii="Times New Roman" w:cs="Times New Roman" w:eastAsia="Times New Roman" w:hAnsi="Times New Roman"/>
          <w:b/>
          <w:bCs/>
          <w:color w:val="E07B00"/>
          <w:sz w:val="34"/>
          <w:szCs w:val="34"/>
        </w:rPr>
        <w:t xml:space="preserve">DynamicMS Suite</w:t>
      </w:r>
    </w:p>
    <w:p>
      <w:pPr>
        <w:spacing w:before="500"/>
        <w:jc w:val="center"/>
      </w:pPr>
      <w:r>
        <w:rPr>
          <w:rFonts w:ascii="Times New Roman" w:cs="Times New Roman" w:eastAsia="Times New Roman" w:hAnsi="Times New Roman"/>
          <w:b/>
          <w:bCs/>
          <w:color w:val="3A3A3C"/>
          <w:sz w:val="26"/>
          <w:szCs w:val="26"/>
        </w:rPr>
        <w:t xml:space="preserve">SOFTWARE REQUIREMENTS SPECIFICATION</w:t>
      </w:r>
    </w:p>
    <w:p>
      <w:pPr>
        <w:spacing w:before="100"/>
        <w:jc w:val="center"/>
      </w:pPr>
      <w:r>
        <w:rPr>
          <w:rFonts w:ascii="Times New Roman" w:cs="Times New Roman" w:eastAsia="Times New Roman" w:hAnsi="Times New Roman"/>
          <w:i/>
          <w:iCs/>
          <w:color w:val="58595B"/>
          <w:sz w:val="22"/>
          <w:szCs w:val="22"/>
        </w:rPr>
        <w:t xml:space="preserve">Functional &amp; Non-Functional Requirements, and Interfaces</w:t>
      </w:r>
    </w:p>
    <w:p>
      <w:pPr>
        <w:spacing w:before="500"/>
        <w:jc w:val="center"/>
      </w:pPr>
      <w:r>
        <w:rPr>
          <w:rFonts w:ascii="Times New Roman" w:cs="Times New Roman" w:eastAsia="Times New Roman" w:hAnsi="Times New Roman"/>
          <w:b/>
          <w:bCs/>
          <w:color w:val="3A3A3C"/>
          <w:sz w:val="22"/>
          <w:szCs w:val="22"/>
        </w:rPr>
        <w:t xml:space="preserve">Version 2.0</w:t>
      </w:r>
    </w:p>
    <w:p>
      <w:pPr>
        <w:jc w:val="center"/>
      </w:pPr>
      <w:r>
        <w:rPr>
          <w:rFonts w:ascii="Times New Roman" w:cs="Times New Roman" w:eastAsia="Times New Roman" w:hAnsi="Times New Roman"/>
          <w:color w:val="808184"/>
          <w:sz w:val="20"/>
          <w:szCs w:val="20"/>
        </w:rPr>
        <w:t xml:space="preserve">September 2026</w:t>
      </w:r>
    </w:p>
    <w:p>
      <w:pPr>
        <w:jc w:val="center"/>
      </w:pPr>
      <w:r>
        <w:rPr>
          <w:rFonts w:ascii="Times New Roman" w:cs="Times New Roman" w:eastAsia="Times New Roman" w:hAnsi="Times New Roman"/>
          <w:color w:val="808184"/>
          <w:sz w:val="20"/>
          <w:szCs w:val="20"/>
        </w:rPr>
        <w:t xml:space="preserve">Confidential</w:t>
      </w:r>
    </w:p>
    <w:p>
      <w:r>
        <w:br w:type="page"/>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1. Introduction</w:t>
      </w:r>
    </w:p>
    <w:p>
      <w:pPr>
        <w:pStyle w:val="Heading2"/>
        <w:spacing w:after="100" w:before="260"/>
      </w:pPr>
      <w:r>
        <w:rPr>
          <w:rFonts w:ascii="Times New Roman" w:cs="Times New Roman" w:eastAsia="Times New Roman" w:hAnsi="Times New Roman"/>
          <w:b/>
          <w:bCs/>
          <w:color w:val="3A3A3C"/>
          <w:sz w:val="26"/>
          <w:szCs w:val="26"/>
        </w:rPr>
        <w:t xml:space="preserve">1.1 Purpose</w:t>
      </w:r>
    </w:p>
    <w:p>
      <w:pPr>
        <w:spacing w:after="140" w:line="268"/>
        <w:jc w:val="both"/>
      </w:pPr>
      <w:r>
        <w:rPr>
          <w:rFonts w:ascii="Times New Roman" w:cs="Times New Roman" w:eastAsia="Times New Roman" w:hAnsi="Times New Roman"/>
          <w:color w:val="58595B"/>
          <w:sz w:val="22"/>
          <w:szCs w:val="22"/>
        </w:rPr>
        <w:t xml:space="preserve">This Software Requirements Specification (SRS) captures the complete set of functional and non-functional requirements, and the external interfaces, of NCP Solver — DynamicMS Suite. It is derived from, and traceable to, the NCP Solver project scope, definition &amp; design (PDD), information model, and knowledge-base source specifications, the NCP Solver Technical Solution Offer and Financial Offer, and from the delivered implementation itself. It is intended for product owners, developers, quality assurance, and auditors.</w:t>
      </w:r>
    </w:p>
    <w:p>
      <w:pPr>
        <w:pStyle w:val="Heading2"/>
        <w:spacing w:after="100" w:before="260"/>
      </w:pPr>
      <w:r>
        <w:rPr>
          <w:rFonts w:ascii="Times New Roman" w:cs="Times New Roman" w:eastAsia="Times New Roman" w:hAnsi="Times New Roman"/>
          <w:b/>
          <w:bCs/>
          <w:color w:val="3A3A3C"/>
          <w:sz w:val="26"/>
          <w:szCs w:val="26"/>
        </w:rPr>
        <w:t xml:space="preserve">1.2 Scope</w:t>
      </w:r>
    </w:p>
    <w:p>
      <w:pPr>
        <w:spacing w:after="140" w:line="268"/>
        <w:jc w:val="both"/>
      </w:pPr>
      <w:r>
        <w:rPr>
          <w:rFonts w:ascii="Times New Roman" w:cs="Times New Roman" w:eastAsia="Times New Roman" w:hAnsi="Times New Roman"/>
          <w:color w:val="58595B"/>
          <w:sz w:val="22"/>
          <w:szCs w:val="22"/>
        </w:rPr>
        <w:t xml:space="preserve">NCP Solver is a full-stack, multi-tenant, multi-language web application that manages non-conformities and problems (recorded as "NCP Sheets") through a structured seven-stage resolution process (S1-S7), augmented by rule-based AI agents grounded in a per-stage Standards Knowledge Base, and surrounded by governance, risk, and compliance (GRC) modules: Business Rules, Controls (COSO framework), Risks &amp; Opportunities, a RACSI (Responsible/Accountable/Consulted/Support/Informed) accountability matrix, and a BPMN process-diagram module, plus an independently versioned AI Use Cases Library supporting both a seeded library and organization-authored custom use cases. Commercial and deployment configuration is centralized in a Configuration Management module offering three Solution Packs (Resolve, Govern, Assure), a catalog of priced Add-Ons, three Compliance &amp; Security Standards modules (GDPR, ISO/IEC 27001, SOC 2), five deployment options, and server-enforced feature and quota entitlements. An Organizational Breakdown Structure (OBS) of sites/departments/services/teams underlies and links every one of these modules. A chat-style AI Assistant, also available as a floating chatbot widget on every screen, answers RBAC-scoped data questions and application-help questions. Custom KPIs and a Sheet Template library are available to every Organization regardless of Pack. Standard reports are exportable to PDF, Excel, and Word. An in-app, searchable, multi-language Help guide documents every module. The application supports both independent-company and group-of-companies tenancy models, role-based access control across nine standard roles, and English/French/Arabic localization including full right-to-left layout.</w:t>
      </w:r>
    </w:p>
    <w:p>
      <w:pPr>
        <w:pStyle w:val="Heading2"/>
        <w:spacing w:after="100" w:before="260"/>
      </w:pPr>
      <w:r>
        <w:rPr>
          <w:rFonts w:ascii="Times New Roman" w:cs="Times New Roman" w:eastAsia="Times New Roman" w:hAnsi="Times New Roman"/>
          <w:b/>
          <w:bCs/>
          <w:color w:val="3A3A3C"/>
          <w:sz w:val="26"/>
          <w:szCs w:val="26"/>
        </w:rPr>
        <w:t xml:space="preserve">1.3 Definitions, Acronyms, and Abbreviations</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800"/>
        <w:gridCol w:w="7560"/>
      </w:tblGrid>
      <w:tr>
        <w:trPr>
          <w:tblHeader/>
        </w:trPr>
        <w:tc>
          <w:tcPr>
            <w:tcW w:type="dxa" w:w="18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Term</w:t>
            </w:r>
          </w:p>
        </w:tc>
        <w:tc>
          <w:tcPr>
            <w:tcW w:type="dxa" w:w="75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Definition</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NCP Sheet</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central record of a non-conformity or problem, spanning stages S1-S7 (referred to as "NCP Fiche" in the original source specification; stages were renumbered from E1-E7 to S1-S7 in the delivered implementation).</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S1-S7</w:t>
            </w:r>
          </w:p>
        </w:tc>
        <w:tc>
          <w:tcPr>
            <w:tcW w:type="dxa" w:w="7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seven stages of the NCP resolution process: Detection &amp; Alert, Problem Understanding, Immediate/Containment Actions, Root Cause Analysis, Corrective Action Plan, Execution &amp; Evaluation, Capitalization (REX).</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AR</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 Responsible (Action Owner) — the user responsible for executing an action. Renamed from RR (Responsable Réalisation) in the delivered implementation.</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AE</w:t>
            </w:r>
          </w:p>
        </w:tc>
        <w:tc>
          <w:tcPr>
            <w:tcW w:type="dxa" w:w="7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 Evaluator — the user responsible for verifying an action’s effectiveness; must differ from the AR. Renamed from RE (Responsable Évaluation) in the delivered implementation.</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REX</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Retour d’EXperience — the structured lessons-learned output of stage S7.</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RCA</w:t>
            </w:r>
          </w:p>
        </w:tc>
        <w:tc>
          <w:tcPr>
            <w:tcW w:type="dxa" w:w="7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Root Cause Analysis — the discipline of finding the true underlying cause of a problem (5-Why, Ishikawa).</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5W2H / QQOQCCP</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Structured problem-description framework: What/Where/When/Who/Why/How/How-Much (French: Qui/Quoi/Ou/Quand/Comment/Combien/Pourquoi).</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6M</w:t>
            </w:r>
          </w:p>
        </w:tc>
        <w:tc>
          <w:tcPr>
            <w:tcW w:type="dxa" w:w="7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Ishikawa cause categories: Man, Machine, Method, Material, Measurement, Milieu.</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RAG</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Retrieval-Augmented Generation — TF-IDF/cosine-similarity semantic search grounding AI suggestions and the AI Assistant’s application-help answers in the tenant’s own historical data, its Standards Knowledge Base, or the built-in FAQ corpus, without a live external LLM call.</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RBAC</w:t>
            </w:r>
          </w:p>
        </w:tc>
        <w:tc>
          <w:tcPr>
            <w:tcW w:type="dxa" w:w="7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Role-Based Access Control — access rights determined by assigned role(s).</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COSO</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Committee of Sponsoring Organizations of the Treadway Commission — the internal control framework used to classify Controls.</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OBS</w:t>
            </w:r>
          </w:p>
        </w:tc>
        <w:tc>
          <w:tcPr>
            <w:tcW w:type="dxa" w:w="7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Organizational Breakdown Structure — the site/department/service/team tree; the shared source of roles and named people that other modules, including RACSI, point back to.</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RACSI</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Responsible, Accountable, Consulted, Support, Informed — a five-role extension of the classic RACI accountability model; exactly one Accountable per activity, the other four roles allow multiple assignees.</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BPMN</w:t>
            </w:r>
          </w:p>
        </w:tc>
        <w:tc>
          <w:tcPr>
            <w:tcW w:type="dxa" w:w="7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Business Process Model and Notation — the OMG standard notation used by the BPMN Process module to model workflows, including the NCP Solver process itself.</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LLM</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Large Language Model — the class of AI model an AI Use Case may optionally call via a user’s own Real LLM Provider Connection (section 3.13), stored only in that user’s browser and forwarded once per generation request; every AI Use Case still computes its deterministic result and falls back to it automatically if the live call fails.</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 Assistant</w:t>
            </w:r>
          </w:p>
        </w:tc>
        <w:tc>
          <w:tcPr>
            <w:tcW w:type="dxa" w:w="7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chat-style Q&amp;A feature (section 3.26), available on its own screen and as a floating chatbot widget, offering RBAC-scoped data queries and application-help queries, distinct from both the per-stage AI Agents and the AI Use Case Library.</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Assistive / Augmented</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two AI Use Case tiers (section 3.13): Assistive means the AI only observes/analyzes/suggests while a human performs the task and decision; Augmented means the AI performs a substantial part of the task but a human must review, edit, and approve before it is finalized. A third tier, Autonomous, is explicitly out of scope.</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Multi-Tenant</w:t>
            </w:r>
          </w:p>
        </w:tc>
        <w:tc>
          <w:tcPr>
            <w:tcW w:type="dxa" w:w="7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Architecture in which multiple Organizations share one deployment with fully isolated data.</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Composable Module</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module (Action Register, Alert Engine, RBAC, Audit Trail) built for reuse by other applications via a shared API contract.</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Solution Pack</w:t>
            </w:r>
          </w:p>
        </w:tc>
        <w:tc>
          <w:tcPr>
            <w:tcW w:type="dxa" w:w="7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One of three commercial tiers — Resolve (Essentials), Govern (Professional), Assure (Enterprise) — each defining a fixed feature and quota entitlement matrix for an Organization (section 3.6).</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Add-On</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priced, independently toggleable capability (Capitalization Library &amp; RAG, AI Assistant, BPMN Full Editing Modeler, Custom Roles &amp; Permission Matrix Editor, Sovereign Deployment Suite) that grants a feature to a Pack not already including it standard.</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Compliance Module</w:t>
            </w:r>
          </w:p>
        </w:tc>
        <w:tc>
          <w:tcPr>
            <w:tcW w:type="dxa" w:w="7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One of three priced toggles (GDPR, ISO/IEC 27001, SOC 2 Type II) that seeds a COSO-classified Controls scaffold and activates a linked Standard; explicitly not a certification (section 3.6, NFR-COMP-04).</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Standard Requirement</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clause-level breakdown of a Standard’s requirements (e.g. ISO 9001 §8.5.1), each illustrated with a simulated non-conformity example (section 3.7).</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Custom KPI</w:t>
            </w:r>
          </w:p>
        </w:tc>
        <w:tc>
          <w:tcPr>
            <w:tcW w:type="dxa" w:w="7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An organization-defined KPI additive to the 10 built-in system KPIs (section 3.18).</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Sheet Template</w:t>
            </w:r>
          </w:p>
        </w:tc>
        <w:tc>
          <w:tcPr>
            <w:tcW w:type="dxa" w:w="7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pre-filled S1 starting point (title/description template, default criticality/priority) selectable when registering a new NCP Sheet (section 3.9).</w:t>
            </w:r>
          </w:p>
        </w:tc>
      </w:tr>
    </w:tbl>
    <w:p>
      <w:pPr>
        <w:pStyle w:val="Heading2"/>
        <w:spacing w:after="100" w:before="260"/>
      </w:pPr>
      <w:r>
        <w:rPr>
          <w:rFonts w:ascii="Times New Roman" w:cs="Times New Roman" w:eastAsia="Times New Roman" w:hAnsi="Times New Roman"/>
          <w:b/>
          <w:bCs/>
          <w:color w:val="3A3A3C"/>
          <w:sz w:val="26"/>
          <w:szCs w:val="26"/>
        </w:rPr>
        <w:t xml:space="preserve">1.4 References</w:t>
      </w:r>
    </w:p>
    <w:p>
      <w:pPr>
        <w:pStyle w:val="ListParagraph"/>
        <w:numPr>
          <w:ilvl w:val="0"/>
          <w:numId w:val="2"/>
        </w:numPr>
        <w:spacing w:after="60"/>
      </w:pPr>
      <w:r>
        <w:rPr>
          <w:rFonts w:ascii="Times New Roman" w:cs="Times New Roman" w:eastAsia="Times New Roman" w:hAnsi="Times New Roman"/>
          <w:color w:val="58595B"/>
          <w:sz w:val="22"/>
          <w:szCs w:val="22"/>
        </w:rPr>
        <w:t xml:space="preserve">NCP Solver — Fast-Track Project Scope (source specification).</w:t>
      </w:r>
    </w:p>
    <w:p>
      <w:pPr>
        <w:pStyle w:val="ListParagraph"/>
        <w:numPr>
          <w:ilvl w:val="0"/>
          <w:numId w:val="2"/>
        </w:numPr>
        <w:spacing w:after="60"/>
      </w:pPr>
      <w:r>
        <w:rPr>
          <w:rFonts w:ascii="Times New Roman" w:cs="Times New Roman" w:eastAsia="Times New Roman" w:hAnsi="Times New Roman"/>
          <w:color w:val="58595B"/>
          <w:sz w:val="22"/>
          <w:szCs w:val="22"/>
        </w:rPr>
        <w:t xml:space="preserve">NCP Solver — AI Project Definition &amp; Design (PDD) v1.0.</w:t>
      </w:r>
    </w:p>
    <w:p>
      <w:pPr>
        <w:pStyle w:val="ListParagraph"/>
        <w:numPr>
          <w:ilvl w:val="0"/>
          <w:numId w:val="2"/>
        </w:numPr>
        <w:spacing w:after="60"/>
      </w:pPr>
      <w:r>
        <w:rPr>
          <w:rFonts w:ascii="Times New Roman" w:cs="Times New Roman" w:eastAsia="Times New Roman" w:hAnsi="Times New Roman"/>
          <w:color w:val="58595B"/>
          <w:sz w:val="22"/>
          <w:szCs w:val="22"/>
        </w:rPr>
        <w:t xml:space="preserve">NCP Solver — Information Model (core classes / entity specification).</w:t>
      </w:r>
    </w:p>
    <w:p>
      <w:pPr>
        <w:pStyle w:val="ListParagraph"/>
        <w:numPr>
          <w:ilvl w:val="0"/>
          <w:numId w:val="2"/>
        </w:numPr>
        <w:spacing w:after="60"/>
      </w:pPr>
      <w:r>
        <w:rPr>
          <w:rFonts w:ascii="Times New Roman" w:cs="Times New Roman" w:eastAsia="Times New Roman" w:hAnsi="Times New Roman"/>
          <w:color w:val="58595B"/>
          <w:sz w:val="22"/>
          <w:szCs w:val="22"/>
        </w:rPr>
        <w:t xml:space="preserve">NCP Solver — Knowledge Base for RAG v1.0 (KB-000 through KB-021).</w:t>
      </w:r>
    </w:p>
    <w:p>
      <w:pPr>
        <w:pStyle w:val="ListParagraph"/>
        <w:numPr>
          <w:ilvl w:val="0"/>
          <w:numId w:val="2"/>
        </w:numPr>
        <w:spacing w:after="60"/>
      </w:pPr>
      <w:r>
        <w:rPr>
          <w:rFonts w:ascii="Times New Roman" w:cs="Times New Roman" w:eastAsia="Times New Roman" w:hAnsi="Times New Roman"/>
          <w:color w:val="58595B"/>
          <w:sz w:val="22"/>
          <w:szCs w:val="22"/>
        </w:rPr>
        <w:t xml:space="preserve">NCP-Solver: Global CIO Forum Use Case presentation, Fast-Track edition.</w:t>
      </w:r>
    </w:p>
    <w:p>
      <w:pPr>
        <w:pStyle w:val="ListParagraph"/>
        <w:numPr>
          <w:ilvl w:val="0"/>
          <w:numId w:val="2"/>
        </w:numPr>
        <w:spacing w:after="60"/>
      </w:pPr>
      <w:r>
        <w:rPr>
          <w:rFonts w:ascii="Times New Roman" w:cs="Times New Roman" w:eastAsia="Times New Roman" w:hAnsi="Times New Roman"/>
          <w:color w:val="58595B"/>
          <w:sz w:val="22"/>
          <w:szCs w:val="22"/>
        </w:rPr>
        <w:t xml:space="preserve">NCP Solver — Technical Solution Offer (Solution Packs, Add-On Catalog, Compliance &amp; Security Standards, Annex A Standards Library).</w:t>
      </w:r>
    </w:p>
    <w:p>
      <w:pPr>
        <w:pStyle w:val="ListParagraph"/>
        <w:numPr>
          <w:ilvl w:val="0"/>
          <w:numId w:val="2"/>
        </w:numPr>
        <w:spacing w:after="60"/>
      </w:pPr>
      <w:r>
        <w:rPr>
          <w:rFonts w:ascii="Times New Roman" w:cs="Times New Roman" w:eastAsia="Times New Roman" w:hAnsi="Times New Roman"/>
          <w:color w:val="58595B"/>
          <w:sz w:val="22"/>
          <w:szCs w:val="22"/>
        </w:rPr>
        <w:t xml:space="preserve">NCP Solver — Financial Offer (Enablement, License, Compliance Standard, Add-On, and Maintenance pricing).</w:t>
      </w:r>
    </w:p>
    <w:p>
      <w:pPr>
        <w:pStyle w:val="ListParagraph"/>
        <w:numPr>
          <w:ilvl w:val="0"/>
          <w:numId w:val="2"/>
        </w:numPr>
        <w:spacing w:after="60"/>
      </w:pPr>
      <w:r>
        <w:rPr>
          <w:rFonts w:ascii="Times New Roman" w:cs="Times New Roman" w:eastAsia="Times New Roman" w:hAnsi="Times New Roman"/>
          <w:color w:val="58595B"/>
          <w:sz w:val="22"/>
          <w:szCs w:val="22"/>
        </w:rPr>
        <w:t xml:space="preserve">POWERACT Consulting — Brand &amp; Graphical Chart Guide v1.0.</w:t>
      </w:r>
    </w:p>
    <w:p>
      <w:pPr>
        <w:pStyle w:val="Heading2"/>
        <w:spacing w:after="100" w:before="260"/>
      </w:pPr>
      <w:r>
        <w:rPr>
          <w:rFonts w:ascii="Times New Roman" w:cs="Times New Roman" w:eastAsia="Times New Roman" w:hAnsi="Times New Roman"/>
          <w:b/>
          <w:bCs/>
          <w:color w:val="3A3A3C"/>
          <w:sz w:val="26"/>
          <w:szCs w:val="26"/>
        </w:rPr>
        <w:t xml:space="preserve">1.5 Document Overview</w:t>
      </w:r>
    </w:p>
    <w:p>
      <w:pPr>
        <w:spacing w:after="140" w:line="268"/>
        <w:jc w:val="both"/>
      </w:pPr>
      <w:r>
        <w:rPr>
          <w:rFonts w:ascii="Times New Roman" w:cs="Times New Roman" w:eastAsia="Times New Roman" w:hAnsi="Times New Roman"/>
          <w:color w:val="58595B"/>
          <w:sz w:val="22"/>
          <w:szCs w:val="22"/>
        </w:rPr>
        <w:t xml:space="preserve">Section 2 describes the product at a high level. Section 3 enumerates functional requirements by module, each individually identified (FR-xxx) for traceability. Section 4 defines external interfaces (user, software, hardware, communications, and interfaces with other applications). Section 5 defines non-functional requirements (NFR-xxx). Section 6 summarizes the data model. Appendices provide the permission matrix, KPI formulas, alert catalog, and a full glossary.</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2. Overall Description</w:t>
      </w:r>
    </w:p>
    <w:p>
      <w:pPr>
        <w:pStyle w:val="Heading2"/>
        <w:spacing w:after="100" w:before="260"/>
      </w:pPr>
      <w:r>
        <w:rPr>
          <w:rFonts w:ascii="Times New Roman" w:cs="Times New Roman" w:eastAsia="Times New Roman" w:hAnsi="Times New Roman"/>
          <w:b/>
          <w:bCs/>
          <w:color w:val="3A3A3C"/>
          <w:sz w:val="26"/>
          <w:szCs w:val="26"/>
        </w:rPr>
        <w:t xml:space="preserve">2.1 Product Perspective</w:t>
      </w:r>
    </w:p>
    <w:p>
      <w:pPr>
        <w:spacing w:after="140" w:line="268"/>
        <w:jc w:val="both"/>
      </w:pPr>
      <w:r>
        <w:rPr>
          <w:rFonts w:ascii="Times New Roman" w:cs="Times New Roman" w:eastAsia="Times New Roman" w:hAnsi="Times New Roman"/>
          <w:color w:val="58595B"/>
          <w:sz w:val="22"/>
          <w:szCs w:val="22"/>
        </w:rPr>
        <w:t xml:space="preserve">NCP Solver is a self-contained system composed of a React single-page-application frontend and a Node.js/Express REST API backend, persisting to a relational database. It is designed around six composable modules (Action Register, Capitalization Library/RAG, Alert &amp; Notification Engine, User Management &amp; RBAC, KPI Dashboard &amp; Reporting, Audit Trail Service) intended for reuse by sibling enterprise applications (Risk Management, Audit Management, Project Management) via the same API contract. A second, independent Configuration Management layer (Solution Packs, Add-Ons, Compliance Modules) governs which of the above a given Organization may use, enforced at the API boundary alongside RBAC.</w:t>
      </w:r>
    </w:p>
    <w:p>
      <w:pPr>
        <w:pStyle w:val="Heading2"/>
        <w:spacing w:after="100" w:before="260"/>
      </w:pPr>
      <w:r>
        <w:rPr>
          <w:rFonts w:ascii="Times New Roman" w:cs="Times New Roman" w:eastAsia="Times New Roman" w:hAnsi="Times New Roman"/>
          <w:b/>
          <w:bCs/>
          <w:color w:val="3A3A3C"/>
          <w:sz w:val="26"/>
          <w:szCs w:val="26"/>
        </w:rPr>
        <w:t xml:space="preserve">2.2 Product Functions (Summary)</w:t>
      </w:r>
    </w:p>
    <w:p>
      <w:pPr>
        <w:pStyle w:val="ListParagraph"/>
        <w:numPr>
          <w:ilvl w:val="0"/>
          <w:numId w:val="2"/>
        </w:numPr>
        <w:spacing w:after="70"/>
      </w:pPr>
      <w:r>
        <w:rPr>
          <w:rFonts w:ascii="Times New Roman" w:cs="Times New Roman" w:eastAsia="Times New Roman" w:hAnsi="Times New Roman"/>
          <w:color w:val="58595B"/>
          <w:sz w:val="22"/>
          <w:szCs w:val="22"/>
        </w:rPr>
        <w:t xml:space="preserve">Register, understand, contain, analyze, correct, execute/evaluate, and capitalize non-conformities via the S1-S7 NCP Sheet workflow, optionally started from a Sheet Template.</w:t>
      </w:r>
    </w:p>
    <w:p>
      <w:pPr>
        <w:pStyle w:val="ListParagraph"/>
        <w:numPr>
          <w:ilvl w:val="0"/>
          <w:numId w:val="2"/>
        </w:numPr>
        <w:spacing w:after="70"/>
      </w:pPr>
      <w:r>
        <w:rPr>
          <w:rFonts w:ascii="Times New Roman" w:cs="Times New Roman" w:eastAsia="Times New Roman" w:hAnsi="Times New Roman"/>
          <w:color w:val="58595B"/>
          <w:sz w:val="22"/>
          <w:szCs w:val="22"/>
        </w:rPr>
        <w:t xml:space="preserve">Manage an Action Register shared by immediate and corrective actions, with AR/AE-segregated (Action Responsible / Action Evaluator) effectiveness evaluation and evidence.</w:t>
      </w:r>
    </w:p>
    <w:p>
      <w:pPr>
        <w:pStyle w:val="ListParagraph"/>
        <w:numPr>
          <w:ilvl w:val="0"/>
          <w:numId w:val="2"/>
        </w:numPr>
        <w:spacing w:after="70"/>
      </w:pPr>
      <w:r>
        <w:rPr>
          <w:rFonts w:ascii="Times New Roman" w:cs="Times New Roman" w:eastAsia="Times New Roman" w:hAnsi="Times New Roman"/>
          <w:color w:val="58595B"/>
          <w:sz w:val="22"/>
          <w:szCs w:val="22"/>
        </w:rPr>
        <w:t xml:space="preserve">Provide one rule-based AI agent per NCP process step (S1-S7) plus an always-on Monitoring &amp; Alert Agent, that suggest — never autonomously decide — classifications, problem structuring, containment actions, root causes, corrective actions, evaluation context, and REX narratives, each grounded by per-stage retrieval from the Standards Knowledge Base.</w:t>
      </w:r>
    </w:p>
    <w:p>
      <w:pPr>
        <w:pStyle w:val="ListParagraph"/>
        <w:numPr>
          <w:ilvl w:val="0"/>
          <w:numId w:val="2"/>
        </w:numPr>
        <w:spacing w:after="70"/>
      </w:pPr>
      <w:r>
        <w:rPr>
          <w:rFonts w:ascii="Times New Roman" w:cs="Times New Roman" w:eastAsia="Times New Roman" w:hAnsi="Times New Roman"/>
          <w:color w:val="58595B"/>
          <w:sz w:val="22"/>
          <w:szCs w:val="22"/>
        </w:rPr>
        <w:t xml:space="preserve">Maintain a semantically searchable Capitalization Library (RAG) of resolved problems, tenant-isolated.</w:t>
      </w:r>
    </w:p>
    <w:p>
      <w:pPr>
        <w:pStyle w:val="ListParagraph"/>
        <w:numPr>
          <w:ilvl w:val="0"/>
          <w:numId w:val="2"/>
        </w:numPr>
        <w:spacing w:after="70"/>
      </w:pPr>
      <w:r>
        <w:rPr>
          <w:rFonts w:ascii="Times New Roman" w:cs="Times New Roman" w:eastAsia="Times New Roman" w:hAnsi="Times New Roman"/>
          <w:color w:val="58595B"/>
          <w:sz w:val="22"/>
          <w:szCs w:val="22"/>
        </w:rPr>
        <w:t xml:space="preserve">Maintain an independently versioned AI Use Cases Library — a 14-entry seeded library plus organization-authored custom use cases up to Pack quota — with full labeled-section content history, revert, and an Active/Inactive toggle.</w:t>
      </w:r>
    </w:p>
    <w:p>
      <w:pPr>
        <w:pStyle w:val="ListParagraph"/>
        <w:numPr>
          <w:ilvl w:val="0"/>
          <w:numId w:val="2"/>
        </w:numPr>
        <w:spacing w:after="70"/>
      </w:pPr>
      <w:r>
        <w:rPr>
          <w:rFonts w:ascii="Times New Roman" w:cs="Times New Roman" w:eastAsia="Times New Roman" w:hAnsi="Times New Roman"/>
          <w:color w:val="58595B"/>
          <w:sz w:val="22"/>
          <w:szCs w:val="22"/>
        </w:rPr>
        <w:t xml:space="preserve">Maintain Business Rules, COSO-classified Controls, and a Risk/Opportunity register with a likelihood x impact heat map, each optionally tagged to an S1-S7 stage and surfaced on that stage’s Stage Governance panel.</w:t>
      </w:r>
    </w:p>
    <w:p>
      <w:pPr>
        <w:pStyle w:val="ListParagraph"/>
        <w:numPr>
          <w:ilvl w:val="0"/>
          <w:numId w:val="2"/>
        </w:numPr>
        <w:spacing w:after="70"/>
      </w:pPr>
      <w:r>
        <w:rPr>
          <w:rFonts w:ascii="Times New Roman" w:cs="Times New Roman" w:eastAsia="Times New Roman" w:hAnsi="Times New Roman"/>
          <w:color w:val="58595B"/>
          <w:sz w:val="22"/>
          <w:szCs w:val="22"/>
        </w:rPr>
        <w:t xml:space="preserve">Maintain a RACSI accountability matrix — one Accountable, any number of Responsible/Consulted/Support/Informed, as roles or named people — per NCP process step and per linked governance item.</w:t>
      </w:r>
    </w:p>
    <w:p>
      <w:pPr>
        <w:pStyle w:val="ListParagraph"/>
        <w:numPr>
          <w:ilvl w:val="0"/>
          <w:numId w:val="2"/>
        </w:numPr>
        <w:spacing w:after="70"/>
      </w:pPr>
      <w:r>
        <w:rPr>
          <w:rFonts w:ascii="Times New Roman" w:cs="Times New Roman" w:eastAsia="Times New Roman" w:hAnsi="Times New Roman"/>
          <w:color w:val="58595B"/>
          <w:sz w:val="22"/>
          <w:szCs w:val="22"/>
        </w:rPr>
        <w:t xml:space="preserve">Model process workflows, including the NCP Solver process itself, as real BPMN 2.0 diagrams, viewable or editable in-browser based on RBAC and Solution Pack.</w:t>
      </w:r>
    </w:p>
    <w:p>
      <w:pPr>
        <w:pStyle w:val="ListParagraph"/>
        <w:numPr>
          <w:ilvl w:val="0"/>
          <w:numId w:val="2"/>
        </w:numPr>
        <w:spacing w:after="70"/>
      </w:pPr>
      <w:r>
        <w:rPr>
          <w:rFonts w:ascii="Times New Roman" w:cs="Times New Roman" w:eastAsia="Times New Roman" w:hAnsi="Times New Roman"/>
          <w:color w:val="58595B"/>
          <w:sz w:val="22"/>
          <w:szCs w:val="22"/>
        </w:rPr>
        <w:t xml:space="preserve">Maintain a Standards Knowledge Base with a clause-level Requirements breakdown per Standard, each illustrated with a simulated non-conformity example.</w:t>
      </w:r>
    </w:p>
    <w:p>
      <w:pPr>
        <w:pStyle w:val="ListParagraph"/>
        <w:numPr>
          <w:ilvl w:val="0"/>
          <w:numId w:val="2"/>
        </w:numPr>
        <w:spacing w:after="70"/>
      </w:pPr>
      <w:r>
        <w:rPr>
          <w:rFonts w:ascii="Times New Roman" w:cs="Times New Roman" w:eastAsia="Times New Roman" w:hAnsi="Times New Roman"/>
          <w:color w:val="58595B"/>
          <w:sz w:val="22"/>
          <w:szCs w:val="22"/>
        </w:rPr>
        <w:t xml:space="preserve">Maintain Custom KPIs, additive to the 10 system KPIs, available on every Pack.</w:t>
      </w:r>
    </w:p>
    <w:p>
      <w:pPr>
        <w:pStyle w:val="ListParagraph"/>
        <w:numPr>
          <w:ilvl w:val="0"/>
          <w:numId w:val="2"/>
        </w:numPr>
        <w:spacing w:after="70"/>
      </w:pPr>
      <w:r>
        <w:rPr>
          <w:rFonts w:ascii="Times New Roman" w:cs="Times New Roman" w:eastAsia="Times New Roman" w:hAnsi="Times New Roman"/>
          <w:color w:val="58595B"/>
          <w:sz w:val="22"/>
          <w:szCs w:val="22"/>
        </w:rPr>
        <w:t xml:space="preserve">Provide an AI Assistant, on a dedicated screen and as a floating chatbot on every screen, answering RBAC-scoped questions about the organization’s own data and "Can it / How do I" questions about the application itself, open to every role whose Pack includes it.</w:t>
      </w:r>
    </w:p>
    <w:p>
      <w:pPr>
        <w:pStyle w:val="ListParagraph"/>
        <w:numPr>
          <w:ilvl w:val="0"/>
          <w:numId w:val="2"/>
        </w:numPr>
        <w:spacing w:after="70"/>
      </w:pPr>
      <w:r>
        <w:rPr>
          <w:rFonts w:ascii="Times New Roman" w:cs="Times New Roman" w:eastAsia="Times New Roman" w:hAnsi="Times New Roman"/>
          <w:color w:val="58595B"/>
          <w:sz w:val="22"/>
          <w:szCs w:val="22"/>
        </w:rPr>
        <w:t xml:space="preserve">Provide Configuration Management: three Solution Packs with a defined feature/quota matrix, five priced Add-Ons, three Compliance &amp; Security Standards modules, five deployment options, and support tiers, all enforced server-side.</w:t>
      </w:r>
    </w:p>
    <w:p>
      <w:pPr>
        <w:pStyle w:val="ListParagraph"/>
        <w:numPr>
          <w:ilvl w:val="0"/>
          <w:numId w:val="2"/>
        </w:numPr>
        <w:spacing w:after="70"/>
      </w:pPr>
      <w:r>
        <w:rPr>
          <w:rFonts w:ascii="Times New Roman" w:cs="Times New Roman" w:eastAsia="Times New Roman" w:hAnsi="Times New Roman"/>
          <w:color w:val="58595B"/>
          <w:sz w:val="22"/>
          <w:szCs w:val="22"/>
        </w:rPr>
        <w:t xml:space="preserve">Provide full role-based access control across 9 standard roles and a live permission matrix editor (88 permission codes across 26 modules).</w:t>
      </w:r>
    </w:p>
    <w:p>
      <w:pPr>
        <w:pStyle w:val="ListParagraph"/>
        <w:numPr>
          <w:ilvl w:val="0"/>
          <w:numId w:val="2"/>
        </w:numPr>
        <w:spacing w:after="70"/>
      </w:pPr>
      <w:r>
        <w:rPr>
          <w:rFonts w:ascii="Times New Roman" w:cs="Times New Roman" w:eastAsia="Times New Roman" w:hAnsi="Times New Roman"/>
          <w:color w:val="58595B"/>
          <w:sz w:val="22"/>
          <w:szCs w:val="22"/>
        </w:rPr>
        <w:t xml:space="preserve">Provide Group/Organization/Project hierarchy and an Organizational Breakdown Structure (OBS) that links to Sheets, Business Rules, Controls, Risks/Opportunities, RACSI activities, BPMN diagrams, and user role assignments, with live linked-item counts per node and Pack-based quotas on Projects and OBS nodes.</w:t>
      </w:r>
    </w:p>
    <w:p>
      <w:pPr>
        <w:pStyle w:val="ListParagraph"/>
        <w:numPr>
          <w:ilvl w:val="0"/>
          <w:numId w:val="2"/>
        </w:numPr>
        <w:spacing w:after="70"/>
      </w:pPr>
      <w:r>
        <w:rPr>
          <w:rFonts w:ascii="Times New Roman" w:cs="Times New Roman" w:eastAsia="Times New Roman" w:hAnsi="Times New Roman"/>
          <w:color w:val="58595B"/>
          <w:sz w:val="22"/>
          <w:szCs w:val="22"/>
        </w:rPr>
        <w:t xml:space="preserve">Compute 10 system KPIs plus Custom KPIs, and 4 standard reports each exportable to PDF, Excel, and Word, and raise 10 categories of alerts (7 live-computed, 3 catalog-defined and seed-demonstrated).</w:t>
      </w:r>
    </w:p>
    <w:p>
      <w:pPr>
        <w:pStyle w:val="ListParagraph"/>
        <w:numPr>
          <w:ilvl w:val="0"/>
          <w:numId w:val="2"/>
        </w:numPr>
        <w:spacing w:after="70"/>
      </w:pPr>
      <w:r>
        <w:rPr>
          <w:rFonts w:ascii="Times New Roman" w:cs="Times New Roman" w:eastAsia="Times New Roman" w:hAnsi="Times New Roman"/>
          <w:color w:val="58595B"/>
          <w:sz w:val="22"/>
          <w:szCs w:val="22"/>
        </w:rPr>
        <w:t xml:space="preserve">Operate multi-tenant with complete data isolation, and multi-language with full Arabic RTL support.</w:t>
      </w:r>
    </w:p>
    <w:p>
      <w:pPr>
        <w:pStyle w:val="ListParagraph"/>
        <w:numPr>
          <w:ilvl w:val="0"/>
          <w:numId w:val="2"/>
        </w:numPr>
        <w:spacing w:after="70"/>
      </w:pPr>
      <w:r>
        <w:rPr>
          <w:rFonts w:ascii="Times New Roman" w:cs="Times New Roman" w:eastAsia="Times New Roman" w:hAnsi="Times New Roman"/>
          <w:color w:val="58595B"/>
          <w:sz w:val="22"/>
          <w:szCs w:val="22"/>
        </w:rPr>
        <w:t xml:space="preserve">Provide a searchable, multi-language in-app Help guide covering every module, open to all authenticated users.</w:t>
      </w:r>
    </w:p>
    <w:p>
      <w:pPr>
        <w:pStyle w:val="Heading2"/>
        <w:spacing w:after="100" w:before="260"/>
      </w:pPr>
      <w:r>
        <w:rPr>
          <w:rFonts w:ascii="Times New Roman" w:cs="Times New Roman" w:eastAsia="Times New Roman" w:hAnsi="Times New Roman"/>
          <w:b/>
          <w:bCs/>
          <w:color w:val="3A3A3C"/>
          <w:sz w:val="26"/>
          <w:szCs w:val="26"/>
        </w:rPr>
        <w:t xml:space="preserve">2.3 User Classes and Characteristics</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2200"/>
        <w:gridCol w:w="7160"/>
      </w:tblGrid>
      <w:tr>
        <w:trPr>
          <w:tblHeader/>
        </w:trPr>
        <w:tc>
          <w:tcPr>
            <w:tcW w:type="dxa" w:w="22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Role</w:t>
            </w:r>
          </w:p>
        </w:tc>
        <w:tc>
          <w:tcPr>
            <w:tcW w:type="dxa" w:w="71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Who They Are / Key Permissions</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Administrator</w:t>
            </w:r>
          </w:p>
        </w:tc>
        <w:tc>
          <w:tcPr>
            <w:tcW w:type="dxa" w:w="7160"/>
            <w:tcMar>
              <w:top w:type="dxa" w:w="60"/>
              <w:left w:type="dxa" w:w="100"/>
              <w:bottom w:type="dxa" w:w="60"/>
              <w:right w:type="dxa" w:w="100"/>
            </w:tcMar>
          </w:tcPr>
          <w:p>
            <w:r>
              <w:rPr>
                <w:rFonts w:ascii="Times New Roman" w:cs="Times New Roman" w:eastAsia="Times New Roman" w:hAnsi="Times New Roman"/>
                <w:b/>
                <w:bCs/>
                <w:color w:val="3A3A3C"/>
                <w:sz w:val="22"/>
                <w:szCs w:val="22"/>
              </w:rPr>
              <w:t xml:space="preserve">IT/system administrator — </w:t>
            </w:r>
            <w:r>
              <w:rPr>
                <w:rFonts w:ascii="Times New Roman" w:cs="Times New Roman" w:eastAsia="Times New Roman" w:hAnsi="Times New Roman"/>
                <w:color w:val="58595B"/>
                <w:sz w:val="22"/>
                <w:szCs w:val="22"/>
              </w:rPr>
              <w:t xml:space="preserve">Full CRUD on all records; user &amp; RBAC management; tenant configuration; Configuration Management (Solution Pack, Add-Ons, Compliance Modules, deployment, support); governance; and full AI Use Case Library governance (catalog CRUD, Organization activation, Project overrides, usage log).</w:t>
            </w:r>
          </w:p>
        </w:tc>
      </w:tr>
      <w:tr>
        <w:tc>
          <w:tcPr>
            <w:tcW w:type="dxa" w:w="2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Quality Manager</w:t>
            </w:r>
          </w:p>
        </w:tc>
        <w:tc>
          <w:tcPr>
            <w:tcW w:type="dxa" w:w="7160"/>
            <w:shd w:fill="F2F2F3" w:val="clear"/>
            <w:tcMar>
              <w:top w:type="dxa" w:w="60"/>
              <w:left w:type="dxa" w:w="100"/>
              <w:bottom w:type="dxa" w:w="60"/>
              <w:right w:type="dxa" w:w="100"/>
            </w:tcMar>
          </w:tcPr>
          <w:p>
            <w:r>
              <w:rPr>
                <w:rFonts w:ascii="Times New Roman" w:cs="Times New Roman" w:eastAsia="Times New Roman" w:hAnsi="Times New Roman"/>
                <w:b/>
                <w:bCs/>
                <w:color w:val="3A3A3C"/>
                <w:sz w:val="22"/>
                <w:szCs w:val="22"/>
              </w:rPr>
              <w:t xml:space="preserve">Owns the quality management system — </w:t>
            </w:r>
            <w:r>
              <w:rPr>
                <w:rFonts w:ascii="Times New Roman" w:cs="Times New Roman" w:eastAsia="Times New Roman" w:hAnsi="Times New Roman"/>
                <w:color w:val="58595B"/>
                <w:sz w:val="22"/>
                <w:szCs w:val="22"/>
              </w:rPr>
              <w:t xml:space="preserve">Validates and closes Sheets; configures KPI thresholds; owns Controls and Business Rules; full CRUD on the RACSI matrix and Custom KPIs; compliance reporting; full AI Use Case Library governance (catalog CRUD, Organization activation, Project overrides, usage log).</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CI Pilot</w:t>
            </w:r>
          </w:p>
        </w:tc>
        <w:tc>
          <w:tcPr>
            <w:tcW w:type="dxa" w:w="7160"/>
            <w:tcMar>
              <w:top w:type="dxa" w:w="60"/>
              <w:left w:type="dxa" w:w="100"/>
              <w:bottom w:type="dxa" w:w="60"/>
              <w:right w:type="dxa" w:w="100"/>
            </w:tcMar>
          </w:tcPr>
          <w:p>
            <w:r>
              <w:rPr>
                <w:rFonts w:ascii="Times New Roman" w:cs="Times New Roman" w:eastAsia="Times New Roman" w:hAnsi="Times New Roman"/>
                <w:b/>
                <w:bCs/>
                <w:color w:val="3A3A3C"/>
                <w:sz w:val="22"/>
                <w:szCs w:val="22"/>
              </w:rPr>
              <w:t xml:space="preserve">Coordinates the NCP process for their scope — </w:t>
            </w:r>
            <w:r>
              <w:rPr>
                <w:rFonts w:ascii="Times New Roman" w:cs="Times New Roman" w:eastAsia="Times New Roman" w:hAnsi="Times New Roman"/>
                <w:color w:val="58595B"/>
                <w:sz w:val="22"/>
                <w:szCs w:val="22"/>
              </w:rPr>
              <w:t xml:space="preserve">Creates/edits/validates Sheets; approves action plans; manages REX; owns Business Rules and Risks/Opportunities in scope; creates/edits RACSI activities and assignments; views BPMN diagrams; manages Sheet Templates; catalogs and edits AI Use Cases, sets Project-level AI overrides, and views the AI Usage Log.</w:t>
            </w:r>
          </w:p>
        </w:tc>
      </w:tr>
      <w:tr>
        <w:tc>
          <w:tcPr>
            <w:tcW w:type="dxa" w:w="2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NCP Team Member</w:t>
            </w:r>
          </w:p>
        </w:tc>
        <w:tc>
          <w:tcPr>
            <w:tcW w:type="dxa" w:w="7160"/>
            <w:shd w:fill="F2F2F3" w:val="clear"/>
            <w:tcMar>
              <w:top w:type="dxa" w:w="60"/>
              <w:left w:type="dxa" w:w="100"/>
              <w:bottom w:type="dxa" w:w="60"/>
              <w:right w:type="dxa" w:w="100"/>
            </w:tcMar>
          </w:tcPr>
          <w:p>
            <w:r>
              <w:rPr>
                <w:rFonts w:ascii="Times New Roman" w:cs="Times New Roman" w:eastAsia="Times New Roman" w:hAnsi="Times New Roman"/>
                <w:b/>
                <w:bCs/>
                <w:color w:val="3A3A3C"/>
                <w:sz w:val="22"/>
                <w:szCs w:val="22"/>
              </w:rPr>
              <w:t xml:space="preserve">Cross-functional problem-solving team — </w:t>
            </w:r>
            <w:r>
              <w:rPr>
                <w:rFonts w:ascii="Times New Roman" w:cs="Times New Roman" w:eastAsia="Times New Roman" w:hAnsi="Times New Roman"/>
                <w:color w:val="58595B"/>
                <w:sz w:val="22"/>
                <w:szCs w:val="22"/>
              </w:rPr>
              <w:t xml:space="preserve">Views/edits assigned Sheets; completes S2/S4/S5 stages; adds root causes and actions.</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 Owner (AR)</w:t>
            </w:r>
          </w:p>
        </w:tc>
        <w:tc>
          <w:tcPr>
            <w:tcW w:type="dxa" w:w="7160"/>
            <w:tcMar>
              <w:top w:type="dxa" w:w="60"/>
              <w:left w:type="dxa" w:w="100"/>
              <w:bottom w:type="dxa" w:w="60"/>
              <w:right w:type="dxa" w:w="100"/>
            </w:tcMar>
          </w:tcPr>
          <w:p>
            <w:r>
              <w:rPr>
                <w:rFonts w:ascii="Times New Roman" w:cs="Times New Roman" w:eastAsia="Times New Roman" w:hAnsi="Times New Roman"/>
                <w:b/>
                <w:bCs/>
                <w:color w:val="3A3A3C"/>
                <w:sz w:val="22"/>
                <w:szCs w:val="22"/>
              </w:rPr>
              <w:t xml:space="preserve">Executes an assigned action — </w:t>
            </w:r>
            <w:r>
              <w:rPr>
                <w:rFonts w:ascii="Times New Roman" w:cs="Times New Roman" w:eastAsia="Times New Roman" w:hAnsi="Times New Roman"/>
                <w:color w:val="58595B"/>
                <w:sz w:val="22"/>
                <w:szCs w:val="22"/>
              </w:rPr>
              <w:t xml:space="preserve">Updates own action status; enters completion date; uploads execution evidence.</w:t>
            </w:r>
          </w:p>
        </w:tc>
      </w:tr>
      <w:tr>
        <w:tc>
          <w:tcPr>
            <w:tcW w:type="dxa" w:w="2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Evaluator (AE)</w:t>
            </w:r>
          </w:p>
        </w:tc>
        <w:tc>
          <w:tcPr>
            <w:tcW w:type="dxa" w:w="7160"/>
            <w:shd w:fill="F2F2F3" w:val="clear"/>
            <w:tcMar>
              <w:top w:type="dxa" w:w="60"/>
              <w:left w:type="dxa" w:w="100"/>
              <w:bottom w:type="dxa" w:w="60"/>
              <w:right w:type="dxa" w:w="100"/>
            </w:tcMar>
          </w:tcPr>
          <w:p>
            <w:r>
              <w:rPr>
                <w:rFonts w:ascii="Times New Roman" w:cs="Times New Roman" w:eastAsia="Times New Roman" w:hAnsi="Times New Roman"/>
                <w:b/>
                <w:bCs/>
                <w:color w:val="3A3A3C"/>
                <w:sz w:val="22"/>
                <w:szCs w:val="22"/>
              </w:rPr>
              <w:t xml:space="preserve">Verifies action effectiveness — </w:t>
            </w:r>
            <w:r>
              <w:rPr>
                <w:rFonts w:ascii="Times New Roman" w:cs="Times New Roman" w:eastAsia="Times New Roman" w:hAnsi="Times New Roman"/>
                <w:color w:val="58595B"/>
                <w:sz w:val="22"/>
                <w:szCs w:val="22"/>
              </w:rPr>
              <w:t xml:space="preserve">Views pending evaluations; records effectiveness verdict; uploads evaluation evidence. Must differ from the action’s Action Owner (AR).</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Department Head</w:t>
            </w:r>
          </w:p>
        </w:tc>
        <w:tc>
          <w:tcPr>
            <w:tcW w:type="dxa" w:w="7160"/>
            <w:tcMar>
              <w:top w:type="dxa" w:w="60"/>
              <w:left w:type="dxa" w:w="100"/>
              <w:bottom w:type="dxa" w:w="60"/>
              <w:right w:type="dxa" w:w="100"/>
            </w:tcMar>
          </w:tcPr>
          <w:p>
            <w:r>
              <w:rPr>
                <w:rFonts w:ascii="Times New Roman" w:cs="Times New Roman" w:eastAsia="Times New Roman" w:hAnsi="Times New Roman"/>
                <w:b/>
                <w:bCs/>
                <w:color w:val="3A3A3C"/>
                <w:sz w:val="22"/>
                <w:szCs w:val="22"/>
              </w:rPr>
              <w:t xml:space="preserve">Manages an affected department — </w:t>
            </w:r>
            <w:r>
              <w:rPr>
                <w:rFonts w:ascii="Times New Roman" w:cs="Times New Roman" w:eastAsia="Times New Roman" w:hAnsi="Times New Roman"/>
                <w:color w:val="58595B"/>
                <w:sz w:val="22"/>
                <w:szCs w:val="22"/>
              </w:rPr>
              <w:t xml:space="preserve">Views all Sheets in own department; department dashboard/reports; receives department-level alerts, risk visibility, RACSI matrix visibility, and BPMN view access.</w:t>
            </w:r>
          </w:p>
        </w:tc>
      </w:tr>
      <w:tr>
        <w:tc>
          <w:tcPr>
            <w:tcW w:type="dxa" w:w="22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Reporter</w:t>
            </w:r>
          </w:p>
        </w:tc>
        <w:tc>
          <w:tcPr>
            <w:tcW w:type="dxa" w:w="7160"/>
            <w:shd w:fill="F2F2F3" w:val="clear"/>
            <w:tcMar>
              <w:top w:type="dxa" w:w="60"/>
              <w:left w:type="dxa" w:w="100"/>
              <w:bottom w:type="dxa" w:w="60"/>
              <w:right w:type="dxa" w:w="100"/>
            </w:tcMar>
          </w:tcPr>
          <w:p>
            <w:r>
              <w:rPr>
                <w:rFonts w:ascii="Times New Roman" w:cs="Times New Roman" w:eastAsia="Times New Roman" w:hAnsi="Times New Roman"/>
                <w:b/>
                <w:bCs/>
                <w:color w:val="3A3A3C"/>
                <w:sz w:val="22"/>
                <w:szCs w:val="22"/>
              </w:rPr>
              <w:t xml:space="preserve">Any employee authorized to report a problem — </w:t>
            </w:r>
            <w:r>
              <w:rPr>
                <w:rFonts w:ascii="Times New Roman" w:cs="Times New Roman" w:eastAsia="Times New Roman" w:hAnsi="Times New Roman"/>
                <w:color w:val="58595B"/>
                <w:sz w:val="22"/>
                <w:szCs w:val="22"/>
              </w:rPr>
              <w:t xml:space="preserve">Creates new Sheets (S1 only), optionally from a Sheet Template; views own submitted Sheets; no edit rights after submission; view access to Sheet Templates.</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Read-Only / Auditor</w:t>
            </w:r>
          </w:p>
        </w:tc>
        <w:tc>
          <w:tcPr>
            <w:tcW w:type="dxa" w:w="7160"/>
            <w:tcMar>
              <w:top w:type="dxa" w:w="60"/>
              <w:left w:type="dxa" w:w="100"/>
              <w:bottom w:type="dxa" w:w="60"/>
              <w:right w:type="dxa" w:w="100"/>
            </w:tcMar>
          </w:tcPr>
          <w:p>
            <w:r>
              <w:rPr>
                <w:rFonts w:ascii="Times New Roman" w:cs="Times New Roman" w:eastAsia="Times New Roman" w:hAnsi="Times New Roman"/>
                <w:b/>
                <w:bCs/>
                <w:color w:val="3A3A3C"/>
                <w:sz w:val="22"/>
                <w:szCs w:val="22"/>
              </w:rPr>
              <w:t xml:space="preserve">Internal or external audit/compliance — </w:t>
            </w:r>
            <w:r>
              <w:rPr>
                <w:rFonts w:ascii="Times New Roman" w:cs="Times New Roman" w:eastAsia="Times New Roman" w:hAnsi="Times New Roman"/>
                <w:color w:val="58595B"/>
                <w:sz w:val="22"/>
                <w:szCs w:val="22"/>
              </w:rPr>
              <w:t xml:space="preserve">Read-only access to Sheets, reports (incl. export), Standards &amp; Requirements, Business Rules, Controls, Risks/Opportunities, the RACSI matrix, BPMN diagrams, Configuration Management (license.view), the AI Use Case Library and its AI Usage Log, and the full audit trail.</w:t>
            </w:r>
          </w:p>
        </w:tc>
      </w:tr>
    </w:tbl>
    <w:p>
      <w:pPr>
        <w:pStyle w:val="Heading2"/>
        <w:spacing w:after="100" w:before="260"/>
      </w:pPr>
      <w:r>
        <w:rPr>
          <w:rFonts w:ascii="Times New Roman" w:cs="Times New Roman" w:eastAsia="Times New Roman" w:hAnsi="Times New Roman"/>
          <w:b/>
          <w:bCs/>
          <w:color w:val="3A3A3C"/>
          <w:sz w:val="26"/>
          <w:szCs w:val="26"/>
        </w:rPr>
        <w:t xml:space="preserve">2.4 Operating Environment</w:t>
      </w:r>
    </w:p>
    <w:p>
      <w:pPr>
        <w:spacing w:after="140" w:line="268"/>
        <w:jc w:val="both"/>
      </w:pPr>
      <w:r>
        <w:rPr>
          <w:rFonts w:ascii="Times New Roman" w:cs="Times New Roman" w:eastAsia="Times New Roman" w:hAnsi="Times New Roman"/>
          <w:color w:val="58595B"/>
          <w:sz w:val="22"/>
          <w:szCs w:val="22"/>
        </w:rPr>
        <w:t xml:space="preserve">Server: any standard Node.js 22.5+ runtime (Node 22 LTS recommended), no external database server, third-party API key, or native/compiled build toolchain required (the relational layer uses Node’s built-in node:sqlite module; the report-export libraries — pdfkit, exceljs, docx — are pure JavaScript; the relational and RAG layers are each swappable for a distributed equivalent). Client: any evergreen desktop or tablet web browser. Deployment: SaaS (shared multi-tenant infrastructure) or any of the five named deployment options of section 3.6, selectable per Organization.</w:t>
      </w:r>
    </w:p>
    <w:p>
      <w:pPr>
        <w:pStyle w:val="Heading2"/>
        <w:spacing w:after="100" w:before="260"/>
      </w:pPr>
      <w:r>
        <w:rPr>
          <w:rFonts w:ascii="Times New Roman" w:cs="Times New Roman" w:eastAsia="Times New Roman" w:hAnsi="Times New Roman"/>
          <w:b/>
          <w:bCs/>
          <w:color w:val="3A3A3C"/>
          <w:sz w:val="26"/>
          <w:szCs w:val="26"/>
        </w:rPr>
        <w:t xml:space="preserve">2.5 Design and Implementation Constraints</w:t>
      </w:r>
    </w:p>
    <w:p>
      <w:pPr>
        <w:pStyle w:val="ListParagraph"/>
        <w:numPr>
          <w:ilvl w:val="0"/>
          <w:numId w:val="2"/>
        </w:numPr>
        <w:spacing w:after="70"/>
      </w:pPr>
      <w:r>
        <w:rPr>
          <w:rFonts w:ascii="Times New Roman" w:cs="Times New Roman" w:eastAsia="Times New Roman" w:hAnsi="Times New Roman"/>
          <w:color w:val="58595B"/>
          <w:sz w:val="22"/>
          <w:szCs w:val="22"/>
        </w:rPr>
        <w:t xml:space="preserve">All AI agent behavior must be explainable and logged (agent name, input, output, confidence score); no black-box autonomous decisions.</w:t>
      </w:r>
    </w:p>
    <w:p>
      <w:pPr>
        <w:pStyle w:val="ListParagraph"/>
        <w:numPr>
          <w:ilvl w:val="0"/>
          <w:numId w:val="2"/>
        </w:numPr>
        <w:spacing w:after="70"/>
      </w:pPr>
      <w:r>
        <w:rPr>
          <w:rFonts w:ascii="Times New Roman" w:cs="Times New Roman" w:eastAsia="Times New Roman" w:hAnsi="Times New Roman"/>
          <w:color w:val="58595B"/>
          <w:sz w:val="22"/>
          <w:szCs w:val="22"/>
        </w:rPr>
        <w:t xml:space="preserve">Every data access must be scoped by tenant (organization_id); no query may return another tenant’s data.</w:t>
      </w:r>
    </w:p>
    <w:p>
      <w:pPr>
        <w:pStyle w:val="ListParagraph"/>
        <w:numPr>
          <w:ilvl w:val="0"/>
          <w:numId w:val="2"/>
        </w:numPr>
        <w:spacing w:after="70"/>
      </w:pPr>
      <w:r>
        <w:rPr>
          <w:rFonts w:ascii="Times New Roman" w:cs="Times New Roman" w:eastAsia="Times New Roman" w:hAnsi="Times New Roman"/>
          <w:color w:val="58595B"/>
          <w:sz w:val="22"/>
          <w:szCs w:val="22"/>
        </w:rPr>
        <w:t xml:space="preserve">The UI, and every generated document, must conform to the POWERACT Consulting visual identity across every module, output format, and supported language.</w:t>
      </w:r>
    </w:p>
    <w:p>
      <w:pPr>
        <w:pStyle w:val="ListParagraph"/>
        <w:numPr>
          <w:ilvl w:val="0"/>
          <w:numId w:val="2"/>
        </w:numPr>
        <w:spacing w:after="70"/>
      </w:pPr>
      <w:r>
        <w:rPr>
          <w:rFonts w:ascii="Times New Roman" w:cs="Times New Roman" w:eastAsia="Times New Roman" w:hAnsi="Times New Roman"/>
          <w:color w:val="58595B"/>
          <w:sz w:val="22"/>
          <w:szCs w:val="22"/>
        </w:rPr>
        <w:t xml:space="preserve">The Action Owner (AR) and Evaluator (AE) on any single action evaluation must always be different users.</w:t>
      </w:r>
    </w:p>
    <w:p>
      <w:pPr>
        <w:pStyle w:val="ListParagraph"/>
        <w:numPr>
          <w:ilvl w:val="0"/>
          <w:numId w:val="2"/>
        </w:numPr>
        <w:spacing w:after="70"/>
      </w:pPr>
      <w:r>
        <w:rPr>
          <w:rFonts w:ascii="Times New Roman" w:cs="Times New Roman" w:eastAsia="Times New Roman" w:hAnsi="Times New Roman"/>
          <w:color w:val="58595B"/>
          <w:sz w:val="22"/>
          <w:szCs w:val="22"/>
        </w:rPr>
        <w:t xml:space="preserve">The AI Assistant’s data-query mode must check the matched intent’s required permission before running any query, and must refuse transparently — never partially or silently — when that permission is absent.</w:t>
      </w:r>
    </w:p>
    <w:p>
      <w:pPr>
        <w:pStyle w:val="ListParagraph"/>
        <w:numPr>
          <w:ilvl w:val="0"/>
          <w:numId w:val="2"/>
        </w:numPr>
        <w:spacing w:after="70"/>
      </w:pPr>
      <w:r>
        <w:rPr>
          <w:rFonts w:ascii="Times New Roman" w:cs="Times New Roman" w:eastAsia="Times New Roman" w:hAnsi="Times New Roman"/>
          <w:color w:val="58595B"/>
          <w:sz w:val="22"/>
          <w:szCs w:val="22"/>
        </w:rPr>
        <w:t xml:space="preserve">A stored LLM provider API key must never be returned by any API response once saved, mirroring the existing password-hash-never-returned pattern.</w:t>
      </w:r>
    </w:p>
    <w:p>
      <w:pPr>
        <w:pStyle w:val="ListParagraph"/>
        <w:numPr>
          <w:ilvl w:val="0"/>
          <w:numId w:val="2"/>
        </w:numPr>
        <w:spacing w:after="70"/>
      </w:pPr>
      <w:r>
        <w:rPr>
          <w:rFonts w:ascii="Times New Roman" w:cs="Times New Roman" w:eastAsia="Times New Roman" w:hAnsi="Times New Roman"/>
          <w:color w:val="58595B"/>
          <w:sz w:val="22"/>
          <w:szCs w:val="22"/>
        </w:rPr>
        <w:t xml:space="preserve">Solution Pack entitlement is a second, independent gating axis alongside RBAC: a Pack-gated route must enforce both, and neither may substitute for the other.</w:t>
      </w:r>
    </w:p>
    <w:p>
      <w:pPr>
        <w:pStyle w:val="ListParagraph"/>
        <w:numPr>
          <w:ilvl w:val="0"/>
          <w:numId w:val="2"/>
        </w:numPr>
        <w:spacing w:after="70"/>
      </w:pPr>
      <w:r>
        <w:rPr>
          <w:rFonts w:ascii="Times New Roman" w:cs="Times New Roman" w:eastAsia="Times New Roman" w:hAnsi="Times New Roman"/>
          <w:color w:val="58595B"/>
          <w:sz w:val="22"/>
          <w:szCs w:val="22"/>
        </w:rPr>
        <w:t xml:space="preserve">Every Pack quota (Projects, OBS nodes, AI Use Cases) must be checked server-side at the point of creation/activation, never only hidden client-side.</w:t>
      </w:r>
    </w:p>
    <w:p>
      <w:pPr>
        <w:pStyle w:val="Heading2"/>
        <w:spacing w:after="100" w:before="260"/>
      </w:pPr>
      <w:r>
        <w:rPr>
          <w:rFonts w:ascii="Times New Roman" w:cs="Times New Roman" w:eastAsia="Times New Roman" w:hAnsi="Times New Roman"/>
          <w:b/>
          <w:bCs/>
          <w:color w:val="3A3A3C"/>
          <w:sz w:val="26"/>
          <w:szCs w:val="26"/>
        </w:rPr>
        <w:t xml:space="preserve">2.6 Assumptions and Dependencies</w:t>
      </w:r>
    </w:p>
    <w:p>
      <w:pPr>
        <w:pStyle w:val="ListParagraph"/>
        <w:numPr>
          <w:ilvl w:val="0"/>
          <w:numId w:val="2"/>
        </w:numPr>
        <w:spacing w:after="70"/>
      </w:pPr>
      <w:r>
        <w:rPr>
          <w:rFonts w:ascii="Times New Roman" w:cs="Times New Roman" w:eastAsia="Times New Roman" w:hAnsi="Times New Roman"/>
          <w:color w:val="58595B"/>
          <w:sz w:val="22"/>
          <w:szCs w:val="22"/>
        </w:rPr>
        <w:t xml:space="preserve">Users have modern web browsers with JavaScript enabled.</w:t>
      </w:r>
    </w:p>
    <w:p>
      <w:pPr>
        <w:pStyle w:val="ListParagraph"/>
        <w:numPr>
          <w:ilvl w:val="0"/>
          <w:numId w:val="2"/>
        </w:numPr>
        <w:spacing w:after="70"/>
      </w:pPr>
      <w:r>
        <w:rPr>
          <w:rFonts w:ascii="Times New Roman" w:cs="Times New Roman" w:eastAsia="Times New Roman" w:hAnsi="Times New Roman"/>
          <w:color w:val="58595B"/>
          <w:sz w:val="22"/>
          <w:szCs w:val="22"/>
        </w:rPr>
        <w:t xml:space="preserve">Organizations are responsible for their own user provisioning within the tenant they administer.</w:t>
      </w:r>
    </w:p>
    <w:p>
      <w:pPr>
        <w:pStyle w:val="ListParagraph"/>
        <w:numPr>
          <w:ilvl w:val="0"/>
          <w:numId w:val="2"/>
        </w:numPr>
        <w:spacing w:after="70"/>
      </w:pPr>
      <w:r>
        <w:rPr>
          <w:rFonts w:ascii="Times New Roman" w:cs="Times New Roman" w:eastAsia="Times New Roman" w:hAnsi="Times New Roman"/>
          <w:color w:val="58595B"/>
          <w:sz w:val="22"/>
          <w:szCs w:val="22"/>
        </w:rPr>
        <w:t xml:space="preserve">The rule-based AI agent implementations are a functional stand-in for a future LLM/vector-database-backed implementation, behind a stable interface.</w:t>
      </w:r>
    </w:p>
    <w:p>
      <w:pPr>
        <w:pStyle w:val="ListParagraph"/>
        <w:numPr>
          <w:ilvl w:val="0"/>
          <w:numId w:val="2"/>
        </w:numPr>
        <w:spacing w:after="70"/>
      </w:pPr>
      <w:r>
        <w:rPr>
          <w:rFonts w:ascii="Times New Roman" w:cs="Times New Roman" w:eastAsia="Times New Roman" w:hAnsi="Times New Roman"/>
          <w:color w:val="58595B"/>
          <w:sz w:val="22"/>
          <w:szCs w:val="22"/>
        </w:rPr>
        <w:t xml:space="preserve">The three Compliance Modules (section 3.6) provide GRC scaffolding only; an Organization remains responsible for its own compliance program and any external certification.</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3. System Features (Functional Requirements)</w:t>
      </w:r>
    </w:p>
    <w:p>
      <w:pPr>
        <w:spacing w:after="140" w:line="268"/>
        <w:jc w:val="both"/>
      </w:pPr>
      <w:r>
        <w:rPr>
          <w:rFonts w:ascii="Times New Roman" w:cs="Times New Roman" w:eastAsia="Times New Roman" w:hAnsi="Times New Roman"/>
          <w:color w:val="58595B"/>
          <w:sz w:val="22"/>
          <w:szCs w:val="22"/>
        </w:rPr>
        <w:t xml:space="preserve">Each requirement is uniquely identified and stated in "the system shall" form for verifiability. Requirements are grouped by module, generally in the order a user encounters them in the application navigation.</w:t>
      </w:r>
    </w:p>
    <w:p>
      <w:pPr>
        <w:pStyle w:val="Heading2"/>
        <w:spacing w:after="100" w:before="260"/>
      </w:pPr>
      <w:r>
        <w:rPr>
          <w:rFonts w:ascii="Times New Roman" w:cs="Times New Roman" w:eastAsia="Times New Roman" w:hAnsi="Times New Roman"/>
          <w:b/>
          <w:bCs/>
          <w:color w:val="3A3A3C"/>
          <w:sz w:val="26"/>
          <w:szCs w:val="26"/>
        </w:rPr>
        <w:t xml:space="preserve">3.1 Dashboard</w:t>
      </w:r>
    </w:p>
    <w:p>
      <w:pPr>
        <w:spacing w:after="120"/>
      </w:pPr>
      <w:r>
        <w:rPr>
          <w:rFonts w:ascii="Times New Roman" w:cs="Times New Roman" w:eastAsia="Times New Roman" w:hAnsi="Times New Roman"/>
          <w:i/>
          <w:iCs/>
          <w:color w:val="58595B"/>
          <w:sz w:val="21"/>
          <w:szCs w:val="21"/>
        </w:rPr>
        <w:t xml:space="preserve">A role-aware landing page summarizing the authenticated user's open work, recent NCP Sheets, and unread alerts.</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FR-DASH-01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display, on login, counts of NCP Sheets by status (Open, In Progress, Closed, Cancelled) scoped to the user’s organization.</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FR-DASH-02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display the count of the authenticated user's own open assigned actions and the count of organization-wide overdue actions.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FR-DASH-03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list the most recently created NCP Sheets, each showing sheet number, title, stage, criticality, and status.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FR-DASH-04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list the authenticated user's unread alerts with type, message, and timestamp.</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FR-DASH-05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render a bar chart of non-conformity counts grouped by department (OBS node).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FR-DASH-06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 one-click action to create a new NCP Sheet, visible only to users holding the fiche.create permission.</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3.2 Hierarchy Management (Group / Organization / Project)</w:t>
      </w:r>
    </w:p>
    <w:p>
      <w:pPr>
        <w:spacing w:after="120"/>
      </w:pPr>
      <w:r>
        <w:rPr>
          <w:rFonts w:ascii="Times New Roman" w:cs="Times New Roman" w:eastAsia="Times New Roman" w:hAnsi="Times New Roman"/>
          <w:i/>
          <w:iCs/>
          <w:color w:val="58595B"/>
          <w:sz w:val="21"/>
          <w:szCs w:val="21"/>
        </w:rPr>
        <w:t xml:space="preserve">Supports an optional Group (holding company) above the Organization (tenant) level, and optional Projects below it, per the Group-of-companies and independent-company deployment scenarios.</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FR-HIER-01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Organization to optionally belong to a Group; an Organization not assigned to a Group shall operate as fully independent.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FR-HIER-02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When an Organization belongs to a Group, the system shall display all sibling Organizations in that Group to authorized users.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FR-HIER-03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authorized user to create an additional sibling Organization within the same Group.</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FR-HIER-04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full CRUD on Projects (optional sub-entities of an Organization), including name, description, status, and start/end dates.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FR-HIER-05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NCP Sheet to be optionally associated with a Project.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FR-HIER-06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authorized user to edit core Organization attributes (name, sector, country).</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FR-HIER-07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enforce the active Solution Pack’s maximum-Projects quota (10 / 30 / Unlimited for Resolve / Govern / Assure) on Project creation, rejecting a request that would exceed it with HTTP 409 quota_exceeded.</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3.3 Organizational Breakdown Structure (OBS)</w:t>
      </w:r>
    </w:p>
    <w:p>
      <w:pPr>
        <w:spacing w:after="120"/>
      </w:pPr>
      <w:r>
        <w:rPr>
          <w:rFonts w:ascii="Times New Roman" w:cs="Times New Roman" w:eastAsia="Times New Roman" w:hAnsi="Times New Roman"/>
          <w:i/>
          <w:iCs/>
          <w:color w:val="58595B"/>
          <w:sz w:val="21"/>
          <w:szCs w:val="21"/>
        </w:rPr>
        <w:t xml:space="preserve">A hierarchical site/department/service/team tree used to classify where a non-conformity occurred, and the shared "who/where" backbone that Business Rules, Controls, Risks &amp; Opportunities, RACSI activities, BPMN diagrams, and user role assignments all point back to.</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FR-OBS-01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OBS nodes, each typed as Site, Department, Service, or Team.</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FR-OBS-02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OBS node to have a parent OBS node, forming an arbitrary-depth tree per Organization.</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FR-OBS-03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render the OBS as an indented tree reflecting parent/child relationships.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FR-OBS-04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NCP Sheet to be associated with exactly one OBS node (its department/origin).</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FR-OBS-05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prevent deleting an OBS node from breaking referential integrity by cascading or reassigning dependent records per the data model.</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FR-OBS-06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Business Rule, a Control, a Risk/Opportunity, a RACSI Activity, and a BPMN Diagram to each be optionally tagged with the OBS node that owns them.</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FR-OBS-07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user’s role assignment to be scoped to a specific OBS node, giving that node a "home" set of people in addition to organizational units.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FR-OBS-08</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display, for every OBS node, a live count of every linked item type (people, NCP Sheets, Business Rules, Controls, Risks &amp; Opportunities, RACSI Activities) so accountability and activity concentration are visible at a glance.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FR-OBS-09</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enforce the active Solution Pack’s maximum-OBS-nodes quota (100 / 500 / Unlimited for Resolve / Govern / Assure) on OBS node creation, rejecting a request that would exceed it with HTTP 409 quota_exceeded.</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3.4 Identity &amp; Role-Based Access Control (RBAC)</w:t>
      </w:r>
    </w:p>
    <w:p>
      <w:pPr>
        <w:spacing w:after="120"/>
      </w:pPr>
      <w:r>
        <w:rPr>
          <w:rFonts w:ascii="Times New Roman" w:cs="Times New Roman" w:eastAsia="Times New Roman" w:hAnsi="Times New Roman"/>
          <w:i/>
          <w:iCs/>
          <w:color w:val="58595B"/>
          <w:sz w:val="21"/>
          <w:szCs w:val="21"/>
        </w:rPr>
        <w:t xml:space="preserve">User directory, the 9 standard roles from the NCP Solver Knowledge Base (KB-011), and a full permission matrix editor.</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FR-ID-01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users, including first/last name, email, username, language preference, and active status.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FR-ID-02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hash all user passwords (bcrypt) and never expose password hashes via any API response.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FR-ID-03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assigning one or more of the 9 standard roles to a user: Administrator, Quality Manager, CI Pilot, NCP Team Member, Action Owner (AR), Evaluator (AE), Department Head, Reporter, Read-Only/Auditor.</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FR-ID-04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custom roles per Organization, in addition to the 9 system role templates, where the active Solution Pack includes the Custom Roles feature (Govern and Assure; or the Custom Roles &amp; Permission Matrix Editor Add-On on Resolve).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FR-ID-05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 Permission Matrix screen displaying every one of the 88 permission codes, across 26 modules, against every role, with checkboxes editable by users holding role.managePermissions.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FR-ID-06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enforce every API endpoint against the authenticated user’s resolved permission set (union across all assigned roles); a request lacking the required permission shall be rejected with HTTP 403.</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FR-ID-07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enforce that an Evaluator (AE) recording an action’s effectiveness verdict is never the same user as that action’s Action Owner (AR).</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FR-ID-08</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 minimal user directory (id, name, email) accessible to any authenticated user for assigning owners/evaluators/team members, independent of the full user.view permission.</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FR-ID-09</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issue a signed JSON Web Token (JWT) on successful login, valid for 12 hours, required as a Bearer token on every subsequent API call.</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3.5 Governance Settings</w:t>
      </w:r>
    </w:p>
    <w:p>
      <w:pPr>
        <w:spacing w:after="120"/>
      </w:pPr>
      <w:r>
        <w:rPr>
          <w:rFonts w:ascii="Times New Roman" w:cs="Times New Roman" w:eastAsia="Times New Roman" w:hAnsi="Times New Roman"/>
          <w:i/>
          <w:iCs/>
          <w:color w:val="58595B"/>
          <w:sz w:val="21"/>
          <w:szCs w:val="21"/>
        </w:rPr>
        <w:t xml:space="preserve">Tenant-level configuration of process defaults, KPI thresholds, and alert behavior.</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FR-GOV-01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authorized user to configure the default Root Cause Analysis method (5-Why or Ishikawa) for the Organization.</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FR-GOV-02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authorized user to toggle whether a completed REX (S7) entry is required before an NCP Sheet can be closed.</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FR-GOV-03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authorized user to configure the numeric threshold for each of the 9 threshold-bearing system KPIs (Appendix B; KPI9 is a raw count with no threshold).</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FR-GOV-04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authorized user to enable or disable each of the 10 alert types (A-J) independently.</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FR-GOV-05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persist governance settings per Organization and apply tenant-specific defaults automatically on first access.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FR-GOV-06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display, next to every KPI threshold field and every alert-type checkbox, a human-readable name drawn from a shared KPI/Alert name catalog, in addition to its machine ID/letter code.</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3.6 Configuration Management (Solution Packs, Add-Ons, Compliance Modules, Deployment)</w:t>
      </w:r>
    </w:p>
    <w:p>
      <w:pPr>
        <w:spacing w:after="120"/>
      </w:pPr>
      <w:r>
        <w:rPr>
          <w:rFonts w:ascii="Times New Roman" w:cs="Times New Roman" w:eastAsia="Times New Roman" w:hAnsi="Times New Roman"/>
          <w:i/>
          <w:iCs/>
          <w:color w:val="58595B"/>
          <w:sz w:val="21"/>
          <w:szCs w:val="21"/>
        </w:rPr>
        <w:t xml:space="preserve">The single administration screen for an Organization’s commercial and deployment configuration, superseding the earlier, simpler License &amp; Plan screen. It governs which application features and quotas are available (the Solution Pack), which individually priced capabilities are switched on beyond the Pack default (Add-Ons and Compliance Modules), and where/how the Organization is deployed and supported.</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record, per Organization, exactly one Solution Pack — Resolve (Essentials), Govern (Professional), or Assure (Enterprise) — as the single source of truth for that Organization’s feature and quota entitlements, defined centrally in a Pack feature matrix (packConfig.js).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define, for each Solution Pack, the following entitlements: AI Use Cases included (3/7/14), custom AI Use Cases allowed (0/5/25), maximum AI Use Cases combined (3/12/Unlimited), GRC modules on/off, Capitalization Library on/off, BPMN mode (None/View/Full Edit), AI Assistant on/off, Custom Roles on/off, integrations included (0/2/5), Standards included (3/5/7), maximum Projects (10/30/Unlimited), and maximum OBS nodes (100/500/Unlimited).</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record five priced Add-Ons independently of Pack — Capitalization Library &amp; RAG, AI Assistant, BPMN Full Editing Modeler, Custom Roles &amp; Permission Matrix Editor, and Sovereign Deployment Suite — each as an independent toggle that grants its associated feature to a Pack that does not already include it standard.</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record three priced Compliance &amp; Security Standards modules — GDPR, ISO/IEC 27001, and SOC 2 Type II — as independent toggles, available regardless of Solution Pack.</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on activating a Compliance Module, idempotently activate its linked Standard(s) in the Organization’s Standards Knowledge Base and seed three COSO-classified Controls tagged to that compliance framework, without duplicating either on repeated activation.</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record five deployment options — Dedicated Cloud, Group Cloud, Hybrid Shield, Sovereign Core, Sovereign Vault — and shall restrict selection of the two Sovereign options to an Organization with the Sovereign Deployment Suite Add-On active.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record a support tier (Standard, Priority, or Premium) and seats total/used/billing cycle/renewal date/status per Organization, consistent with the prior License entity.</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FR-CFG-08</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enforce every Pack-gated feature server-side via a dedicated requirePackFeature()/requireBpmnMode() middleware on the corresponding API route, independently of and in addition to RBAC permission checks; a request for a feature the active Pack does not include shall be rejected with HTTP 403 pack_feature_not_included, naming the missing feature and the active Pack.</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FR-CFG-09</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expose the Organization’s effective Pack configuration (GET /license/config) and the static Pack catalog (GET /license/packs) to every authenticated user regardless of role, so client-side navigation can correctly show or hide Pack-gated menu items; this read access is intentionally not itself permission-gated, since the enforcement boundary is the server-side 403 on each resource route, not this informational read.</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FR-CFG-10</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expose current usage against every quota (Projects, OBS nodes, AI Use Cases active/custom, Standards active) via GET /license/usage, computed live from current data.</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FR-CFG-11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authorized user (license.manage) to change the Solution Pack, any Add-On toggle, any Compliance Module toggle, the deployment option, the support tier, and seat/billing fields from a single Configuration Management screen.</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FR-CFG-12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display, on the Configuration Management screen, a live feature matrix reflecting the Organization’s currently effective configuration (Pack defaults plus any Add-On overrides) and a usage/quota bar per quota dimension, visually flagged when usage meets or exceeds its allotment.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FR-CFG-13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treat the three Compliance Modules as GRC scaffolding — a starting Controls framework and an activated Standard entry — and shall not represent, in any UI text or generated document, that activating a Compliance Module constitutes a certification, an external audit, or a legal compliance guarantee.</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3.7 Standards Knowledge Base &amp; Requirements Library</w:t>
      </w:r>
    </w:p>
    <w:p>
      <w:pPr>
        <w:spacing w:after="120"/>
      </w:pPr>
      <w:r>
        <w:rPr>
          <w:rFonts w:ascii="Times New Roman" w:cs="Times New Roman" w:eastAsia="Times New Roman" w:hAnsi="Times New Roman"/>
          <w:i/>
          <w:iCs/>
          <w:color w:val="58595B"/>
          <w:sz w:val="21"/>
          <w:szCs w:val="21"/>
        </w:rPr>
        <w:t xml:space="preserve">The tenant’s reference library of applicable standards and internal procedures, now including a clause-level Requirements breakdown for the illustrative Annex A Standards Library, each requirement illustrated with a simulated non-conformity example.</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FR-STD-01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Standards, each with a code, title, description, version, domain, effective date, document link, and an active/inactive flag.</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FR-STD-02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seed every Organization with the 15-item Annex A Standards Library (illustrative cross-sector standards: ISO 9001, ISO 14001, ISO 45001, IATF 16949, ISO 13485, AS9100, ISO 22000, HACCP, ISO/IEC 27001, ISO 31000, ISO 50001, ISO/IEC 20000-1, VDA 6.3, GMP, and Six Sigma/Lean DMAIC), each carrying a domain and a primary S1-S7 stage tag.</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FR-STD-03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mark active, by default, only as many Annex A Standards as the Organization’s Solution Pack’s Standards-included allotment (3/5/7) permits, ordered by the library’s canonical order; an Administrator may activate any other Standard from Configuration Management subject to that same allotment, and a Compliance Module (FR-CFG-05) may force additional Standards active beyond the base allotment.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FR-STD-04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maintain a Standard Requirement entity: a clause-level breakdown of a Standard’s requirements, each with a clause code (e.g. "8.5.1", "A.8.16", "Principle 3"), a title, the requirement text, an illustrative example non-conformity, and the underlying problem pattern that example typically signals.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FR-STD-05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seed a representative set of Requirements (4-5 per Standard) for every Annex A Standard, tenant-isolated, on Organization creation.</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FR-STD-06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 read endpoint returning a Standard’s Requirements, orderable and filterable by standard_id, gated behind the standard.view permission.</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FR-STD-07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the Standards list screen to expand any Standard in place to reveal its full Requirements list, including each Requirement’s example non-conformity and underlying problem pattern, without navigating away from the list.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FR-STD-08</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carry, per Standard, an optional S1-S7 stage-tag subset used to prioritize that Standard in per-step RAG retrieval (section 3.12, FR-AI-06).</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3.8 NCP Sheet Lifecycle (S1 through S7)</w:t>
      </w:r>
    </w:p>
    <w:p>
      <w:pPr>
        <w:spacing w:after="120"/>
      </w:pPr>
      <w:r>
        <w:rPr>
          <w:rFonts w:ascii="Times New Roman" w:cs="Times New Roman" w:eastAsia="Times New Roman" w:hAnsi="Times New Roman"/>
          <w:i/>
          <w:iCs/>
          <w:color w:val="58595B"/>
          <w:sz w:val="21"/>
          <w:szCs w:val="21"/>
        </w:rPr>
        <w:t xml:space="preserve">The central workflow: a structured, staged record of a non-conformity or problem from detection through capitalization, matching KB-003 through KB-009. Stages were renamed from the original specification's E1-E7 numbering to S1-S7 in the delivered implementation; Action Owner/Evaluator were correspondingly renamed from RR/RE to AR/AE (Action Responsible / Action Evaluator).</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FR-S1-01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any user holding fiche.create to register a new NCP Sheet capturing title, description, detection date, criticality (High/Medium/Low), priority (P1-P3), frequency (first-time/recurring), and applicable standard.</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FR-S1-02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auto-generate a unique, tenant-scoped Sheet Number in the format NC-{year}-{4-digit sequence} on creation.</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FR-S1-03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set a newly created Sheet's stage to S1 and status to Open.</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FR-S1-04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invoke the Classification Agent on Sheet creation, logging a suggested criticality, suggested priority, and a list of similar past Sheets with a confidence score.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FR-S1-05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the Classification Agent to be re-run on demand from the Sheet's S1 tab.</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FR-S1-06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raise Alert A when a new Sheet is created with criticality High or priority 1; as of this version Alert A is defined in the shared Alert Catalog and demonstrated via seeded historical examples, with live computation by the Monitoring Agent planned for a future release (see 3.20).</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FR-S1-07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New NCP Sheet form to be pre-filled from a saved Sheet Template (section 3.9), setting title, description, default criticality, and default priority from the selected template while leaving every field editable before submission.</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FR-S2-01</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 structured 5W2H (What/Where/When/Who/Why/How/How-Much) form for the Problem Understanding stage (S2), plus a free-text Objectives field.</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FR-S2-02</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persist exactly one Problem Understanding record per Sheet, editable by users holding fiche.edit.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FR-S2-03</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invoke the Problem Structuring Agent on request during S2, suggesting a structured 5W2H draft from the Sheet's title and description to accelerate the team's analysis.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FR-S3-01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one or more Immediate Actions to be created against a Sheet, each with description, tasks, required means, an Action Owner (AR), and planned completion date.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FR-S3-02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the Immediate Action's Action Owner (AR) to mark it Done and record the actual completion date.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FR-S3-03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Evaluator (AE), who must differ from the action’s Action Owner (AR), to record an effectiveness verdict (Effective / Not Effective) with comments and efficiency criteria for each Immediate Action.</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FR-S3-04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one or more evidence attachments (execution proof / evaluation proof) to be recorded against any action.</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FR-S3-05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invoke the Containment Advisor Agent on request, returning suggested immediate actions drawn from similar closed Sheets.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FR-S3-06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raise Alert B when an Immediate Action's planned completion date has passed and its status is not Done, and Alert G one day before that date.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FR-S4-01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one or more Root Causes to be recorded against a Sheet, each with a description, a 6M cause category (Man/Machine/Method/Material/Measurement/Milieu), and an RCA method (5-Why or Ishikawa).</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FR-S4-02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Root Cause to be optionally linked to a Standard.</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FR-S4-03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invoke the Root Cause Mining Agent on request, returning suggested root causes and 6M categories drawn from similar closed Sheets.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FR-S4-04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raise Alert D when 48 hours have elapsed since detection and no Root Cause has yet been recorded for the Sheet.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FR-S5-01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one or more Corrective Actions to be defined per Root Cause, each with description, tasks, required means, an Action Owner (AR), and planned completion date.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FR-S5-02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S5 (Corrective Action Plan) view shall present action definition only; execution status and effectiveness controls shall not be exposed on this tab.</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FR-S5-03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invoke the Action Recommendation Agent on request, returning proven corrective actions for the given root cause(s) drawn from the Capitalization Library.</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FR-S6-01</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S6 (Execution &amp; Evaluation) view shall present the same Corrective Actions defined in S5 with execution controls: mark Done, attach evidence, and record an AR/AE-separated effectiveness verdict.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FR-S6-02</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raise Alert C when a Corrective Action is marked Done or its evaluation deadline is 2 days away, and Alert H two days before its planned completion date.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FR-S6-03</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raise Alert I two days before a scheduled evaluation's planned review date.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FR-S6-04</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invoke the Evaluation Assistant Agent on request during S6, surfacing, for each pending Corrective Action, the specific root cause to re-verify and the organization’s historical corrective-action effectiveness rate as evaluation context.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FR-S7-01</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 REX (Retour d’EXpérience) form capturing Lessons Learned, Root Cause Summary, Solution Summary, a Standardization decision (yes/no + details), a Generalization decision (yes/no + plan), and searchable tags.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FR-S7-02</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invoke the REX Generation Agent on request, auto-drafting the Lessons Learned narrative and standardization/generalization recommendations from the Sheet's full S1-S6 content.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FR-S7-03</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raise Alert E when all Corrective Actions on a Sheet have an Effective verdict, prompting the team to complete S7; as of this version Alert E is defined in the shared Alert Catalog and demonstrated via seeded historical examples, with live computation planned for a future release (see 3.20).</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FR-S7-04</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block closing a Sheet (transition to status Closed) unless a REX entry exists, when the Organization's Governance Settings require it (default: required).</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FR-S7-05</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Upon closure, the system shall set the Sheet's status to Closed, stage to S7, and closure date to the current date, and shall make the Sheet's content available to the Capitalization Library RAG index.</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FR-GEN-01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an explicit, sequential stage-advance action (S1-&gt;S2-&gt;...-&gt;S7) gated by fiche.validate, and shall track the Sheet's current stage independently of its status.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FR-GEN-02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raise Alert J when a Priority-1 Sheet has had no update for 3 or more consecutive days.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FR-GEN-03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assignment of one or more NCP Team Members to a Sheet, distinct from its original detector.</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FR-GEN-04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render, on every S1-S7 tab of an NCP Sheet, a Stage Governance panel summarizing the Business Rules, Controls, and Risks &amp; Opportunities tagged to that specific stage (section 3.14-3.16), scoped to the viewing user’s permissions, rendering nothing when the user lacks visibility or no items are tagged to that stage.</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3.9 NCP Sheet Templates</w:t>
      </w:r>
    </w:p>
    <w:p>
      <w:pPr>
        <w:spacing w:after="120"/>
      </w:pPr>
      <w:r>
        <w:rPr>
          <w:rFonts w:ascii="Times New Roman" w:cs="Times New Roman" w:eastAsia="Times New Roman" w:hAnsi="Times New Roman"/>
          <w:i/>
          <w:iCs/>
          <w:color w:val="58595B"/>
          <w:sz w:val="21"/>
          <w:szCs w:val="21"/>
        </w:rPr>
        <w:t xml:space="preserve">A library of pre-filled S1 starting points by problem type, reducing the effort of registering a common category of non-conformity.</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FR-TMPL-01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Sheet Templates, each with a title, description, problem type, default criticality, default priority, a title template, and a description template.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FR-TMPL-02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seed every Organization with 5 representative Sheet Templates spanning common problem types (Supplier Non-Conformity, Customer Complaint, Safety/Near-Miss, Internal Process Deviation, Equipment/Maintenance Failure).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FR-TMPL-03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make Sheet Templates available on every Solution Pack, consistent with the always-standard treatment of the 10 system KPIs and 4 standard Reports, since they are not part of the GRC bundle.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FR-TMPL-04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gate create/edit/delete of a Sheet Template behind the corresponding sheetTemplate permission, while any user holding fiche.create may select one when starting a new Sheet.</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3.10 Action Register</w:t>
      </w:r>
    </w:p>
    <w:p>
      <w:pPr>
        <w:spacing w:after="120"/>
      </w:pPr>
      <w:r>
        <w:rPr>
          <w:rFonts w:ascii="Times New Roman" w:cs="Times New Roman" w:eastAsia="Times New Roman" w:hAnsi="Times New Roman"/>
          <w:i/>
          <w:iCs/>
          <w:color w:val="58595B"/>
          <w:sz w:val="21"/>
          <w:szCs w:val="21"/>
        </w:rPr>
        <w:t xml:space="preserve">A composable, reusable module underlying both Immediate (S3) and Corrective (S5/S6) actions.</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FR-ACT-01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auto-generate a unique, tenant-scoped Action Number in the format A-{year}-{4-digit sequence} on creation.</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FR-ACT-02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track an Action’s status through To Do -&gt; In Progress -&gt; Done -&gt; Cancelled.</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FR-ACT-03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 personal "My Actions" view listing actions owned by, or pending evaluation by, the authenticated user.</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FR-ACT-04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restrict an action’s self-service status update to its assigned Action Owner (AR) (or a user holding action.edit).</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3.11 Capitalization Library &amp; Retrieval-Augmented Generation (RAG)</w:t>
      </w:r>
    </w:p>
    <w:p>
      <w:pPr>
        <w:spacing w:after="120"/>
      </w:pPr>
      <w:r>
        <w:rPr>
          <w:rFonts w:ascii="Times New Roman" w:cs="Times New Roman" w:eastAsia="Times New Roman" w:hAnsi="Times New Roman"/>
          <w:i/>
          <w:iCs/>
          <w:color w:val="58595B"/>
          <w:sz w:val="21"/>
          <w:szCs w:val="21"/>
        </w:rPr>
        <w:t xml:space="preserve">The organizational memory of resolved problems, semantically searchable, available where the active Solution Pack includes the Capitalization feature (Govern and Assure by default, or via the Capitalization Library &amp; RAG Add-On on Resolve).</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FR-CAP-01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automatically index every closed Sheet's title, description, root causes, corrective actions, and REX content into a per-tenant search index upon closure.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FR-CAP-02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 free-text semantic search over the Capitalization Library, ranked by similarity score, restricted to the requesting user's own tenant.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FR-CAP-03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display, for each closed Sheet in the library, its lessons learned, standardization flag, and generalization flag.</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FR-CAP-04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gate access to the Capitalization Library behind both the capitalization.view RBAC permission and the active Solution Pack’s capitalization feature entitlement, rejecting access with HTTP 403 pack_feature_not_included when the Pack does not include it.</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3.12 AI Agents (Process Assistance)</w:t>
      </w:r>
    </w:p>
    <w:p>
      <w:pPr>
        <w:spacing w:after="120"/>
      </w:pPr>
      <w:r>
        <w:rPr>
          <w:rFonts w:ascii="Times New Roman" w:cs="Times New Roman" w:eastAsia="Times New Roman" w:hAnsi="Times New Roman"/>
          <w:i/>
          <w:iCs/>
          <w:color w:val="58595B"/>
          <w:sz w:val="21"/>
          <w:szCs w:val="21"/>
        </w:rPr>
        <w:t xml:space="preserve">Rule-based, explainable assistants providing suggestions, never autonomous decisions: one for every NCP process step (KB-010) plus an always-on Monitoring &amp; Alert Agent. Every one of these agents is itself a governed entry in the AI Use Case Library (section 3.13), which controls its activation, discloses its RAG grounding, and logs every outcome. A separate pair of AI Assistant agents (RBAC-scoped data query and application help query) is specified in section 3.26.</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log every AI agent invocation (agent name, prompt/context, response, confidence score, timestamp, related Sheet) to an immutable AI Agent Log.</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never allow an AI agent to autonomously change a Sheet's data; every suggestion shall require explicit human action to apply.</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scope every AI agent's retrieval to the requesting user's own tenant (no cross-tenant data in suggestions).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implement the Monitoring &amp; Alert Agent as an always-on process computing Alerts A-J from current data, invocable on demand or on a schedule.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one dedicated agent per NCP process step — Classification (S1), Problem Structuring (S2), Containment Advisor (S3), Root Cause Mining (S4), Action Recommendation (S5), Evaluation Assistant (S6), and REX Generation (S7) — so every stage of the workflow, not only a subset, carries AI assistance.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ground each of the seven step agents’ retrieval in the Organization’s Standards Knowledge Base using a per-stage retrieval function that prioritizes Standards whose stage tags match the current step, topping up with the remainder of the active corpus only when the stage-specific pool is smaller than the requested result count, so a stage is never starved of context.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pass the requesting step’s own S1-S7 tag into the per-stage retrieval function (FR-AI-06) on every one of the seven step agents’ invocations.</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3.13 AI Use Case Library &amp; Governance</w:t>
      </w:r>
    </w:p>
    <w:p>
      <w:pPr>
        <w:spacing w:after="120"/>
      </w:pPr>
      <w:r>
        <w:rPr>
          <w:rFonts w:ascii="Times New Roman" w:cs="Times New Roman" w:eastAsia="Times New Roman" w:hAnsi="Times New Roman"/>
          <w:i/>
          <w:iCs/>
          <w:color w:val="58595B"/>
          <w:sz w:val="21"/>
          <w:szCs w:val="21"/>
        </w:rPr>
        <w:t xml:space="preserve">The governed catalog and control plane for every AI capability in NCP Solver, independent of the Capitalization Library. Every use case sits in exactly one of two tiers — Assistive (the AI observes, analyzes, or suggests; a human performs the task and makes the decision) or Augmented (the AI performs a substantial part of the task — drafting, classifying, or summarizing at scale — but a human must review, edit, and approve the result before it is finalized or distributed). A third tier, Autonomous AI, in which the system would take an irreversible action without a human decision in the loop, is deliberately out of scope for this release. Each Organization is seeded with fourteen versioned library AI Use Cases (the seven built-in process agents, the two AI Assistant modes, and five forward-looking catalog-only entries), and may additionally author custom AI Use Cases up to its Solution Pack’s quota.</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AI Use Cases, capturing an id, name, tier (Assistive/Augmented), owning module, description, trigger condition, expected output, business function, AI technique, maturity stage (1-5), status (Idea/Pilot/Production/Retired), expected impact, estimated ROI, and tags.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capture, per AI Use Case, a trigger description (what causes it to run), an output description (what it produces), and a human checkpoint description (the point at which a person must review, edit, or approve its output before it has any effect) — distinct fields from the versioned prompt-template content of FR-AIUC-03.</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version an AI Use Case’s editable prompt-template content independently of its metadata; content shall consist of five labeled sections: Inputs, Prompt, Expected Output, Constraints/Guardrails, and Model/Technique Notes.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create Version 1 of an AI Use Case automatically upon creation and mark it as the Default and Current version.</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authorized user to save the current draft as a new version, incrementing the version number and marking it Current; the prior version shall remain in history unmodified.</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display the full Version History for an AI Use Case, showing version number, author, timestamp, change note, and Default/Current status badges, and shall allow viewing the full labeled content of any historical version.</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authorized user to revert to any historical version; reverting shall duplicate that version's content into a brand-new version marked Current, never rewrite or delete history.</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FR-AIUC-08</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gate full CRUD on AI Use Cases and their version history — create, metadata edit, delete, and version revert — behind a single canManageAiUseCases capability (aiUseCase.create / aiUseCase.edit / aiUseCase.delete), distinct from the activation capabilities of FR-AIUC-11 and FR-AIUC-12.</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FR-AIUC-09</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seed every Organization, on creation, with the same fourteen library AI Use Cases described in the section intro, marked is_custom = false, so the catalog’s library portion is identical in shape across every tenant regardless of sector.</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FR-AIUC-10</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Organization Administrator holding canActivateAiForOrg (aiUseCase.activate) to activate or deactivate any AI Use Case for the whole Organization, independently of editing its metadata or content.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FR-AIUC-11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user holding canRequestProjectAiOverride (aiUseCase.projectOverride) to set a per-Project override on any AI Use Case as one of three states: Inherit, On, or Off.</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FR-AIUC-12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compute an AI Use Case's effective activation state, for a given Project context, as that Project's override when set to On or Off, and as the Organization's activation state (FR-AIUC-10) when the Project override is Inherit or unset.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FR-AIUC-13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block, server-side, any new AI suggestion from a deactivated AI Use Case (by its effective state) immediately upon deactivation, while never retroactively hiding, unlabeling, or removing content a human already reviewed and approved before deactivation.</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FR-AIUC-14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visually label every AI-generated output, wherever it is shown, as AI-generated and requiring human review, alongside its tier (Assistive/Augmented) and its generation source — the deterministic built-in engine or a configured real model — so a user can see which path actually produced the output.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FR-AIUC-15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write an append-only AI Usage Log entry for every AI suggestion’s outcome — Accepted, Edited, or Rejected — capturing the AI Use Case, Organization, Project (if any), the record it applied to, an output summary, the acting user, and a timestamp; the system shall expose no edit or delete route or UI control for this log.</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FR-AIUC-16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on deleting an AI Use Case, purge every Organization activation entry and every Project-override entry that reference it, so no orphaned activation-map key can outlive its use case.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FR-AIUC-17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user to configure a Real LLM Provider Connection (provider, model, endpoint URL, and API key) and shall persist it only in the user's own browser local storage, in a namespace separate from every other cached or exportable application state.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FR-AIUC-18</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never include the Real LLM Provider Connection, in whole or in part, in any data export, and shall never synchronize, cache, or persist it on the backend beyond the single generation request it is forwarded with; the connection shall survive a Reset Demo Data operation, since that operation resets only server-side tenant data.</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FR-AIUC-19</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on any failure of a live LLM call — network error, authentication failure, timeout, or an unsupported provider — fall back automatically to its deterministic built-in generator for that same request, so a misconfigured or unreachable connection never blocks a suggestion from being produced.</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FR-AIUC-20</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ensure an AI Use Case's activation, tier, or generation never grants a user visibility into any data beyond what their RBAC role and permissions already allow.</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FR-AIUC-21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before generating any suggestion, retrieve the top-matching Standard/Requirement references for the record at hand via its per-stage RAG engine (FR-AI-06), instruct the underlying model (real or deterministic) to stay strictly within NCP Solver's own stage and category vocabulary (S1-S7, AR/AE, the 6M causes) and to state no number, score, or name that is not present in the retrieved references or the record's own data, and disclose the retrieved definitions to the user alongside the output.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FR-AIUC-22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Organization to author custom AI Use Cases, in addition to the fourteen library entries, up to the active Solution Pack’s customAiUseCasesAllowed quota, marking each is_custom = true.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FR-AIUC-23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enforce, on both creating a custom AI Use Case and activating any AI Use Case, the active Solution Pack’s three-dimensional AI Use Case quota — library-active count, custom-total count, and combined-active count — rejecting a request that would exceed any dimension with HTTP 409 quota_exceeded.</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3.14 Business Rules</w:t>
      </w:r>
    </w:p>
    <w:p>
      <w:pPr>
        <w:spacing w:after="120"/>
      </w:pPr>
      <w:r>
        <w:rPr>
          <w:rFonts w:ascii="Times New Roman" w:cs="Times New Roman" w:eastAsia="Times New Roman" w:hAnsi="Times New Roman"/>
          <w:i/>
          <w:iCs/>
          <w:color w:val="58595B"/>
          <w:sz w:val="21"/>
          <w:szCs w:val="21"/>
        </w:rPr>
        <w:t xml:space="preserve">A governed catalog of the process rules that constrain NCP Solver’s own behavior, with full CRUD via RBAC, available where the active Solution Pack includes GRC modules (Govern and Assure).</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FR-BR-01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Business Rules, each with a code, title, rule type (Validation/Workflow/Approval/Naming/Threshold/Escalation), the module it applies to, a Condition (IF) statement, an Action (THEN) statement, severity (Blocking/Warning/Info), and an owner.</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FR-BR-02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Business Rule to be marked active or inactive without deleting it.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FR-BR-03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restrict create/edit/delete of Business Rules to users holding the corresponding businessRule permission, and shall additionally gate all Business Rule access behind the active Solution Pack’s grcModules entitlement.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FR-BR-04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Business Rule to be tagged with the owning OBS node and, via the RACSI matrix, with a named Accountable owner.</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FR-BR-05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Business Rule to be optionally tagged with the S1-S7 stage it is most relevant to, surfacing it on that stage’s Stage Governance panel (FR-GEN-04) and filterable by that stage via the API.</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3.15 Controls (COSO Framework)</w:t>
      </w:r>
    </w:p>
    <w:p>
      <w:pPr>
        <w:spacing w:after="120"/>
      </w:pPr>
      <w:r>
        <w:rPr>
          <w:rFonts w:ascii="Times New Roman" w:cs="Times New Roman" w:eastAsia="Times New Roman" w:hAnsi="Times New Roman"/>
          <w:i/>
          <w:iCs/>
          <w:color w:val="58595B"/>
          <w:sz w:val="21"/>
          <w:szCs w:val="21"/>
        </w:rPr>
        <w:t xml:space="preserve">Internal controls mapped to the five COSO Internal Control - Integrated Framework components, with full CRUD via RBAC, available where the active Solution Pack includes GRC modules.</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FR-CTL-01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Controls, each classified under one of the five COSO components: Control Environment, Risk Assessment, Control Activities, Information &amp; Communication, or Monitoring Activities.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FR-CTL-02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record, per Control, a control type (Preventive/Detective/Corrective), a testing frequency (Continuous through Annual), an owner, an effectiveness rating (Effective/Partially Effective/Ineffective/Not Tested), last-tested and next-test-due dates, and evidence notes.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FR-CTL-03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filtering the Controls list by COSO component.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FR-CTL-04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Control to be linked to one or more Risks/Opportunities as a mitigating control.</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FR-CTL-05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Control to be tagged with the owning OBS node and, via the RACSI matrix, with a named accountability structure for its periodic testing.</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FR-CTL-06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Control to be optionally tagged with the S1-S7 stage it is most relevant to (surfaced per FR-GEN-04) and, independently, with the Compliance Module (GDPR/ISO 27001/SOC 2) it was seeded under, when applicable.</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3.16 Risks &amp; Opportunities</w:t>
      </w:r>
    </w:p>
    <w:p>
      <w:pPr>
        <w:spacing w:after="120"/>
      </w:pPr>
      <w:r>
        <w:rPr>
          <w:rFonts w:ascii="Times New Roman" w:cs="Times New Roman" w:eastAsia="Times New Roman" w:hAnsi="Times New Roman"/>
          <w:i/>
          <w:iCs/>
          <w:color w:val="58595B"/>
          <w:sz w:val="21"/>
          <w:szCs w:val="21"/>
        </w:rPr>
        <w:t xml:space="preserve">A likelihood x impact risk register covering both risks and opportunities related to operating NCP Solver, with full CRUD via RBAC, available where the active Solution Pack includes GRC modules.</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FR-RISK-01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Risk/Opportunity items, each with a code, title, description, type (Risk/Opportunity), category (Strategic/Operational/Compliance/Financial/Reputational/Technology), likelihood (1-5), impact (1-5), response strategy, mitigation/action plan, owner, and status (Identified/Assessing/Mitigating/Monitoring/Closed).</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FR-RISK-02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automatically compute an Inherent Score (likelihood x impact) and, where residual likelihood/impact are set, a Residual Score.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FR-RISK-03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Risk/Opportunity to be linked to zero or more mitigating Controls.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FR-RISK-04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render a 5x5 likelihood x impact heat-map matrix, color-banded from lowest risk (dark green) to highest risk (red), plotting every Risk item in its corresponding cell.</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FR-RISK-05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filtering the register by item type (Risk / Opportunity).</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FR-RISK-06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Risk/Opportunity to be tagged with the owning OBS node and, via the RACSI matrix, with a named accountability structure for its mitigation plan.</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FR-RISK-07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Risk/Opportunity to be optionally tagged with the S1-S7 stage it is most relevant to, surfacing it on that stage’s Stage Governance panel (FR-GEN-04) and filterable by that stage via the API.</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3.17 RACSI Accountability Matrix</w:t>
      </w:r>
    </w:p>
    <w:p>
      <w:pPr>
        <w:spacing w:after="120"/>
      </w:pPr>
      <w:r>
        <w:rPr>
          <w:rFonts w:ascii="Times New Roman" w:cs="Times New Roman" w:eastAsia="Times New Roman" w:hAnsi="Times New Roman"/>
          <w:i/>
          <w:iCs/>
          <w:color w:val="58595B"/>
          <w:sz w:val="21"/>
          <w:szCs w:val="21"/>
        </w:rPr>
        <w:t xml:space="preserve">A Responsible/Accountable/Consulted/Support/Informed matrix assigning OBS-sourced roles or named people to each of the seven NCP process steps and to selected governance items, with full CRUD via RBAC.</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FR-RACSI-01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RACSI Activities, each with a code, title, description, a reference type (NCP Process Step / Business Rule / Control / Risk-Opportunity / General), and an owning OBS node.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FR-RACSI-02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RACSI Activity referencing the NCP process to be tagged with exactly one stage (S1-S7).</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FR-RACSI-03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RACSI Activity to be linked directly to a specific Business Rule, Control, or Risk/Opportunity record, so governance accountability is traceable to a concrete item rather than stated abstractly.</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FR-RACSI-04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RACSI Assignments against an Activity, each assigning exactly one of the five RACSI types (Responsible, Accountable, Consulted, Support, Informed) to exactly one assignee.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FR-RACSI-05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RACSI Assignment’s assignee to be given either as a Role (an org-wide accountability drawn from the RBAC role catalog) or as a specific Named Person (a user), sourced from the Organizational Breakdown Structure.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FR-RACSI-06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enforce that a RACSI Activity has at most one Accountable (A) assignment at any time, both in the create-assignment form (the "A" option is disabled once an Accountable exists) and at the data-persistence layer (a database constraint); a request that would create a second Accountable shall be rejected with HTTP 409.</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FR-RACSI-07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RACSI Activity’s Responsible, Consulted, Support, and Informed types to each carry zero, one, or multiple assignments, freely mixing Role-based and Named-Person-based assignees.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FR-RACSI-08</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authorized user to remove an individual RACSI Assignment without deleting the parent Activity.</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FR-RACSI-09</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the RACSI Activity list to be filtered by reference type (NCP Process Step / Business Rule / Control / Risk-Opportunity / General).</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3.18 Custom KPIs</w:t>
      </w:r>
    </w:p>
    <w:p>
      <w:pPr>
        <w:spacing w:after="120"/>
      </w:pPr>
      <w:r>
        <w:rPr>
          <w:rFonts w:ascii="Times New Roman" w:cs="Times New Roman" w:eastAsia="Times New Roman" w:hAnsi="Times New Roman"/>
          <w:i/>
          <w:iCs/>
          <w:color w:val="58595B"/>
          <w:sz w:val="21"/>
          <w:szCs w:val="21"/>
        </w:rPr>
        <w:t xml:space="preserve">Organization-defined KPIs, additive to the 10 built-in system KPIs (Appendix B), with full CRUD via RBAC, available on every Solution Pack.</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FR-CKPI-01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Custom KPIs, each with a code, title, description, a plain-language formula description, a target value, an owner, an active/inactive flag, and an optional S1-S7 stage tag.</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FR-CKPI-02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seed every Organization with 6 suggested Custom KPIs spanning multiple S1-S7 stages and cross-cutting concerns (e.g. Time to Containment, Time to Root Cause Identification, Recurring Non-Conformity Rate, Overdue Corrective Action Rate, AI Suggestion Acceptance Rate, REX Generalization Backlog).</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FR-CKPI-03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make Custom KPIs available on every Solution Pack, consistent with the always-standard treatment of the 10 system KPIs, since they are not part of the GRC bundle.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FR-CKPI-04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filtering Custom KPIs by S1-S7 stage via the API.</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3.19 Help &amp; User Guide</w:t>
      </w:r>
    </w:p>
    <w:p>
      <w:pPr>
        <w:spacing w:after="120"/>
      </w:pPr>
      <w:r>
        <w:rPr>
          <w:rFonts w:ascii="Times New Roman" w:cs="Times New Roman" w:eastAsia="Times New Roman" w:hAnsi="Times New Roman"/>
          <w:i/>
          <w:iCs/>
          <w:color w:val="58595B"/>
          <w:sz w:val="21"/>
          <w:szCs w:val="21"/>
        </w:rPr>
        <w:t xml:space="preserve">An in-app, searchable, multi-language reference covering every module, available to every authenticated user regardless of role.</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FR-HELP-01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an in-app Help screen presenting a set of topic articles covering: getting started, the S1-S7 NCP process, Hierarchy &amp; OBS, Identity &amp; RBAC, Configuration Management, Governance/Risk/Compliance, the RACSI matrix, the AI Use Case Library &amp; Governance, the Capitalization Library &amp; AI agents, BPMN process diagrams, the AI Assistant and chatbot, Alerts &amp; Reports, and a FAQ.</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FR-HELP-02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render Help content in the user’s currently selected display language (English, French, or Arabic), matching the article set 1:1 across languages.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FR-HELP-03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 free-text search box on the Help screen that filters topics by a case-insensitive match against the topic title or body.</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FR-HELP-04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make the Help screen accessible to every authenticated user independent of role or permission grants, consistent with the Dashboard.</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FR-HELP-05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present each Help topic as an expandable/collapsible section so a user can scan titles before reading full content.</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3.20 Alerts &amp; Notifications</w:t>
      </w:r>
    </w:p>
    <w:p>
      <w:pPr>
        <w:spacing w:after="120"/>
      </w:pPr>
      <w:r>
        <w:rPr>
          <w:rFonts w:ascii="Times New Roman" w:cs="Times New Roman" w:eastAsia="Times New Roman" w:hAnsi="Times New Roman"/>
          <w:i/>
          <w:iCs/>
          <w:color w:val="58595B"/>
          <w:sz w:val="21"/>
          <w:szCs w:val="21"/>
        </w:rPr>
        <w:t xml:space="preserve">The ten standard alerts (A-J) from the Knowledge Base, each carrying a human-readable name and a primary S1-S7 stage tag from a shared Alert Catalog, computed by the Monitoring &amp; Alert Agent where implemented. As of this version, seven alert types (B, C, D, G, H, I, J) are computed live from current data by the Monitoring Agent; three (A, E, F) are defined in the same Alert Catalog and demonstrated via realistic seeded historical alerts, with live computation planned for a future release.</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FR-ALT-01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implement, live, seven of the ten standard alerts — B (Action Overdue), C (Evaluation Pending), D (Root Cause Analysis Not Started), G (Immediate Action Due Tomorrow), H (Corrective Action Due Soon), I (Evaluation Due Soon), J (Priority-1 Sheet Inactive) — and shall define the remaining three — A (New Sheet Triage), E (Containment Evidence Pending), F (KPI Threshold Breach) — in the same catalog for consistent naming, stage-tagging, and seeded demonstration, pending live implementation.</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FR-ALT-02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an on-demand "Run Monitoring Agent" action, restricted to users holding alert.manage, that (re-)evaluates all live alert conditions.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FR-ALT-03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avoid duplicate alerts of the same type against the same triggering entity within the same day.</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FR-ALT-04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user to mark an individual alert as read.</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FR-ALT-05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display a live unread-alert badge in the navigation sidebar, refreshed periodically.</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FR-ALT-06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tag every alert, live-generated or seeded, with the primary S1-S7 stage of its alert type from the shared Alert Catalog, so alerts can be correlated with the Sheet stage they relate to.</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FR-ALT-07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display, in both the Alerts inbox and the Governance Settings alert-configuration list, the alert’s human-readable name from the shared Alert Catalog alongside its letter code.</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3.21 Reports &amp; KPIs</w:t>
      </w:r>
    </w:p>
    <w:p>
      <w:pPr>
        <w:spacing w:after="120"/>
      </w:pPr>
      <w:r>
        <w:rPr>
          <w:rFonts w:ascii="Times New Roman" w:cs="Times New Roman" w:eastAsia="Times New Roman" w:hAnsi="Times New Roman"/>
          <w:i/>
          <w:iCs/>
          <w:color w:val="58595B"/>
          <w:sz w:val="21"/>
          <w:szCs w:val="21"/>
        </w:rPr>
        <w:t xml:space="preserve">The four standard reports and ten core KPIs from the Knowledge Base, each exportable to PDF, Excel, and Word.</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FR-REP-01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an Operational NCP Dashboard report listing every open/in-progress Sheet with stage, ageing in days, and immediate/corrective action completion percentages.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FR-REP-02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an Action Plan Monitoring report listing every action with owner, planned date, status, and an overdue flag.</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FR-REP-03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 Strategic Problem-Solving Scorecard showing all 10 KPIs, a priority distribution chart, a non-conformity-by-department chart, and a criticality distribution chart.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FR-REP-04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 Capitalization &amp; Lessons Learned Log report listing every closed Sheet’s lessons learned, standardization, and generalization status.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FR-REP-05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compute all 10 KPIs (see Appendix B) in real time from current data, scoped to the requesting user’s tenant.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FR-REP-06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any of the four standard reports to be exported, on demand, as a downloadable PDF, Excel (.xlsx), or Word (.docx) file, generated server-side and styled to the POWERACT Consulting visual identity.</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FR-REP-07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name every exported report file with the report key and the export date, and shall serve it with the correct MIME type and a Content-Disposition attachment header so the browser downloads it directly.</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3.22 Multi-Language &amp; Localization</w:t>
      </w:r>
    </w:p>
    <w:p>
      <w:pPr>
        <w:spacing w:after="120"/>
      </w:pPr>
      <w:r>
        <w:rPr>
          <w:rFonts w:ascii="Times New Roman" w:cs="Times New Roman" w:eastAsia="Times New Roman" w:hAnsi="Times New Roman"/>
          <w:i/>
          <w:iCs/>
          <w:color w:val="58595B"/>
          <w:sz w:val="21"/>
          <w:szCs w:val="21"/>
        </w:rPr>
        <w:t xml:space="preserve">English, French, and Arabic, with full right-to-left (RTL) layout for Arabic.</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FR-I18N-01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complete UI translation in English, French, and Arabic for all navigation, labels, form fields, statuses, and messages.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FR-I18N-02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user to change their display language at any time from the top navigation bar, without reloading lost work.</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FR-I18N-03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persist a user’s language preference and apply it automatically on subsequent logins.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FR-I18N-04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render the entire application right-to-left, including navigation, forms, and tables, when Arabic is selected.</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FR-I18N-05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an Organization to configure a tenant-level default language.</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3.23 Multi-Tenancy</w:t>
      </w:r>
    </w:p>
    <w:p>
      <w:pPr>
        <w:spacing w:after="120"/>
      </w:pPr>
      <w:r>
        <w:rPr>
          <w:rFonts w:ascii="Times New Roman" w:cs="Times New Roman" w:eastAsia="Times New Roman" w:hAnsi="Times New Roman"/>
          <w:i/>
          <w:iCs/>
          <w:color w:val="58595B"/>
          <w:sz w:val="21"/>
          <w:szCs w:val="21"/>
        </w:rPr>
        <w:t xml:space="preserve">Complete data isolation between Organizations sharing the same application instance.</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FR-TEN-01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scope every data query by the authenticated user’s organization_id; no API response shall ever include another Organization’s data.</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FR-TEN-02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isolate RBAC configuration, Capitalization Library content, Standards/Requirements content, and RAG retrieval per Organization.</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FR-TEN-03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multiple independent Organizations, and Organizations grouped under a single Group entity, to coexist on one deployment.</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3.24 Audit Trail</w:t>
      </w:r>
    </w:p>
    <w:p>
      <w:pPr>
        <w:spacing w:after="120"/>
      </w:pPr>
      <w:r>
        <w:rPr>
          <w:rFonts w:ascii="Times New Roman" w:cs="Times New Roman" w:eastAsia="Times New Roman" w:hAnsi="Times New Roman"/>
          <w:i/>
          <w:iCs/>
          <w:color w:val="58595B"/>
          <w:sz w:val="21"/>
          <w:szCs w:val="21"/>
        </w:rPr>
        <w:t xml:space="preserve">An immutable record of every state-changing action, for compliance and traceability.</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FR-AUD-01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write an audit log entry for every CREATE, UPDATE, and DELETE operation on a major entity, capturing actor, timestamp, entity type/id, and before/after values.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FR-AUD-02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make the audit trail viewable, read-only, to users holding audit.view (e.g., the Auditor role).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FR-AUD-03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ensure audit log writes never block or fail the primary operation they accompany.</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3.25 BPMN Process Modeling</w:t>
      </w:r>
    </w:p>
    <w:p>
      <w:pPr>
        <w:spacing w:after="120"/>
      </w:pPr>
      <w:r>
        <w:rPr>
          <w:rFonts w:ascii="Times New Roman" w:cs="Times New Roman" w:eastAsia="Times New Roman" w:hAnsi="Times New Roman"/>
          <w:i/>
          <w:iCs/>
          <w:color w:val="58595B"/>
          <w:sz w:val="21"/>
          <w:szCs w:val="21"/>
        </w:rPr>
        <w:t xml:space="preserve">Full CRUD, RBAC-gated management of standard BPMN 2.0 process diagrams, rendered and edited in-browser with a genuine BPMN modeler (bpmn.io’s bpmn-js), seeded with a diagram of the NCP Solver process itself, with its editing tool palette housed in a dedicated sidebar next to the canvas rather than floating over it.</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FR-BPMN-01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full CRUD on BPMN Diagrams, each with a code, title, description, a BPMN 2.0 XML payload, and an optional owning OBS node.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FR-BPMN-02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render a stored BPMN Diagram using a standards-compliant BPMN 2.0 modeler/viewer component, not a static image.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FR-BPMN-03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grant read-only pan/zoom viewing of a BPMN Diagram to any user holding bpmn.view whose Organization’s Solution Pack includes at least View BPMN mode.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FR-BPMN-04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grant the full editing palette (tasks, gateways, events, sequence flows) and a Save Diagram action only to users holding bpmn.edit whose Organization’s Solution Pack includes Full Edit BPMN mode (Assure by default, or Govern/Resolve with the BPMN Full Editing Modeler Add-On).</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FR-BPMN-05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allow a new BPMN Diagram to be created starting from a blank canvas with a single Start Event, for users holding bpmn.create.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FR-BPMN-06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gate deletion of a BPMN Diagram behind bpmn.delete.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FR-BPMN-07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be seeded, per Organization, with a BPMN Diagram modeling the NCP Solver process itself end-to-end (S1 through S7), including the effectiveness-evaluation loop from S6 back to S5 when a corrective action is verified Not Effective.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FR-BPMN-08</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render the BPMN editor’s tool palette in a fixed-width sidebar positioned beside the diagram canvas, both contained within the same layout container the modeler manages, so the palette never overlaps the diagram and the canvas retains its full usable width.</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FR-BPMN-09</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hide the BPMN Process navigation item and reject direct API access (HTTP 403 pack_feature_not_included) for an Organization whose Solution Pack’s BPMN mode is None (Resolve, without the BPMN Add-On).</w:t>
            </w:r>
          </w:p>
        </w:tc>
      </w:tr>
    </w:tbl>
    <w:p>
      <w:pPr>
        <w:spacing w:after="180"/>
      </w:pPr>
    </w:p>
    <w:p>
      <w:pPr>
        <w:pStyle w:val="Heading2"/>
        <w:spacing w:after="100" w:before="260"/>
      </w:pPr>
      <w:r>
        <w:rPr>
          <w:rFonts w:ascii="Times New Roman" w:cs="Times New Roman" w:eastAsia="Times New Roman" w:hAnsi="Times New Roman"/>
          <w:b/>
          <w:bCs/>
          <w:color w:val="3A3A3C"/>
          <w:sz w:val="26"/>
          <w:szCs w:val="26"/>
        </w:rPr>
        <w:t xml:space="preserve">3.26 AI Assistant (Data Query &amp; Application Help)</w:t>
      </w:r>
    </w:p>
    <w:p>
      <w:pPr>
        <w:spacing w:after="120"/>
      </w:pPr>
      <w:r>
        <w:rPr>
          <w:rFonts w:ascii="Times New Roman" w:cs="Times New Roman" w:eastAsia="Times New Roman" w:hAnsi="Times New Roman"/>
          <w:i/>
          <w:iCs/>
          <w:color w:val="58595B"/>
          <w:sz w:val="21"/>
          <w:szCs w:val="21"/>
        </w:rPr>
        <w:t xml:space="preserve">A chat-style Q&amp;A capability, available both as a dedicated screen and as a floating chatbot widget accessible from every screen in the application, open to every authenticated user (assistant.view is granted to all 9 standard roles) whose Organization’s Solution Pack includes the AI Assistant feature (Assure by default, or any Pack with the AI Assistant Add-On). It offers two independent, rule-based agents: a permission-scoped data query agent, and an application-help query agent grounded in a static FAQ knowledge base. Both modes are cataloged in the AI Use Case Library (section 3.13) at Production/Assistive, but neither requires an AI Use Case to be activated to run, and neither places a live call to an external LLM — the safer deterministic/RAG path is used by design, since a live model risks asserting a number or fact not present in the tenant’s own data.</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FR-ASST-01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 "Query My Data" mode that answers natural-language questions about the requesting user’s own organization by matching the question, via keyword scoring, to one of a fixed set of data-query intents (as of this version: open Sheet count, closed Sheet count, overdue actions, the requesting user’s own open actions, unread alert count, KPI/closure-rate summary, open risks ranked by score, controls not confirmed effective, active Business Rule count, active AI Use Case count, and "who is Accountable for &lt;process step&gt;").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FR-ASST-02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associate every data-query intent with the single RBAC permission required to answer it (e.g., riskOpportunity.view for risk questions, control.view for control questions), and shall evaluate that permission after matching the intent but strictly before running any query.</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FR-ASST-03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When the requesting user’s role lacks the permission required by the matched intent, the system shall return an explicit, human-readable refusal naming the missing permission, and shall not execute the underlying query or expose any of the underlying data.</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FR-ASST-04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scope every data-query intent to the requesting user’s own organization_id, consistent with FR-TEN-01; no data-query answer shall include another tenant’s data.</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FR-ASST-05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When no data-query intent scores above zero for a submitted question, the system shall return a message listing the categories of question it can answer, rather than an empty or misleading result.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FR-ASST-06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provide an "Ask About the Application" mode that answers "Can it...?" / "How do I...?" questions by ranking a static FAQ corpus with the same TF-IDF retrieval engine (RAG) used by the Capitalization Library, and returning the top matching question/answer pairs with a similarity score.</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FR-ASST-07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maintain the application-help FAQ corpus as a versioned, in-code data file covering, at minimum, every module documented in section 3 of this specification, including Configuration Management, Custom KPIs, Sheet Templates, and per-stage RAG grounding.</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FR-ASST-08</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log every AI Assistant invocation (mode, question, matched intent or top result score, answer, confidence) to the AI Agent Log, consistent with FR-AI-01.</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FR-ASST-09</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gate both AI Assistant modes behind a single assistant.view permission and the active Solution Pack’s aiAssistant entitlement, independent of and in addition to any module-specific permission a given data-query intent may separately require.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FR-ASST-10</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render a floating chatbot button on every authenticated screen of the application, expandable into the same two-mode chat interface as the dedicated AI Assistant screen, without navigating away from the user’s current work.</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FR-ASST-11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when the requesting user’s Organization Solution Pack does not include the AI Assistant feature, render a translated "not included in your Pack" message in the chatbot widget in place of a non-functional chat interface.</w:t>
            </w:r>
          </w:p>
        </w:tc>
      </w:tr>
    </w:tbl>
    <w:p>
      <w:pPr>
        <w:spacing w:after="180"/>
      </w:pP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4. External Interface Requirements</w:t>
      </w:r>
    </w:p>
    <w:p>
      <w:pPr>
        <w:pStyle w:val="Heading2"/>
        <w:spacing w:after="100" w:before="260"/>
      </w:pPr>
      <w:r>
        <w:rPr>
          <w:rFonts w:ascii="Times New Roman" w:cs="Times New Roman" w:eastAsia="Times New Roman" w:hAnsi="Times New Roman"/>
          <w:b/>
          <w:bCs/>
          <w:color w:val="3A3A3C"/>
          <w:sz w:val="26"/>
          <w:szCs w:val="26"/>
        </w:rPr>
        <w:t xml:space="preserve">4.1 User Interfaces</w:t>
      </w:r>
    </w:p>
    <w:p>
      <w:pPr>
        <w:spacing w:after="140" w:line="268"/>
        <w:jc w:val="both"/>
      </w:pPr>
      <w:r>
        <w:rPr>
          <w:rFonts w:ascii="Times New Roman" w:cs="Times New Roman" w:eastAsia="Times New Roman" w:hAnsi="Times New Roman"/>
          <w:color w:val="58595B"/>
          <w:sz w:val="22"/>
          <w:szCs w:val="22"/>
        </w:rPr>
        <w:t xml:space="preserve">The application presents the following screens, each accessible only when the authenticated user holds the corresponding view permission and, where applicable, the required Solution Pack entitlement; navigation itself is filtered by both.</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2400"/>
        <w:gridCol w:w="6960"/>
      </w:tblGrid>
      <w:tr>
        <w:trPr>
          <w:tblHeader/>
        </w:trPr>
        <w:tc>
          <w:tcPr>
            <w:tcW w:type="dxa" w:w="24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Screen</w:t>
            </w:r>
          </w:p>
        </w:tc>
        <w:tc>
          <w:tcPr>
            <w:tcW w:type="dxa" w:w="69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Purpose</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Login</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Authenticate with email/password; language selector; demo-account picker.</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Dashboard</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Role-aware summary: KPI tiles, recent Sheets, unread alerts, department chart.</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NCP Sheets (list)</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Filterable/searchable list of all Sheets in scope.</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New NCP Sheet</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S1 registration form, optionally pre-filled from a Sheet Template.</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NCP Sheet Detail</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7 tabs, one per stage S1-S7, each with stage-appropriate AI assistance and a Stage Governance panel.</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My Actions</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Actions owned by, or pending evaluation by, the current user.</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Capitalization Library</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RAG semantic search over closed Sheets.</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Standards</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CRUD on the standards knowledge base, with an expandable clause-level Requirements drill-down per Standard.</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 Use Case Library (list)</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Card grid of library and custom AI use cases with tier/maturity/status badges, an Organization Active/Inactive toggle per card, and the browser-local Real LLM Provider Connection panel.</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 Use Case Detail</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Metadata editor (tier, module, trigger, output, human checkpoint), current-version labeled-section editor, version history with revert, Organization activation card, per-Project override list, and the AI Usage Log.</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Business Rules</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CRUD on process business rules, with an optional S1-S7 stage tag.</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Controls (COSO)</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CRUD on controls, filterable by COSO component, with optional S1-S7 stage and compliance-framework tags.</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Risks &amp; Opportunities</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Likelihood x impact heat-map matrix + CRUD register, with an optional S1-S7 stage tag.</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RACSI Matrix</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Per-activity R/A/C/S/I assignment manager (roles or named people), filterable by reference type.</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Custom KPIs</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CRUD on organization-defined KPIs, additive to the 10 system KPIs.</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Sheet Templates</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CRUD on the library of pre-filled S1 starting points.</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BPMN Process (list)</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CRUD list of BPMN diagrams, each opening into a viewer or full modeler depending on RBAC and Pack.</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BPMN Diagram</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In-browser BPMN 2.0 viewer (pan/zoom, read-only) or modeler (palette sidebar + full editing + Save), selected by permission and Pack.</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 Assistant</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Two-mode chat: Query My Data (RBAC-scoped) and Ask About the Application (FAQ RAG search); also available as a floating widget on every screen.</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Reports</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4 standard reports in a tabbed view, each with Download PDF / Excel / Word actions.</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Alerts</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Alert inbox with human-readable alert names, manual "Run Monitoring Agent" trigger.</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Hierarchy</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Group / Organization / Project management, Project creation quota-checked against the active Pack.</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Organizational Breakdown (OBS)</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Site/department/service/team tree management, with live linked-item counts per node and a Pack-based node quota.</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Users &amp; Scope</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User directory and role assignment, scoped to an OBS node.</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Permission Matrix</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Full role x permission grid editor.</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Governance Settings</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 thresholds and alert toggles shown with human-readable names, RCA default, REX policy.</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Configuration Management</w:t>
            </w:r>
          </w:p>
        </w:tc>
        <w:tc>
          <w:tcPr>
            <w:tcW w:type="dxa" w:w="69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Solution Pack selector, Add-On toggles, Compliance Module toggles, live feature matrix, usage/quota bars, deployment option, support tier, seats, billing cycle.</w:t>
            </w:r>
          </w:p>
        </w:tc>
      </w:tr>
      <w:tr>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Help</w:t>
            </w:r>
          </w:p>
        </w:tc>
        <w:tc>
          <w:tcPr>
            <w:tcW w:type="dxa" w:w="69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Searchable, multi-language user guide covering every module; open to all authenticated users.</w:t>
            </w:r>
          </w:p>
        </w:tc>
      </w:tr>
    </w:tbl>
    <w:p>
      <w:pPr>
        <w:pStyle w:val="Heading2"/>
        <w:spacing w:after="100" w:before="260"/>
      </w:pPr>
      <w:r>
        <w:rPr>
          <w:rFonts w:ascii="Times New Roman" w:cs="Times New Roman" w:eastAsia="Times New Roman" w:hAnsi="Times New Roman"/>
          <w:b/>
          <w:bCs/>
          <w:color w:val="3A3A3C"/>
          <w:sz w:val="26"/>
          <w:szCs w:val="26"/>
        </w:rPr>
        <w:t xml:space="preserve">4.2 Software Interfaces (REST API)</w:t>
      </w:r>
    </w:p>
    <w:p>
      <w:pPr>
        <w:spacing w:after="140" w:line="268"/>
        <w:jc w:val="both"/>
      </w:pPr>
      <w:r>
        <w:rPr>
          <w:rFonts w:ascii="Times New Roman" w:cs="Times New Roman" w:eastAsia="Times New Roman" w:hAnsi="Times New Roman"/>
          <w:color w:val="58595B"/>
          <w:sz w:val="22"/>
          <w:szCs w:val="22"/>
        </w:rPr>
        <w:t xml:space="preserve">All interfaces are exposed as a JSON REST API under /api, secured by a JWT bearer token (except /api/auth/login), and enforced per-endpoint by the RBAC permission catalog and, where applicable, Solution Pack entitlement middleware. The API is grouped by module as follows.</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2100"/>
        <w:gridCol w:w="7260"/>
      </w:tblGrid>
      <w:tr>
        <w:trPr>
          <w:tblHeader/>
        </w:trPr>
        <w:tc>
          <w:tcPr>
            <w:tcW w:type="dxa" w:w="21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Module</w:t>
            </w:r>
          </w:p>
        </w:tc>
        <w:tc>
          <w:tcPr>
            <w:tcW w:type="dxa" w:w="72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Endpoints</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Auth</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POST /api/auth/login, GET /api/auth/me, PUT /api/auth/me/language</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Hierarchy</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 /api/hierarchy/tree, PUT /api/hierarchy/organization, POST /api/hierarchy/organizations, GET|POST|PUT|DELETE /api/hierarchy/projects (POST quota-checked, 409 on excess)</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OBS</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/api/obs, PUT|DELETE /api/obs/:id (POST quota-checked, 409 on excess)</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Users</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/api/users, GET|PUT|DELETE /api/users/:id, PUT /api/users/:id/roles, GET /api/users/directory</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Roles &amp; Permissions</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/api/roles, PUT|DELETE /api/roles/:id, GET /api/roles/directory, GET /api/roles/permissions/catalog, GET /api/roles/permissions/matrix, PUT /api/roles/:id/permissions</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Configuration Management</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 /api/license, PUT /api/license, GET /api/license/config (open to any authenticated user), GET /api/license/packs (open), GET /api/license/usage</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Governance</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GET|PUT /api/governance</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Standards</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/api/standards, GET|PUT|DELETE /api/standards/:id</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Standard Requirements</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 /api/standard-requirements?standard_id= (read-only, seeded reference content)</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NCP Sheets</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/api/fiches, GET|PUT|DELETE /api/fiches/:id, POST /api/fiches/:id/transition, POST /api/fiches/:id/close, PUT /api/fiches/:id/understanding, PUT /api/fiches/:id/team, GET|POST|PUT|DELETE /api/fiches/:id/root-causes[/:rcId], PUT /api/fiches/:id/rex, POST /api/fiches/:id/rex/generate-draft</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Sheet Templates</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/api/sheet-templates, GET|PUT|DELETE /api/sheet-templates/:id</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Actions</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/api/actions, PUT /api/actions/:id, PUT /api/actions/:id/progress, PUT /api/actions/:id/evaluation, GET|POST /api/actions/:id/evidence</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 Agents (process)</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POST /api/ai-agents/:ficheId/classification, /problem-structuring, /containment-advisor, /root-cause-mining, /action-recommendation, /evaluation-assistant, GET /api/ai-agents/:ficheId/logs</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Capitalization</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 /api/capitalization, GET /api/capitalization/search (Pack-gated: capitalization feature)</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Alerts</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 /api/alerts, POST /api/alerts/run, PUT /api/alerts/:id/read</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 Use Cases</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/api/ai-use-cases (POST quota-checked for custom use cases), GET|PUT|DELETE /api/ai-use-cases/:id, GET /api/ai-use-cases/providers, PUT /api/ai-use-cases/:id/activation (quota-checked), PUT /api/ai-use-cases/:id/project-override/:projectId, GET|POST /api/ai-use-cases/:id/versions, GET /api/ai-use-cases/:id/versions/:versionId, POST /api/ai-use-cases/:id/versions/:versionId/revert</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 Usage Log</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 /api/ai-usage-log (optional ?useCaseId=), POST /api/ai-usage-log — append-only, no PUT/PATCH/DELETE route exists</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Business Rules</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/api/business-rules, GET|PUT|DELETE /api/business-rules/:id (?ncp_stage= filter; Pack-gated: grcModules)</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Controls</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/api/controls, GET|PUT|DELETE /api/controls/:id (?ncp_stage= filter; Pack-gated: grcModules)</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Risks &amp; Opportunities</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/api/risks, GET|PUT|DELETE /api/risks/:id (?ncp_stage= filter; Pack-gated: grcModules)</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RACSI</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/api/racsi, GET|PUT|DELETE /api/racsi/:id, POST /api/racsi/:id/assignments, DELETE /api/racsi/:id/assignments/:assignmentId (Pack-gated: grcModules)</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Custom KPIs</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/api/custom-kpis, GET|PUT|DELETE /api/custom-kpis/:id (?ncp_stage= filter)</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BPMN</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GET|POST /api/bpmn, GET|PUT|DELETE /api/bpmn/:id (GET requires View BPMN mode, write requires Full Edit BPMN mode)</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 Assistant</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POST /api/assistant/query-data, POST /api/assistant/query-app (Pack-gated: aiAssistant)</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Reports</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 /api/reports/kpis, /operational, /action-plan, /scorecard, /capitalization, GET /api/reports/:key/export?format=pdf|xlsx|docx</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Dashboard</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GET /api/dashboard</w:t>
            </w:r>
          </w:p>
        </w:tc>
      </w:tr>
    </w:tbl>
    <w:p>
      <w:pPr>
        <w:pStyle w:val="Heading2"/>
        <w:spacing w:after="100" w:before="260"/>
      </w:pPr>
      <w:r>
        <w:rPr>
          <w:rFonts w:ascii="Times New Roman" w:cs="Times New Roman" w:eastAsia="Times New Roman" w:hAnsi="Times New Roman"/>
          <w:b/>
          <w:bCs/>
          <w:color w:val="3A3A3C"/>
          <w:sz w:val="26"/>
          <w:szCs w:val="26"/>
        </w:rPr>
        <w:t xml:space="preserve">4.3 Hardware Interfaces</w:t>
      </w:r>
    </w:p>
    <w:p>
      <w:pPr>
        <w:spacing w:after="140" w:line="268"/>
        <w:jc w:val="both"/>
      </w:pPr>
      <w:r>
        <w:rPr>
          <w:rFonts w:ascii="Times New Roman" w:cs="Times New Roman" w:eastAsia="Times New Roman" w:hAnsi="Times New Roman"/>
          <w:color w:val="58595B"/>
          <w:sz w:val="22"/>
          <w:szCs w:val="22"/>
        </w:rPr>
        <w:t xml:space="preserve">None. NCP Solver is a standard web application with no direct hardware interface requirement; it runs on commodity server and client hardware.</w:t>
      </w:r>
    </w:p>
    <w:p>
      <w:pPr>
        <w:pStyle w:val="Heading2"/>
        <w:spacing w:after="100" w:before="260"/>
      </w:pPr>
      <w:r>
        <w:rPr>
          <w:rFonts w:ascii="Times New Roman" w:cs="Times New Roman" w:eastAsia="Times New Roman" w:hAnsi="Times New Roman"/>
          <w:b/>
          <w:bCs/>
          <w:color w:val="3A3A3C"/>
          <w:sz w:val="26"/>
          <w:szCs w:val="26"/>
        </w:rPr>
        <w:t xml:space="preserve">4.4 Communications Interfaces</w:t>
      </w:r>
    </w:p>
    <w:p>
      <w:pPr>
        <w:pStyle w:val="ListParagraph"/>
        <w:numPr>
          <w:ilvl w:val="0"/>
          <w:numId w:val="2"/>
        </w:numPr>
        <w:spacing w:after="70"/>
      </w:pPr>
      <w:r>
        <w:rPr>
          <w:rFonts w:ascii="Times New Roman" w:cs="Times New Roman" w:eastAsia="Times New Roman" w:hAnsi="Times New Roman"/>
          <w:color w:val="58595B"/>
          <w:sz w:val="22"/>
          <w:szCs w:val="22"/>
        </w:rPr>
        <w:t xml:space="preserve">HTTP/HTTPS using JSON request/response bodies for all client-server communication, except report export responses (application/pdf, .xlsx, .docx binary bodies with a Content-Disposition attachment header).</w:t>
      </w:r>
    </w:p>
    <w:p>
      <w:pPr>
        <w:pStyle w:val="ListParagraph"/>
        <w:numPr>
          <w:ilvl w:val="0"/>
          <w:numId w:val="2"/>
        </w:numPr>
        <w:spacing w:after="70"/>
      </w:pPr>
      <w:r>
        <w:rPr>
          <w:rFonts w:ascii="Times New Roman" w:cs="Times New Roman" w:eastAsia="Times New Roman" w:hAnsi="Times New Roman"/>
          <w:color w:val="58595B"/>
          <w:sz w:val="22"/>
          <w:szCs w:val="22"/>
        </w:rPr>
        <w:t xml:space="preserve">Authentication via a signed JWT Bearer token in the Authorization header, issued at login and valid for 12 hours.</w:t>
      </w:r>
    </w:p>
    <w:p>
      <w:pPr>
        <w:pStyle w:val="ListParagraph"/>
        <w:numPr>
          <w:ilvl w:val="0"/>
          <w:numId w:val="2"/>
        </w:numPr>
        <w:spacing w:after="70"/>
      </w:pPr>
      <w:r>
        <w:rPr>
          <w:rFonts w:ascii="Times New Roman" w:cs="Times New Roman" w:eastAsia="Times New Roman" w:hAnsi="Times New Roman"/>
          <w:color w:val="58595B"/>
          <w:sz w:val="22"/>
          <w:szCs w:val="22"/>
        </w:rPr>
        <w:t xml:space="preserve">The web client is served separately from the API and communicates with it exclusively over the REST interface (no server-side page rendering).</w:t>
      </w:r>
    </w:p>
    <w:p>
      <w:pPr>
        <w:pStyle w:val="Heading2"/>
        <w:spacing w:after="100" w:before="260"/>
      </w:pPr>
      <w:r>
        <w:rPr>
          <w:rFonts w:ascii="Times New Roman" w:cs="Times New Roman" w:eastAsia="Times New Roman" w:hAnsi="Times New Roman"/>
          <w:b/>
          <w:bCs/>
          <w:color w:val="3A3A3C"/>
          <w:sz w:val="26"/>
          <w:szCs w:val="26"/>
        </w:rPr>
        <w:t xml:space="preserve">4.5 Interfaces with External Applications</w:t>
      </w:r>
    </w:p>
    <w:p>
      <w:pPr>
        <w:spacing w:after="140" w:line="268"/>
        <w:jc w:val="both"/>
      </w:pPr>
      <w:r>
        <w:rPr>
          <w:rFonts w:ascii="Times New Roman" w:cs="Times New Roman" w:eastAsia="Times New Roman" w:hAnsi="Times New Roman"/>
          <w:color w:val="58595B"/>
          <w:sz w:val="22"/>
          <w:szCs w:val="22"/>
        </w:rPr>
        <w:t xml:space="preserve">NCP Solver is architected — modular services behind a stable REST/JSON API, tenant isolation, and the composable-module principle of NFR-MAINT-01 — to integrate with the external systems below. The table states, honestly, which of these are implemented in this version versus architecture-ready for a future release; none of the architecture-ready interfaces performs a live external call today.</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800"/>
        <w:gridCol w:w="1500"/>
        <w:gridCol w:w="6060"/>
      </w:tblGrid>
      <w:tr>
        <w:trPr>
          <w:tblHeader/>
        </w:trPr>
        <w:tc>
          <w:tcPr>
            <w:tcW w:type="dxa" w:w="18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External System</w:t>
            </w:r>
          </w:p>
        </w:tc>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Status</w:t>
            </w:r>
          </w:p>
        </w:tc>
        <w:tc>
          <w:tcPr>
            <w:tcW w:type="dxa" w:w="60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Notes</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Identity Provider / Single Sign-On (SSO)</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Architecture-ready</w:t>
            </w:r>
          </w:p>
        </w:tc>
        <w:tc>
          <w:tcPr>
            <w:tcW w:type="dxa" w:w="60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current implementation authenticates locally (email + bcrypt-hashed password, issuing its own JWT). A future release can add SAML 2.0 or OIDC authentication by replacing only the login/token-issuance step. The Technical Offer’s Integration Catalog and per-Pack integrationsIncluded quota (section 3.6) are tracked as a number on the license only, with no live connector implemented.</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ERP / MES</w:t>
            </w:r>
          </w:p>
        </w:tc>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Architecture-ready</w:t>
            </w:r>
          </w:p>
        </w:tc>
        <w:tc>
          <w:tcPr>
            <w:tcW w:type="dxa" w:w="60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No live ERP/MES connector is implemented. The NCP Sheet, Action, and Standard entities are modeled with stable REST endpoints, so a future integration can push/pull via POST /api/fiches without a schema change.</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Document Management System (DMS)</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Architecture-ready</w:t>
            </w:r>
          </w:p>
        </w:tc>
        <w:tc>
          <w:tcPr>
            <w:tcW w:type="dxa" w:w="60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 evidence and REX attachments are recorded as metadata records (ActionEvidence) rather than files in an external DMS; the entity is a thin, replaceable pointer.</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SMTP / Email Notification Gateway</w:t>
            </w:r>
          </w:p>
        </w:tc>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Architecture-ready</w:t>
            </w:r>
          </w:p>
        </w:tc>
        <w:tc>
          <w:tcPr>
            <w:tcW w:type="dxa" w:w="60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Alerts are delivered only in-app. Adding an email-delivery channel means adding a delivery adapter behind the existing NotificationAlert entity.</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Business Intelligence (BI) / Data Warehouse Export</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Architecture-ready</w:t>
            </w:r>
          </w:p>
        </w:tc>
        <w:tc>
          <w:tcPr>
            <w:tcW w:type="dxa" w:w="60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No scheduled export or BI-tool connector is implemented; the relational schema is a stable basis for a future extract. The new PDF/Excel/Word report export (section 3.21) is a manual, on-demand analogue, not a scheduled feed.</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Webhooks / Event Notifications</w:t>
            </w:r>
          </w:p>
        </w:tc>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Architecture-ready</w:t>
            </w:r>
          </w:p>
        </w:tc>
        <w:tc>
          <w:tcPr>
            <w:tcW w:type="dxa" w:w="60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No outbound webhook mechanism is implemented. The Audit Trail already captures every state-changing event a future dispatcher could be built on.</w:t>
            </w:r>
          </w:p>
        </w:tc>
      </w:tr>
      <w:tr>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LLM / AI Provider APIs</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Implemented (optional, user-configured)</w:t>
            </w:r>
          </w:p>
        </w:tc>
        <w:tc>
          <w:tcPr>
            <w:tcW w:type="dxa" w:w="60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AI Use Case Library’s generation service is the single designated integration point for a live LLM call, per NFR-MAINT-04. Five providers have a working native REST implementation — Anthropic, OpenAI, Azure OpenAI, Mistral, and Ollama, plus any OpenAI-compatible Custom endpoint. Every AI Use Case always computes its deterministic result first and falls back to it automatically.</w:t>
            </w:r>
          </w:p>
        </w:tc>
      </w:tr>
      <w:tr>
        <w:tc>
          <w:tcPr>
            <w:tcW w:type="dxa" w:w="1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Sibling Enterprise Applications</w:t>
            </w:r>
          </w:p>
        </w:tc>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Architecture-ready</w:t>
            </w:r>
          </w:p>
        </w:tc>
        <w:tc>
          <w:tcPr>
            <w:tcW w:type="dxa" w:w="60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Action Register, Alert Engine, RBAC layer, Reporting engine, and Audit Trail Service are composable modules behind the same REST/JSON API contract; no such external application is connected in this version.</w:t>
            </w:r>
          </w:p>
        </w:tc>
      </w:tr>
    </w:tbl>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5. Non-Functional Requirements</w:t>
      </w:r>
    </w:p>
    <w:p>
      <w:pPr>
        <w:pStyle w:val="Heading2"/>
        <w:spacing w:after="100" w:before="260"/>
      </w:pPr>
      <w:r>
        <w:rPr>
          <w:rFonts w:ascii="Times New Roman" w:cs="Times New Roman" w:eastAsia="Times New Roman" w:hAnsi="Times New Roman"/>
          <w:b/>
          <w:bCs/>
          <w:color w:val="3A3A3C"/>
          <w:sz w:val="26"/>
          <w:szCs w:val="26"/>
        </w:rPr>
        <w:t xml:space="preserve">5.1 Performance</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NFR-PERF-01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Dashboard and list views shall render within 2 seconds under nominal load (per-tenant data volumes as seeded: dozens of Sheets, hundreds of actions).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NFR-PERF-02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 agent suggestions (classification, containment, root-cause mining, action recommendation) shall return within 5 seconds.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NFR-PERF-03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Capitalization Library search and AI Assistant application-help search shall each return ranked results within 1 second for a tenant’s full corpus.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NFR-PERF-04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single-report export to PDF, Excel, or Word (section 3.21, FR-REP-06) shall complete within 3 seconds for a tenant’s current data volume.</w:t>
            </w:r>
          </w:p>
        </w:tc>
      </w:tr>
    </w:tbl>
    <w:p>
      <w:pPr>
        <w:spacing w:after="160"/>
      </w:pPr>
    </w:p>
    <w:p>
      <w:pPr>
        <w:pStyle w:val="Heading2"/>
        <w:spacing w:after="100" w:before="260"/>
      </w:pPr>
      <w:r>
        <w:rPr>
          <w:rFonts w:ascii="Times New Roman" w:cs="Times New Roman" w:eastAsia="Times New Roman" w:hAnsi="Times New Roman"/>
          <w:b/>
          <w:bCs/>
          <w:color w:val="3A3A3C"/>
          <w:sz w:val="26"/>
          <w:szCs w:val="26"/>
        </w:rPr>
        <w:t xml:space="preserve">5.2 Security</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NFR-SEC-01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All API endpoints except login shall require a valid JWT bearer token.</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NFR-SEC-02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Passwords shall be stored only as bcrypt hashes; plaintext passwords shall never be logged or persisted.</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NFR-SEC-03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Every authorization decision shall be enforced server-side; client-side permission and Pack-entitlement checks are a UX convenience only, never the security boundary.</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NFR-SEC-04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No SQL query shall be constructed by string-concatenating untrusted input; all data access shall use parameterized statements.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NFR-SEC-05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AR/AE segregation of duties (FR-ID-07) shall be enforced server-side, not merely hidden in the UI.</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NFR-SEC-06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one-Accountable-per-RACSI-activity rule (FR-RACSI-06) shall be enforced by a database-level constraint, not merely by disabling the option in the UI.</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NFR-SEC-07</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Real LLM Provider Connection’s API key (FR-AIUC-17) shall be captured and stored only in the user’s browser local storage; the backend shall never persist it to any table, write it to any log line, or return it in any API response.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NFR-SEC-08</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When a generation request forwards a Real LLM Provider Connection, the server shall use it for exactly one outbound call to the configured provider and shall never write, log, cache, or hold it beyond that single request.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NFR-SEC-09</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Solution Pack entitlement (section 3.6) shall be treated as an authorization axis independent of, and enforced in addition to, RBAC permissions; a route gated by both shall require both checks to pass, and each shall be independently testable and independently capable of producing a 403.</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NFR-SEC-10</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Every quota check (Projects, OBS nodes, AI Use Cases) shall be enforced at the point of creation/activation on the server, never solely by disabling a client-side control; a request that would exceed a quota shall be rejected with HTTP 409, never silently truncated or partially applied.</w:t>
            </w:r>
          </w:p>
        </w:tc>
      </w:tr>
    </w:tbl>
    <w:p>
      <w:pPr>
        <w:spacing w:after="160"/>
      </w:pPr>
    </w:p>
    <w:p>
      <w:pPr>
        <w:pStyle w:val="Heading2"/>
        <w:spacing w:after="100" w:before="260"/>
      </w:pPr>
      <w:r>
        <w:rPr>
          <w:rFonts w:ascii="Times New Roman" w:cs="Times New Roman" w:eastAsia="Times New Roman" w:hAnsi="Times New Roman"/>
          <w:b/>
          <w:bCs/>
          <w:color w:val="3A3A3C"/>
          <w:sz w:val="26"/>
          <w:szCs w:val="26"/>
        </w:rPr>
        <w:t xml:space="preserve">5.3 Availability &amp; Reliability</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NFR-AVAIL-01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degrade gracefully if an AI agent call fails: the underlying CRUD operation shall still succeed, with the AI suggestion simply unavailable.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NFR-AVAIL-02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target 99.9% uptime in a production deployment.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NFR-AVAIL-03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report export failure (section 3.21, FR-REP-06) shall return a structured error without corrupting or partially writing the underlying report data view.</w:t>
            </w:r>
          </w:p>
        </w:tc>
      </w:tr>
    </w:tbl>
    <w:p>
      <w:pPr>
        <w:spacing w:after="160"/>
      </w:pPr>
    </w:p>
    <w:p>
      <w:pPr>
        <w:pStyle w:val="Heading2"/>
        <w:spacing w:after="100" w:before="260"/>
      </w:pPr>
      <w:r>
        <w:rPr>
          <w:rFonts w:ascii="Times New Roman" w:cs="Times New Roman" w:eastAsia="Times New Roman" w:hAnsi="Times New Roman"/>
          <w:b/>
          <w:bCs/>
          <w:color w:val="3A3A3C"/>
          <w:sz w:val="26"/>
          <w:szCs w:val="26"/>
        </w:rPr>
        <w:t xml:space="preserve">5.4 Scalability</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NFR-SCALE-01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architecture shall support horizontal scaling of the web tier independently of the API tier.</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NFR-SCALE-02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at least 100 concurrent users per tenant without functional degradation.</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NFR-SCALE-03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relational schema and RAG index shall each be swappable for a distributed equivalent (e.g., managed PostgreSQL, a vector database) without changing the API contract.</w:t>
            </w:r>
          </w:p>
        </w:tc>
      </w:tr>
    </w:tbl>
    <w:p>
      <w:pPr>
        <w:spacing w:after="160"/>
      </w:pPr>
    </w:p>
    <w:p>
      <w:pPr>
        <w:pStyle w:val="Heading2"/>
        <w:spacing w:after="100" w:before="260"/>
      </w:pPr>
      <w:r>
        <w:rPr>
          <w:rFonts w:ascii="Times New Roman" w:cs="Times New Roman" w:eastAsia="Times New Roman" w:hAnsi="Times New Roman"/>
          <w:b/>
          <w:bCs/>
          <w:color w:val="3A3A3C"/>
          <w:sz w:val="26"/>
          <w:szCs w:val="26"/>
        </w:rPr>
        <w:t xml:space="preserve">5.5 Usability &amp; Accessibility</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NFR-UX-01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UI, and every generated document (PDF/Excel/Word report export), shall follow the POWERACT Consulting visual identity (color palette, typography, iconography) consistently across all modules and output formats.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NFR-UX-02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UI shall be responsive and usable on desktop and tablet viewport widths.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NFR-UX-03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All interactive controls shall be keyboard-navigable and carry accessible labels (WCAG 2.1 AA target).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NFR-UX-04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Every KPI threshold field and alert-type toggle in Governance Settings shall display a human-readable name, not only its machine code, per FR-GOV-06.</w:t>
            </w:r>
          </w:p>
        </w:tc>
      </w:tr>
    </w:tbl>
    <w:p>
      <w:pPr>
        <w:spacing w:after="160"/>
      </w:pPr>
    </w:p>
    <w:p>
      <w:pPr>
        <w:pStyle w:val="Heading2"/>
        <w:spacing w:after="100" w:before="260"/>
      </w:pPr>
      <w:r>
        <w:rPr>
          <w:rFonts w:ascii="Times New Roman" w:cs="Times New Roman" w:eastAsia="Times New Roman" w:hAnsi="Times New Roman"/>
          <w:b/>
          <w:bCs/>
          <w:color w:val="3A3A3C"/>
          <w:sz w:val="26"/>
          <w:szCs w:val="26"/>
        </w:rPr>
        <w:t xml:space="preserve">5.6 Maintainability &amp; Portability</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NFR-MAINT-01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Action Register, Alert &amp; Notification Engine, User Management &amp; RBAC layer, KPI/Reporting engine, and Audit Trail Service shall be implemented as composable modules reusable by other applications (Risk Management, Audit Management, Project Management) via the same API contract.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NFR-MAINT-02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backend shall run on any standard Node.js 22.5+ runtime without requiring a dedicated database server, container orchestration, external API keys, or a native/compiled build toolchain (the database layer uses Node’s built-in node:sqlite module; the report-export libraries — pdfkit, exceljs, docx — are likewise pure JavaScript with no native dependency).</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NFR-MAINT-03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AI agent implementations shall be isolated behind a stable internal interface so a rule-based implementation can be replaced by an LLM/vector-DB-backed one without changing calling code.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NFR-MAINT-04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AI Use Case Library’s generation service (section 3.13) shall be the single designated server-side integration point for a live LLM call and its provider-specific credential and endpoint logic; no other module shall embed its own LLM provider client.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NFR-MAINT-05</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Solution Pack feature and quota matrix (section 3.6) shall be defined in exactly one place (packConfig.js) and consumed by every enforcing route, so a Pack’s entitlements are never duplicated or able to drift between routes.</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NFR-MAINT-06</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Alert type-to-name and type-to-stage mapping (section 3.20) shall be defined in exactly one shared module and consumed by both the seed data and the live Monitoring Agent, so alert semantics cannot drift between demo data and live computation.</w:t>
            </w:r>
          </w:p>
        </w:tc>
      </w:tr>
    </w:tbl>
    <w:p>
      <w:pPr>
        <w:spacing w:after="160"/>
      </w:pPr>
    </w:p>
    <w:p>
      <w:pPr>
        <w:pStyle w:val="Heading2"/>
        <w:spacing w:after="100" w:before="260"/>
      </w:pPr>
      <w:r>
        <w:rPr>
          <w:rFonts w:ascii="Times New Roman" w:cs="Times New Roman" w:eastAsia="Times New Roman" w:hAnsi="Times New Roman"/>
          <w:b/>
          <w:bCs/>
          <w:color w:val="3A3A3C"/>
          <w:sz w:val="26"/>
          <w:szCs w:val="26"/>
        </w:rPr>
        <w:t xml:space="preserve">5.7 Auditability &amp; Compliance</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NFR-COMP-01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Every AI-generated suggestion shall be logged with a confidence score and be attributable to a specific agent and Sheet (or, for the AI Assistant, to the requesting user and question), per the AIAgentLog entity.</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NFR-COMP-02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Controls module shall support demonstrating COSO Internal Control - Integrated Framework coverage across all five components.</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NFR-COMP-03</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retain the full version history of every AI Use Case indefinitely (no hard deletion of prior versions on edit or revert).</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NFR-COMP-04</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never represent, in any UI text, Help content, FAQ answer, or generated document, that activating a Compliance Module (GDPR, ISO/IEC 27001, or SOC 2) constitutes a certification, an external audit, or a legal attestation of compliance; every such surface shall state plainly that it seeds a Controls scaffold and activates a Standard, and that an actual compliance program requires further, external work.</w:t>
            </w:r>
          </w:p>
        </w:tc>
      </w:tr>
    </w:tbl>
    <w:p>
      <w:pPr>
        <w:spacing w:after="160"/>
      </w:pPr>
    </w:p>
    <w:p>
      <w:pPr>
        <w:pStyle w:val="Heading2"/>
        <w:spacing w:after="100" w:before="260"/>
      </w:pPr>
      <w:r>
        <w:rPr>
          <w:rFonts w:ascii="Times New Roman" w:cs="Times New Roman" w:eastAsia="Times New Roman" w:hAnsi="Times New Roman"/>
          <w:b/>
          <w:bCs/>
          <w:color w:val="3A3A3C"/>
          <w:sz w:val="26"/>
          <w:szCs w:val="26"/>
        </w:rPr>
        <w:t xml:space="preserve">5.8 Data Retention &amp; Privacy</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500"/>
        <w:gridCol w:w="7860"/>
      </w:tblGrid>
      <w:tr>
        <w:trPr>
          <w:tblHeader/>
        </w:trPr>
        <w:tc>
          <w:tcPr>
            <w:tcW w:type="dxa" w:w="15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ID</w:t>
            </w:r>
          </w:p>
        </w:tc>
        <w:tc>
          <w:tcPr>
            <w:tcW w:type="dxa" w:w="78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Requirement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NFR-DATA-01</w:t>
            </w:r>
          </w:p>
        </w:tc>
        <w:tc>
          <w:tcPr>
            <w:tcW w:type="dxa" w:w="78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By default, and whenever no Real LLM Provider Connection is configured, the system shall not transmit tenant data to any third-party service; every AI Use Case shall run entirely within the deployment’s own infrastructure using rule-based/statistical methods and RAG grounding. Only when a user has explicitly configured and forwarded their own browser-stored Real LLM Provider Connection (FR-AIUC-17) may that single generation request be sent to that user-selected third-party provider; this is opt-in per browser, never enabled by default, and never applies to the AI Assistant’s data-query mode.</w:t>
            </w:r>
          </w:p>
        </w:tc>
      </w:tr>
      <w:tr>
        <w:tc>
          <w:tcPr>
            <w:tcW w:type="dxa" w:w="15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NFR-DATA-02</w:t>
            </w:r>
          </w:p>
        </w:tc>
        <w:tc>
          <w:tcPr>
            <w:tcW w:type="dxa" w:w="78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system shall support both SaaS (shared infrastructure, tenant-isolated data) and the five named deployment options of section 3.6 per Organization.</w:t>
            </w:r>
          </w:p>
        </w:tc>
      </w:tr>
    </w:tbl>
    <w:p>
      <w:pPr>
        <w:spacing w:after="160"/>
      </w:pP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6. Data Model Overview</w:t>
      </w:r>
    </w:p>
    <w:p>
      <w:pPr>
        <w:spacing w:after="140" w:line="268"/>
        <w:jc w:val="both"/>
      </w:pPr>
      <w:r>
        <w:rPr>
          <w:rFonts w:ascii="Times New Roman" w:cs="Times New Roman" w:eastAsia="Times New Roman" w:hAnsi="Times New Roman"/>
          <w:color w:val="58595B"/>
          <w:sz w:val="22"/>
          <w:szCs w:val="22"/>
        </w:rPr>
        <w:t xml:space="preserve">The relational schema comprises the following core entities (full attribute-level detail is maintained in the implementation’s schema.sql). All entities carry an organization_id (tenant) foreign key except Group and the global Permission catalog.</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2100"/>
        <w:gridCol w:w="7260"/>
      </w:tblGrid>
      <w:tr>
        <w:trPr>
          <w:tblHeader/>
        </w:trPr>
        <w:tc>
          <w:tcPr>
            <w:tcW w:type="dxa" w:w="21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Entity</w:t>
            </w:r>
          </w:p>
        </w:tc>
        <w:tc>
          <w:tcPr>
            <w:tcW w:type="dxa" w:w="72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Description</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Group</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Optional holding entity above Organization; groups sibling Organizations.</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Organization</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tenant boundary. Holds sector, country, and all tenant-isolated data.</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Project</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Optional sub-entity of an Organization; a Sheet may reference one; count enforced against the active Pack’s maxProjects quota.</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ObsNode</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node in the OBS tree (site/department/service/team); referenced by users, Sheets, Business Rules, Controls, Risks/Opportunities, RACSI Activities, and BPMN Diagrams; count enforced against the active Pack’s maxObsNodes quota.</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User</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person; holds RBAC roles; tenant-scoped.</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Role</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named set of permissions, tenant-scoped; 9 system templates + custom roles (Pack-gated).</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Permission</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global catalog entry (module.action) granted to roles; 88 codes across 26 modules.</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License</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Configuration Management record: Solution Pack, deployment option/model, seats, billing, support tier, five Add-On flags, and three Compliance Module flags, per Organization.</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GovernanceSettings</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 thresholds, alert toggles, RCA default, REX policy per Organization.</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Standard</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normative document (ISO standard, internal procedure); carries domain, stage_tags, and an is_active flag driven by the Pack’s standardsIncluded allotment.</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StandardRequirement</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clause-level requirement of a Standard, with an example non-conformity and underlying problem pattern.</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NCPFiche (NCP Sheet)</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The central aggregate: a non-conformity/problem record spanning S1-S7.</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NCPTeamAssignment</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Join entity: users assigned to a Sheet’s team.</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NcpSheetTemplate</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pre-filled S1 starting point (title/description templates, default criticality/priority).</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ProblemUnderstanding</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5W2H structured analysis, one per Sheet.</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RootCause</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6M-categorized cause identified in S4.</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Abstract base for Immediate and Corrective actions; Action Owner (AR), dates, status.</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ActionEvaluation</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Effectiveness verdict for an Action; enforces AR != AE.</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ActionEvidence</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File attachment evidencing execution or evaluation of an Action.</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REXEntry</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S7 capitalization content: lessons learned, standardization/generalization.</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NotificationAlert</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An instance of one of the 10 alert types (A-J); carries an ncp_stage tag from the shared Alert Catalog.</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AIAgentLog</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Immutable log of every AI agent invocation with confidence score, including AI Assistant queries.</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AuditLog</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Immutable log of every CREATE/UPDATE/DELETE on a major entity.</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AIUseCase</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Metadata for an AI use case (stable across versions): tier, owning module key, trigger/output/human-checkpoint descriptions, Organization-level Active/Inactive flag, and is_custom flag distinguishing library from organization-authored entries.</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AIUseCaseVersion</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versioned, labeled content snapshot of an AI use case; append-only.</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AIUseCaseProjectOverride</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per-Project, tri-state (Inherit/On/Off) activation override on an AI Use Case; cascade-deleted with its AI Use Case.</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AIUsageLog</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Append-only record of one AI suggestion outcome, linking the AI Use Case, Organization, Project, acting user, and an output summary; cascade-deleted with its AI Use Case.</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BusinessRule</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governed IF/THEN process rule with severity, owner, owning OBS node, and an optional S1-S7 stage tag.</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Control</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COSO-classified internal control with type, frequency, effectiveness, owning OBS node, optional S1-S7 stage tag, and optional compliance_framework tag (gdpr/iso27001/soc2).</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RiskOpportunity</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risk or opportunity item with likelihood/impact scoring, owning OBS node, and an optional S1-S7 stage tag.</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RiskControl</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Join entity: controls mitigating a given risk/opportunity.</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RacsiActivity</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One of the 7 NCP process steps or a governance item linked to a Business Rule/Control/Risk record; carries an owning OBS node.</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RacsiAssignment</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One R/A/C/S/I assignment on a RacsiActivity, pointing to either a Role or a User; at most one Accountable per Activity.</w:t>
            </w:r>
          </w:p>
        </w:tc>
      </w:tr>
      <w:tr>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BpmnDiagram</w:t>
            </w:r>
          </w:p>
        </w:tc>
        <w:tc>
          <w:tcPr>
            <w:tcW w:type="dxa" w:w="7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 stored BPMN 2.0 process diagram (code, title, description, XML payload), owned by an OBS node; rendered/edited in-browser subject to Pack BPMN mode.</w:t>
            </w:r>
          </w:p>
        </w:tc>
      </w:tr>
      <w:tr>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CustomKpi</w:t>
            </w:r>
          </w:p>
        </w:tc>
        <w:tc>
          <w:tcPr>
            <w:tcW w:type="dxa" w:w="7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An organization-defined KPI, additive to the 10 built-in system KPIs, with a formula description, target, owner, and optional S1-S7 stage tag.</w:t>
            </w:r>
          </w:p>
        </w:tc>
      </w:tr>
    </w:tbl>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Appendix A — Permission Catalog Summary</w:t>
      </w:r>
    </w:p>
    <w:p>
      <w:pPr>
        <w:spacing w:after="140" w:line="268"/>
        <w:jc w:val="both"/>
      </w:pPr>
      <w:r>
        <w:rPr>
          <w:rFonts w:ascii="Times New Roman" w:cs="Times New Roman" w:eastAsia="Times New Roman" w:hAnsi="Times New Roman"/>
          <w:color w:val="58595B"/>
          <w:sz w:val="22"/>
          <w:szCs w:val="22"/>
        </w:rPr>
        <w:t xml:space="preserve">The full permission matrix (role x permission) is administered live in the application’s Permission Matrix screen and comprises 88 permission codes across 26 modules (dashboard, help, fiche, action, rootcause, rex, standard, capitalization, user, role, hierarchy, obs, license, governance, aiUseCase, businessRule, control, riskOpportunity, racsi, bpmn, assistant, report, alert, audit, customKpi, sheetTemplate), each with up to five actions (view, create, edit, delete, and module-specific actions such as validate, close, assignTeam, updateOwn, evaluate, manageRoles, managePermissions, activate, projectOverride, viewUsageLog, manage, export). Section 2.3 summarizes the resulting access per standard role; the live matrix is the system of record.</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Appendix B — KPI Formulas</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1000"/>
        <w:gridCol w:w="3000"/>
        <w:gridCol w:w="3260"/>
        <w:gridCol w:w="2100"/>
      </w:tblGrid>
      <w:tr>
        <w:trPr>
          <w:tblHeader/>
        </w:trPr>
        <w:tc>
          <w:tcPr>
            <w:tcW w:type="dxa" w:w="10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KPI</w:t>
            </w:r>
          </w:p>
        </w:tc>
        <w:tc>
          <w:tcPr>
            <w:tcW w:type="dxa" w:w="30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Name</w:t>
            </w:r>
          </w:p>
        </w:tc>
        <w:tc>
          <w:tcPr>
            <w:tcW w:type="dxa" w:w="32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Formula</w:t>
            </w:r>
          </w:p>
        </w:tc>
        <w:tc>
          <w:tcPr>
            <w:tcW w:type="dxa" w:w="21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Target</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KPI1</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Completion Rate — Immediate Actions</w:t>
            </w:r>
          </w:p>
        </w:tc>
        <w:tc>
          <w:tcPr>
            <w:tcW w:type="dxa" w:w="3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 Done / AI Total) x 100</w:t>
            </w:r>
          </w:p>
        </w:tc>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100%</w:t>
            </w:r>
          </w:p>
        </w:tc>
      </w:tr>
      <w:tr>
        <w:tc>
          <w:tcPr>
            <w:tcW w:type="dxa" w:w="1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KPI2</w:t>
            </w:r>
          </w:p>
        </w:tc>
        <w:tc>
          <w:tcPr>
            <w:tcW w:type="dxa" w:w="3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Effectiveness Rate — Immediate Actions</w:t>
            </w:r>
          </w:p>
        </w:tc>
        <w:tc>
          <w:tcPr>
            <w:tcW w:type="dxa" w:w="3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(AI Effective / AI Done) x 100</w:t>
            </w:r>
          </w:p>
        </w:tc>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&gt;= 85%</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KPI3</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On-Time Completion Rate</w:t>
            </w:r>
          </w:p>
        </w:tc>
        <w:tc>
          <w:tcPr>
            <w:tcW w:type="dxa" w:w="3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(Actions on time / Total done) x 100</w:t>
            </w:r>
          </w:p>
        </w:tc>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&gt;= 80%</w:t>
            </w:r>
          </w:p>
        </w:tc>
      </w:tr>
      <w:tr>
        <w:tc>
          <w:tcPr>
            <w:tcW w:type="dxa" w:w="1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KPI4</w:t>
            </w:r>
          </w:p>
        </w:tc>
        <w:tc>
          <w:tcPr>
            <w:tcW w:type="dxa" w:w="3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Completion Rate — Corrective Actions</w:t>
            </w:r>
          </w:p>
        </w:tc>
        <w:tc>
          <w:tcPr>
            <w:tcW w:type="dxa" w:w="3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 Done / AC Total) x 100</w:t>
            </w:r>
          </w:p>
        </w:tc>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100%</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KPI5</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Effectiveness Rate — Corrective Actions</w:t>
            </w:r>
          </w:p>
        </w:tc>
        <w:tc>
          <w:tcPr>
            <w:tcW w:type="dxa" w:w="3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 Effective / AC Done) x 100</w:t>
            </w:r>
          </w:p>
        </w:tc>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&gt;= 80%</w:t>
            </w:r>
          </w:p>
        </w:tc>
      </w:tr>
      <w:tr>
        <w:tc>
          <w:tcPr>
            <w:tcW w:type="dxa" w:w="1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KPI6</w:t>
            </w:r>
          </w:p>
        </w:tc>
        <w:tc>
          <w:tcPr>
            <w:tcW w:type="dxa" w:w="3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Completion Rate — Evaluations</w:t>
            </w:r>
          </w:p>
        </w:tc>
        <w:tc>
          <w:tcPr>
            <w:tcW w:type="dxa" w:w="3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(Evals Done / Evals Due) x 100</w:t>
            </w:r>
          </w:p>
        </w:tc>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100%</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KPI7</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Standardization Rate</w:t>
            </w:r>
          </w:p>
        </w:tc>
        <w:tc>
          <w:tcPr>
            <w:tcW w:type="dxa" w:w="3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(Sheets w/ std. update / Closed) x 100</w:t>
            </w:r>
          </w:p>
        </w:tc>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&gt;= 70%</w:t>
            </w:r>
          </w:p>
        </w:tc>
      </w:tr>
      <w:tr>
        <w:tc>
          <w:tcPr>
            <w:tcW w:type="dxa" w:w="1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KPI8</w:t>
            </w:r>
          </w:p>
        </w:tc>
        <w:tc>
          <w:tcPr>
            <w:tcW w:type="dxa" w:w="3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Generalization Rate</w:t>
            </w:r>
          </w:p>
        </w:tc>
        <w:tc>
          <w:tcPr>
            <w:tcW w:type="dxa" w:w="3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(Sheets generalized / Closed) x 100</w:t>
            </w:r>
          </w:p>
        </w:tc>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&gt;= 40%</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KPI9</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Non-Conformity Count (Total)</w:t>
            </w:r>
          </w:p>
        </w:tc>
        <w:tc>
          <w:tcPr>
            <w:tcW w:type="dxa" w:w="32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Count of Sheets per period</w:t>
            </w:r>
          </w:p>
        </w:tc>
        <w:tc>
          <w:tcPr>
            <w:tcW w:type="dxa" w:w="21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Trending down</w:t>
            </w:r>
          </w:p>
        </w:tc>
      </w:tr>
      <w:tr>
        <w:tc>
          <w:tcPr>
            <w:tcW w:type="dxa" w:w="1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KPI10</w:t>
            </w:r>
          </w:p>
        </w:tc>
        <w:tc>
          <w:tcPr>
            <w:tcW w:type="dxa" w:w="3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Sheet Closure Rate</w:t>
            </w:r>
          </w:p>
        </w:tc>
        <w:tc>
          <w:tcPr>
            <w:tcW w:type="dxa" w:w="32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(Closed / Total Opened) x 100</w:t>
            </w:r>
          </w:p>
        </w:tc>
        <w:tc>
          <w:tcPr>
            <w:tcW w:type="dxa" w:w="21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&gt;= 85%</w:t>
            </w:r>
          </w:p>
        </w:tc>
      </w:tr>
    </w:tbl>
    <w:p>
      <w:pPr>
        <w:spacing w:after="140" w:line="268"/>
        <w:jc w:val="both"/>
      </w:pPr>
      <w:r>
        <w:rPr>
          <w:rFonts w:ascii="Times New Roman" w:cs="Times New Roman" w:eastAsia="Times New Roman" w:hAnsi="Times New Roman"/>
          <w:color w:val="58595B"/>
          <w:sz w:val="22"/>
          <w:szCs w:val="22"/>
        </w:rPr>
        <w:t xml:space="preserve">Custom KPIs (section 3.18) are additive and organization-defined; each carries its own plain-language formula description and target rather than a fixed system formula. See the 6 seeded suggestions in section 3.18 for representative examples.</w:t>
      </w:r>
    </w:p>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Appendix C — Alert Catalog (A-J)</w:t>
      </w:r>
    </w:p>
    <w:p>
      <w:pPr>
        <w:spacing w:after="140" w:line="268"/>
        <w:jc w:val="both"/>
      </w:pPr>
      <w:r>
        <w:rPr>
          <w:rFonts w:ascii="Times New Roman" w:cs="Times New Roman" w:eastAsia="Times New Roman" w:hAnsi="Times New Roman"/>
          <w:color w:val="58595B"/>
          <w:sz w:val="22"/>
          <w:szCs w:val="22"/>
        </w:rPr>
        <w:t xml:space="preserve">Names and stage tags are drawn from the shared Alert Catalog (alertCatalog.js), the single source of truth consumed by both the seed data and the live Monitoring Agent (NFR-MAINT-06). The Status column states whether the Monitoring Agent computes the alert live from current data, or whether it is currently demonstrated only via seeded historical examples pending live implementation (see 3.20).</w:t>
      </w:r>
    </w:p>
    <w:tbl>
      <w:tblPr>
        <w:tblW w:type="dxa" w:w="9360"/>
        <w:tblBorders>
          <w:top w:val="single" w:color="E3E3E4" w:sz="2"/>
          <w:left w:val="single" w:color="E3E3E4" w:sz="2"/>
          <w:bottom w:val="single" w:color="E3E3E4" w:sz="2"/>
          <w:right w:val="single" w:color="E3E3E4" w:sz="2"/>
          <w:insideH w:val="single" w:color="E3E3E4" w:sz="2"/>
          <w:insideV w:val="single" w:color="E3E3E4" w:sz="2"/>
        </w:tblBorders>
      </w:tblPr>
      <w:tblGrid>
        <w:gridCol w:w="700"/>
        <w:gridCol w:w="2400"/>
        <w:gridCol w:w="900"/>
        <w:gridCol w:w="2800"/>
        <w:gridCol w:w="1560"/>
        <w:gridCol w:w="1000"/>
      </w:tblGrid>
      <w:tr>
        <w:trPr>
          <w:tblHeader/>
        </w:trPr>
        <w:tc>
          <w:tcPr>
            <w:tcW w:type="dxa" w:w="7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Alert</w:t>
            </w:r>
          </w:p>
        </w:tc>
        <w:tc>
          <w:tcPr>
            <w:tcW w:type="dxa" w:w="24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Name</w:t>
            </w:r>
          </w:p>
        </w:tc>
        <w:tc>
          <w:tcPr>
            <w:tcW w:type="dxa" w:w="9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Stage</w:t>
            </w:r>
          </w:p>
        </w:tc>
        <w:tc>
          <w:tcPr>
            <w:tcW w:type="dxa" w:w="28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Trigger</w:t>
            </w:r>
          </w:p>
        </w:tc>
        <w:tc>
          <w:tcPr>
            <w:tcW w:type="dxa" w:w="156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Target</w:t>
            </w:r>
          </w:p>
        </w:tc>
        <w:tc>
          <w:tcPr>
            <w:tcW w:type="dxa" w:w="1000"/>
            <w:shd w:fill="F8931D"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Status</w:t>
            </w:r>
          </w:p>
        </w:tc>
      </w:tr>
      <w:tr>
        <w:tc>
          <w:tcPr>
            <w:tcW w:type="dxa" w:w="7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w:t>
            </w:r>
          </w:p>
        </w:tc>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New Sheet Triage</w:t>
            </w:r>
          </w:p>
        </w:tc>
        <w:tc>
          <w:tcPr>
            <w:tcW w:type="dxa" w:w="9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S1</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New Sheet with criticality High or priority 1</w:t>
            </w:r>
          </w:p>
        </w:tc>
        <w:tc>
          <w:tcPr>
            <w:tcW w:type="dxa" w:w="1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CI Pilot + NCP Team</w:t>
            </w:r>
          </w:p>
        </w:tc>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Seed-only</w:t>
            </w:r>
          </w:p>
        </w:tc>
      </w:tr>
      <w:tr>
        <w:tc>
          <w:tcPr>
            <w:tcW w:type="dxa" w:w="7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B</w:t>
            </w:r>
          </w:p>
        </w:tc>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 Overdue</w:t>
            </w:r>
          </w:p>
        </w:tc>
        <w:tc>
          <w:tcPr>
            <w:tcW w:type="dxa" w:w="9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S5</w:t>
            </w:r>
          </w:p>
        </w:tc>
        <w:tc>
          <w:tcPr>
            <w:tcW w:type="dxa" w:w="2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Planned date passed, status not Done</w:t>
            </w:r>
          </w:p>
        </w:tc>
        <w:tc>
          <w:tcPr>
            <w:tcW w:type="dxa" w:w="1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AR / CI Pilot</w:t>
            </w:r>
          </w:p>
        </w:tc>
        <w:tc>
          <w:tcPr>
            <w:tcW w:type="dxa" w:w="1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Live</w:t>
            </w:r>
          </w:p>
        </w:tc>
      </w:tr>
      <w:tr>
        <w:tc>
          <w:tcPr>
            <w:tcW w:type="dxa" w:w="7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w:t>
            </w:r>
          </w:p>
        </w:tc>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Evaluation Pending</w:t>
            </w:r>
          </w:p>
        </w:tc>
        <w:tc>
          <w:tcPr>
            <w:tcW w:type="dxa" w:w="9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S6</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Marked Done, or evaluation due in 2 days</w:t>
            </w:r>
          </w:p>
        </w:tc>
        <w:tc>
          <w:tcPr>
            <w:tcW w:type="dxa" w:w="1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Evaluator (AE)</w:t>
            </w:r>
          </w:p>
        </w:tc>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Live</w:t>
            </w:r>
          </w:p>
        </w:tc>
      </w:tr>
      <w:tr>
        <w:tc>
          <w:tcPr>
            <w:tcW w:type="dxa" w:w="7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D</w:t>
            </w:r>
          </w:p>
        </w:tc>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Root Cause Analysis Not Started</w:t>
            </w:r>
          </w:p>
        </w:tc>
        <w:tc>
          <w:tcPr>
            <w:tcW w:type="dxa" w:w="9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S4</w:t>
            </w:r>
          </w:p>
        </w:tc>
        <w:tc>
          <w:tcPr>
            <w:tcW w:type="dxa" w:w="2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48h after detection, no root cause recorded</w:t>
            </w:r>
          </w:p>
        </w:tc>
        <w:tc>
          <w:tcPr>
            <w:tcW w:type="dxa" w:w="1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CI Pilot</w:t>
            </w:r>
          </w:p>
        </w:tc>
        <w:tc>
          <w:tcPr>
            <w:tcW w:type="dxa" w:w="1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Live</w:t>
            </w:r>
          </w:p>
        </w:tc>
      </w:tr>
      <w:tr>
        <w:tc>
          <w:tcPr>
            <w:tcW w:type="dxa" w:w="7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w:t>
            </w:r>
          </w:p>
        </w:tc>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Containment Evidence Pending</w:t>
            </w:r>
          </w:p>
        </w:tc>
        <w:tc>
          <w:tcPr>
            <w:tcW w:type="dxa" w:w="9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S3</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All corrective actions Effective / capitalization reminder</w:t>
            </w:r>
          </w:p>
        </w:tc>
        <w:tc>
          <w:tcPr>
            <w:tcW w:type="dxa" w:w="1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NCP Team</w:t>
            </w:r>
          </w:p>
        </w:tc>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Seed-only</w:t>
            </w:r>
          </w:p>
        </w:tc>
      </w:tr>
      <w:tr>
        <w:tc>
          <w:tcPr>
            <w:tcW w:type="dxa" w:w="7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F</w:t>
            </w:r>
          </w:p>
        </w:tc>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KPI Threshold Breach</w:t>
            </w:r>
          </w:p>
        </w:tc>
        <w:tc>
          <w:tcPr>
            <w:tcW w:type="dxa" w:w="9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w:t>
            </w:r>
          </w:p>
        </w:tc>
        <w:tc>
          <w:tcPr>
            <w:tcW w:type="dxa" w:w="2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Monthly KPI below configured threshold</w:t>
            </w:r>
          </w:p>
        </w:tc>
        <w:tc>
          <w:tcPr>
            <w:tcW w:type="dxa" w:w="1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Direction + CI Pilot</w:t>
            </w:r>
          </w:p>
        </w:tc>
        <w:tc>
          <w:tcPr>
            <w:tcW w:type="dxa" w:w="1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Seed-only</w:t>
            </w:r>
          </w:p>
        </w:tc>
      </w:tr>
      <w:tr>
        <w:tc>
          <w:tcPr>
            <w:tcW w:type="dxa" w:w="7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G</w:t>
            </w:r>
          </w:p>
        </w:tc>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Immediate Action Due Tomorrow</w:t>
            </w:r>
          </w:p>
        </w:tc>
        <w:tc>
          <w:tcPr>
            <w:tcW w:type="dxa" w:w="9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S3</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Planned date = tomorrow</w:t>
            </w:r>
          </w:p>
        </w:tc>
        <w:tc>
          <w:tcPr>
            <w:tcW w:type="dxa" w:w="1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 Owner (AR)</w:t>
            </w:r>
          </w:p>
        </w:tc>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Live</w:t>
            </w:r>
          </w:p>
        </w:tc>
      </w:tr>
      <w:tr>
        <w:tc>
          <w:tcPr>
            <w:tcW w:type="dxa" w:w="7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H</w:t>
            </w:r>
          </w:p>
        </w:tc>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Corrective Action Due Soon</w:t>
            </w:r>
          </w:p>
        </w:tc>
        <w:tc>
          <w:tcPr>
            <w:tcW w:type="dxa" w:w="9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S5</w:t>
            </w:r>
          </w:p>
        </w:tc>
        <w:tc>
          <w:tcPr>
            <w:tcW w:type="dxa" w:w="2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Planned date in 2 days</w:t>
            </w:r>
          </w:p>
        </w:tc>
        <w:tc>
          <w:tcPr>
            <w:tcW w:type="dxa" w:w="1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Action Owner (AR)</w:t>
            </w:r>
          </w:p>
        </w:tc>
        <w:tc>
          <w:tcPr>
            <w:tcW w:type="dxa" w:w="1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Live</w:t>
            </w:r>
          </w:p>
        </w:tc>
      </w:tr>
      <w:tr>
        <w:tc>
          <w:tcPr>
            <w:tcW w:type="dxa" w:w="7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I</w:t>
            </w:r>
          </w:p>
        </w:tc>
        <w:tc>
          <w:tcPr>
            <w:tcW w:type="dxa" w:w="24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Evaluation Due Soon</w:t>
            </w:r>
          </w:p>
        </w:tc>
        <w:tc>
          <w:tcPr>
            <w:tcW w:type="dxa" w:w="9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S6</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Planned review date in 2 days</w:t>
            </w:r>
          </w:p>
        </w:tc>
        <w:tc>
          <w:tcPr>
            <w:tcW w:type="dxa" w:w="156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Evaluator (AE)</w:t>
            </w:r>
          </w:p>
        </w:tc>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Live</w:t>
            </w:r>
          </w:p>
        </w:tc>
      </w:tr>
      <w:tr>
        <w:tc>
          <w:tcPr>
            <w:tcW w:type="dxa" w:w="7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J</w:t>
            </w:r>
          </w:p>
        </w:tc>
        <w:tc>
          <w:tcPr>
            <w:tcW w:type="dxa" w:w="24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Priority-1 Sheet Inactive</w:t>
            </w:r>
          </w:p>
        </w:tc>
        <w:tc>
          <w:tcPr>
            <w:tcW w:type="dxa" w:w="9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S1</w:t>
            </w:r>
          </w:p>
        </w:tc>
        <w:tc>
          <w:tcPr>
            <w:tcW w:type="dxa" w:w="28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No update for 3+ days on a P1 Sheet</w:t>
            </w:r>
          </w:p>
        </w:tc>
        <w:tc>
          <w:tcPr>
            <w:tcW w:type="dxa" w:w="156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CI Pilot</w:t>
            </w:r>
          </w:p>
        </w:tc>
        <w:tc>
          <w:tcPr>
            <w:tcW w:type="dxa" w:w="1000"/>
            <w:shd w:fill="F2F2F3" w:val="clear"/>
            <w:tcMar>
              <w:top w:type="dxa" w:w="60"/>
              <w:left w:type="dxa" w:w="100"/>
              <w:bottom w:type="dxa" w:w="60"/>
              <w:right w:type="dxa" w:w="100"/>
            </w:tcMar>
          </w:tcPr>
          <w:p>
            <w:r>
              <w:rPr>
                <w:rFonts w:ascii="Times New Roman" w:cs="Times New Roman" w:eastAsia="Times New Roman" w:hAnsi="Times New Roman"/>
                <w:b w:val="false"/>
                <w:bCs w:val="false"/>
                <w:color w:val="58595B"/>
                <w:sz w:val="18"/>
                <w:szCs w:val="18"/>
              </w:rPr>
              <w:t xml:space="preserve">Live</w:t>
            </w:r>
          </w:p>
        </w:tc>
      </w:tr>
    </w:tbl>
    <w:p>
      <w:pPr>
        <w:pStyle w:val="Heading1"/>
        <w:pBdr>
          <w:bottom w:val="single" w:color="E07B00" w:sz="8" w:space="4"/>
        </w:pBdr>
        <w:spacing w:after="160" w:before="360"/>
      </w:pPr>
      <w:r>
        <w:rPr>
          <w:rFonts w:ascii="Times New Roman" w:cs="Times New Roman" w:eastAsia="Times New Roman" w:hAnsi="Times New Roman"/>
          <w:b/>
          <w:bCs/>
          <w:color w:val="E07B00"/>
          <w:sz w:val="34"/>
          <w:szCs w:val="34"/>
        </w:rPr>
        <w:t xml:space="preserve">Appendix D — Glossary</w:t>
      </w:r>
    </w:p>
    <w:p>
      <w:pPr>
        <w:spacing w:after="140" w:line="268"/>
        <w:jc w:val="both"/>
      </w:pPr>
      <w:r>
        <w:rPr>
          <w:rFonts w:ascii="Times New Roman" w:cs="Times New Roman" w:eastAsia="Times New Roman" w:hAnsi="Times New Roman"/>
          <w:color w:val="58595B"/>
          <w:sz w:val="22"/>
          <w:szCs w:val="22"/>
        </w:rPr>
        <w:t xml:space="preserve">See section 1.3 for the full glossary of terms, acronyms, and abbreviations used throughout this specification.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184"/>
        <w:sz w:val="17"/>
        <w:szCs w:val="17"/>
      </w:rPr>
      <w:t xml:space="preserve">POWERACT Consulting — Confidential · Page </w:t>
    </w:r>
    <w:r>
      <w:rPr>
        <w:rFonts w:ascii="Times New Roman" w:cs="Times New Roman" w:eastAsia="Times New Roman" w:hAnsi="Times New Roman"/>
        <w:color w:val="808184"/>
        <w:sz w:val="17"/>
        <w:szCs w:val="17"/>
      </w:rPr>
      <w:fldChar w:fldCharType="begin"/>
      <w:instrText xml:space="preserve">PAGE</w:instrText>
      <w:fldChar w:fldCharType="separate"/>
      <w:fldChar w:fldCharType="end"/>
    </w:r>
    <w:r>
      <w:rPr>
        <w:rFonts w:ascii="Times New Roman" w:cs="Times New Roman" w:eastAsia="Times New Roman" w:hAnsi="Times New Roman"/>
        <w:color w:val="808184"/>
        <w:sz w:val="17"/>
        <w:szCs w:val="17"/>
      </w:rPr>
      <w:t xml:space="preserve"> of </w:t>
    </w:r>
    <w:r>
      <w:rPr>
        <w:rFonts w:ascii="Times New Roman" w:cs="Times New Roman" w:eastAsia="Times New Roman" w:hAnsi="Times New Roman"/>
        <w:color w:val="808184"/>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184"/>
        <w:sz w:val="17"/>
        <w:szCs w:val="17"/>
      </w:rPr>
      <w:t xml:space="preserve">NCP Solver — SRS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58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2026-09-14T18:03:14.886Z</dcterms:created>
  <dcterms:modified xsi:type="dcterms:W3CDTF">2026-09-14T18:03:14.886Z</dcterms:modified>
</cp:coreProperties>
</file>

<file path=docProps/custom.xml><?xml version="1.0" encoding="utf-8"?>
<Properties xmlns="http://schemas.openxmlformats.org/officeDocument/2006/custom-properties" xmlns:vt="http://schemas.openxmlformats.org/officeDocument/2006/docPropsVTypes"/>
</file>