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pPr>
      <w:r>
        <w:rPr>
          <w:b/>
          <w:color w:val="333333"/>
          <w:sz w:val="26"/>
        </w:rPr>
        <w:t>journi</w:t>
      </w:r>
    </w:p>
    <w:p>
      <w:pPr>
        <w:pStyle w:val="BodyText"/>
        <w:jc w:val="center"/>
        <w:rPr/>
      </w:pPr>
      <w:r>
        <w:rPr>
          <w:b/>
          <w:color w:val="1F4B45"/>
          <w:sz w:val="48"/>
        </w:rPr>
        <w:t>Leading a Cultural &amp; Values Transformation</w:t>
      </w:r>
    </w:p>
    <w:p>
      <w:pPr>
        <w:pStyle w:val="BodyText"/>
        <w:jc w:val="center"/>
        <w:rPr/>
      </w:pPr>
      <w:r>
        <w:rPr>
          <w:b w:val="false"/>
          <w:color w:val="333333"/>
          <w:sz w:val="26"/>
        </w:rPr>
        <w:t>A Focused Guide to journi’s Cultural / Values Transformation Archetype</w:t>
      </w:r>
    </w:p>
    <w:p>
      <w:pPr>
        <w:pStyle w:val="BodyText"/>
        <w:jc w:val="center"/>
        <w:rPr/>
      </w:pPr>
      <w:r>
        <w:rPr>
          <w:b w:val="false"/>
          <w:color w:val="333333"/>
          <w:sz w:val="22"/>
        </w:rPr>
        <w:t>Case: One Bouregreg — Post-Acquisition Culture Integration (Manufacturing &amp; Logistics)</w:t>
      </w:r>
    </w:p>
    <w:p>
      <w:pPr>
        <w:pStyle w:val="BodyText"/>
        <w:jc w:val="center"/>
        <w:rPr/>
      </w:pPr>
      <w:r>
        <w:rPr>
          <w:b w:val="false"/>
          <w:color w:val="333333"/>
          <w:sz w:val="21"/>
        </w:rPr>
        <w:t>Tenant Setup Through Institutionalization — One Program, Followed Week by Week</w:t>
      </w:r>
    </w:p>
    <w:p>
      <w:pPr>
        <w:pStyle w:val="BodyText"/>
        <w:jc w:val="center"/>
        <w:rPr/>
      </w:pPr>
      <w:r>
        <w:rPr>
          <w:b w:val="false"/>
          <w:color w:val="333333"/>
          <w:sz w:val="21"/>
        </w:rPr>
        <w:t>Version 1.0 · September 2026 · Confidential</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2"/>
            <w:tabs>
              <w:tab w:val="clear" w:pos="10229"/>
              <w:tab w:val="right" w:pos="105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973_4275001085">
            <w:r>
              <w:rPr>
                <w:webHidden/>
                <w:rStyle w:val="IndexLink"/>
              </w:rPr>
              <w:t>Part 0 — Purpose and How to Use This Guide</w:t>
              <w:tab/>
              <w:t>4</w:t>
            </w:r>
          </w:hyperlink>
        </w:p>
        <w:p>
          <w:pPr>
            <w:pStyle w:val="TOC3"/>
            <w:tabs>
              <w:tab w:val="clear" w:pos="9945"/>
              <w:tab w:val="right" w:pos="10511" w:leader="dot"/>
            </w:tabs>
            <w:rPr/>
          </w:pPr>
          <w:hyperlink w:anchor="__RefHeading___Toc12975_4275001085">
            <w:r>
              <w:rPr>
                <w:webHidden/>
                <w:rStyle w:val="IndexLink"/>
              </w:rPr>
              <w:t>What this guide is</w:t>
              <w:tab/>
              <w:t>4</w:t>
            </w:r>
          </w:hyperlink>
        </w:p>
        <w:p>
          <w:pPr>
            <w:pStyle w:val="TOC3"/>
            <w:tabs>
              <w:tab w:val="clear" w:pos="9945"/>
              <w:tab w:val="right" w:pos="10511" w:leader="dot"/>
            </w:tabs>
            <w:rPr/>
          </w:pPr>
          <w:hyperlink w:anchor="__RefHeading___Toc12977_4275001085">
            <w:r>
              <w:rPr>
                <w:webHidden/>
                <w:rStyle w:val="IndexLink"/>
              </w:rPr>
              <w:t>How to use it</w:t>
              <w:tab/>
              <w:t>6</w:t>
            </w:r>
          </w:hyperlink>
        </w:p>
        <w:p>
          <w:pPr>
            <w:pStyle w:val="TOC3"/>
            <w:tabs>
              <w:tab w:val="clear" w:pos="9945"/>
              <w:tab w:val="right" w:pos="10511" w:leader="dot"/>
            </w:tabs>
            <w:rPr/>
          </w:pPr>
          <w:hyperlink w:anchor="__RefHeading___Toc12979_4275001085">
            <w:r>
              <w:rPr>
                <w:webHidden/>
                <w:rStyle w:val="IndexLink"/>
              </w:rPr>
              <w:t>A note on fidelity</w:t>
              <w:tab/>
              <w:t>6</w:t>
            </w:r>
          </w:hyperlink>
        </w:p>
        <w:p>
          <w:pPr>
            <w:pStyle w:val="TOC3"/>
            <w:tabs>
              <w:tab w:val="clear" w:pos="9945"/>
              <w:tab w:val="right" w:pos="10511" w:leader="dot"/>
            </w:tabs>
            <w:rPr/>
          </w:pPr>
          <w:hyperlink w:anchor="__RefHeading___Toc12981_4275001085">
            <w:r>
              <w:rPr>
                <w:webHidden/>
                <w:rStyle w:val="IndexLink"/>
              </w:rPr>
              <w:t>A note on the RACSI codes used throughout</w:t>
              <w:tab/>
              <w:t>6</w:t>
            </w:r>
          </w:hyperlink>
        </w:p>
        <w:p>
          <w:pPr>
            <w:pStyle w:val="TOC3"/>
            <w:tabs>
              <w:tab w:val="clear" w:pos="9945"/>
              <w:tab w:val="right" w:pos="10511" w:leader="dot"/>
            </w:tabs>
            <w:rPr/>
          </w:pPr>
          <w:hyperlink w:anchor="__RefHeading___Toc12983_4275001085">
            <w:r>
              <w:rPr>
                <w:webHidden/>
                <w:rStyle w:val="IndexLink"/>
              </w:rPr>
              <w:t>Reading paths, by role</w:t>
              <w:tab/>
              <w:t>6</w:t>
            </w:r>
          </w:hyperlink>
        </w:p>
        <w:p>
          <w:pPr>
            <w:pStyle w:val="TOC2"/>
            <w:tabs>
              <w:tab w:val="clear" w:pos="10229"/>
              <w:tab w:val="right" w:pos="10511" w:leader="dot"/>
            </w:tabs>
            <w:rPr/>
          </w:pPr>
          <w:hyperlink w:anchor="__RefHeading___Toc12985_4275001085">
            <w:r>
              <w:rPr>
                <w:webHidden/>
                <w:rStyle w:val="IndexLink"/>
              </w:rPr>
              <w:t>Part 1 — Executive Summary</w:t>
              <w:tab/>
              <w:t>7</w:t>
            </w:r>
          </w:hyperlink>
        </w:p>
        <w:p>
          <w:pPr>
            <w:pStyle w:val="TOC3"/>
            <w:tabs>
              <w:tab w:val="clear" w:pos="9945"/>
              <w:tab w:val="right" w:pos="10511" w:leader="dot"/>
            </w:tabs>
            <w:rPr/>
          </w:pPr>
          <w:hyperlink w:anchor="__RefHeading___Toc12987_4275001085">
            <w:r>
              <w:rPr>
                <w:webHidden/>
                <w:rStyle w:val="IndexLink"/>
              </w:rPr>
              <w:t>1.1 Why This Is journi’s Most Complex Cultural Change</w:t>
              <w:tab/>
              <w:t>7</w:t>
            </w:r>
          </w:hyperlink>
        </w:p>
        <w:p>
          <w:pPr>
            <w:pStyle w:val="TOC3"/>
            <w:tabs>
              <w:tab w:val="clear" w:pos="9945"/>
              <w:tab w:val="right" w:pos="10511" w:leader="dot"/>
            </w:tabs>
            <w:rPr/>
          </w:pPr>
          <w:hyperlink w:anchor="__RefHeading___Toc12989_4275001085">
            <w:r>
              <w:rPr>
                <w:webHidden/>
                <w:rStyle w:val="IndexLink"/>
              </w:rPr>
              <w:t>1.2 The Case, in Brief</w:t>
              <w:tab/>
              <w:t>7</w:t>
            </w:r>
          </w:hyperlink>
        </w:p>
        <w:p>
          <w:pPr>
            <w:pStyle w:val="TOC3"/>
            <w:tabs>
              <w:tab w:val="clear" w:pos="9945"/>
              <w:tab w:val="right" w:pos="10511" w:leader="dot"/>
            </w:tabs>
            <w:rPr/>
          </w:pPr>
          <w:hyperlink w:anchor="__RefHeading___Toc12991_4275001085">
            <w:r>
              <w:rPr>
                <w:webHidden/>
                <w:rStyle w:val="IndexLink"/>
              </w:rPr>
              <w:t>1.3 What This Guide Proves, Concretely</w:t>
              <w:tab/>
              <w:t>7</w:t>
            </w:r>
          </w:hyperlink>
        </w:p>
        <w:p>
          <w:pPr>
            <w:pStyle w:val="TOC2"/>
            <w:tabs>
              <w:tab w:val="clear" w:pos="10229"/>
              <w:tab w:val="right" w:pos="10511" w:leader="dot"/>
            </w:tabs>
            <w:rPr/>
          </w:pPr>
          <w:hyperlink w:anchor="__RefHeading___Toc12993_4275001085">
            <w:r>
              <w:rPr>
                <w:webHidden/>
                <w:rStyle w:val="IndexLink"/>
              </w:rPr>
              <w:t>Part 2 — The Four Frameworks and What Is Specific to Cultural / Values Change</w:t>
              <w:tab/>
              <w:t>8</w:t>
            </w:r>
          </w:hyperlink>
        </w:p>
        <w:p>
          <w:pPr>
            <w:pStyle w:val="TOC3"/>
            <w:tabs>
              <w:tab w:val="clear" w:pos="9945"/>
              <w:tab w:val="right" w:pos="10511" w:leader="dot"/>
            </w:tabs>
            <w:rPr/>
          </w:pPr>
          <w:hyperlink w:anchor="__RefHeading___Toc12995_4275001085">
            <w:r>
              <w:rPr>
                <w:webHidden/>
                <w:rStyle w:val="IndexLink"/>
              </w:rPr>
              <w:t>2.1 journi’s Four Frameworks, in Their Real Stage Vocabulary</w:t>
              <w:tab/>
              <w:t>8</w:t>
            </w:r>
          </w:hyperlink>
        </w:p>
        <w:p>
          <w:pPr>
            <w:pStyle w:val="TOC3"/>
            <w:tabs>
              <w:tab w:val="clear" w:pos="9945"/>
              <w:tab w:val="right" w:pos="10511" w:leader="dot"/>
            </w:tabs>
            <w:rPr/>
          </w:pPr>
          <w:hyperlink w:anchor="__RefHeading___Toc12997_4275001085">
            <w:r>
              <w:rPr>
                <w:webHidden/>
                <w:rStyle w:val="IndexLink"/>
              </w:rPr>
              <w:t>2.2 Why the Weighting Is Different for a Cultural / Values Change</w:t>
              <w:tab/>
              <w:t>8</w:t>
            </w:r>
          </w:hyperlink>
        </w:p>
        <w:p>
          <w:pPr>
            <w:pStyle w:val="TOC3"/>
            <w:tabs>
              <w:tab w:val="clear" w:pos="9945"/>
              <w:tab w:val="right" w:pos="10511" w:leader="dot"/>
            </w:tabs>
            <w:rPr/>
          </w:pPr>
          <w:hyperlink w:anchor="__RefHeading___Toc12999_4275001085">
            <w:r>
              <w:rPr>
                <w:webHidden/>
                <w:rStyle w:val="IndexLink"/>
              </w:rPr>
              <w:t>2.3 The Composite Readiness Index, Read for This Case</w:t>
              <w:tab/>
              <w:t>9</w:t>
            </w:r>
          </w:hyperlink>
        </w:p>
        <w:p>
          <w:pPr>
            <w:pStyle w:val="TOC3"/>
            <w:tabs>
              <w:tab w:val="clear" w:pos="9945"/>
              <w:tab w:val="right" w:pos="10511" w:leader="dot"/>
            </w:tabs>
            <w:rPr/>
          </w:pPr>
          <w:hyperlink w:anchor="__RefHeading___Toc13001_4275001085">
            <w:r>
              <w:rPr>
                <w:webHidden/>
                <w:rStyle w:val="IndexLink"/>
              </w:rPr>
              <w:t>2.4 Benchmarking, for an Acquisition-Driven Case</w:t>
              <w:tab/>
              <w:t>9</w:t>
            </w:r>
          </w:hyperlink>
        </w:p>
        <w:p>
          <w:pPr>
            <w:pStyle w:val="TOC2"/>
            <w:tabs>
              <w:tab w:val="clear" w:pos="10229"/>
              <w:tab w:val="right" w:pos="10511" w:leader="dot"/>
            </w:tabs>
            <w:rPr/>
          </w:pPr>
          <w:hyperlink w:anchor="__RefHeading___Toc13003_4275001085">
            <w:r>
              <w:rPr>
                <w:webHidden/>
                <w:rStyle w:val="IndexLink"/>
              </w:rPr>
              <w:t>Part 3 — Tenant and Admin Setup</w:t>
              <w:tab/>
              <w:t>9</w:t>
            </w:r>
          </w:hyperlink>
        </w:p>
        <w:p>
          <w:pPr>
            <w:pStyle w:val="TOC3"/>
            <w:tabs>
              <w:tab w:val="clear" w:pos="9945"/>
              <w:tab w:val="right" w:pos="10511" w:leader="dot"/>
            </w:tabs>
            <w:rPr/>
          </w:pPr>
          <w:hyperlink w:anchor="__RefHeading___Toc13005_4275001085">
            <w:r>
              <w:rPr>
                <w:webHidden/>
                <w:rStyle w:val="IndexLink"/>
              </w:rPr>
              <w:t>3.1 journi’s Tenant Model, Restated</w:t>
              <w:tab/>
              <w:t>9</w:t>
            </w:r>
          </w:hyperlink>
        </w:p>
        <w:p>
          <w:pPr>
            <w:pStyle w:val="TOC3"/>
            <w:tabs>
              <w:tab w:val="clear" w:pos="9945"/>
              <w:tab w:val="right" w:pos="10511" w:leader="dot"/>
            </w:tabs>
            <w:rPr/>
          </w:pPr>
          <w:hyperlink w:anchor="__RefHeading___Toc13007_4275001085">
            <w:r>
              <w:rPr>
                <w:webHidden/>
                <w:rStyle w:val="IndexLink"/>
              </w:rPr>
              <w:t>3.2 The Existing Tenant: Bouregreg Group</w:t>
              <w:tab/>
              <w:t>9</w:t>
            </w:r>
          </w:hyperlink>
        </w:p>
        <w:p>
          <w:pPr>
            <w:pStyle w:val="TOC3"/>
            <w:tabs>
              <w:tab w:val="clear" w:pos="9945"/>
              <w:tab w:val="right" w:pos="10511" w:leader="dot"/>
            </w:tabs>
            <w:rPr/>
          </w:pPr>
          <w:hyperlink w:anchor="__RefHeading___Toc13009_4275001085">
            <w:r>
              <w:rPr>
                <w:webHidden/>
                <w:rStyle w:val="IndexLink"/>
              </w:rPr>
              <w:t>3.3 Step 3 — Adding the Acquired Organization: Bouregreg Tangier Distribution (M1)</w:t>
              <w:tab/>
              <w:t>10</w:t>
            </w:r>
          </w:hyperlink>
        </w:p>
        <w:p>
          <w:pPr>
            <w:pStyle w:val="TOC3"/>
            <w:tabs>
              <w:tab w:val="clear" w:pos="9945"/>
              <w:tab w:val="right" w:pos="10511" w:leader="dot"/>
            </w:tabs>
            <w:rPr/>
          </w:pPr>
          <w:hyperlink w:anchor="__RefHeading___Toc13011_4275001085">
            <w:r>
              <w:rPr>
                <w:webHidden/>
                <w:rStyle w:val="IndexLink"/>
              </w:rPr>
              <w:t>3.4 Step 4 — Onboarding the Integration Team (M2)</w:t>
              <w:tab/>
              <w:t>10</w:t>
            </w:r>
          </w:hyperlink>
        </w:p>
        <w:p>
          <w:pPr>
            <w:pStyle w:val="TOC3"/>
            <w:tabs>
              <w:tab w:val="clear" w:pos="9945"/>
              <w:tab w:val="right" w:pos="10511" w:leader="dot"/>
            </w:tabs>
            <w:rPr/>
          </w:pPr>
          <w:hyperlink w:anchor="__RefHeading___Toc13013_4275001085">
            <w:r>
              <w:rPr>
                <w:webHidden/>
                <w:rStyle w:val="IndexLink"/>
              </w:rPr>
              <w:t>3.5 Step 5 — Permission Matrix and Governance Settings (M2)</w:t>
              <w:tab/>
              <w:t>11</w:t>
            </w:r>
          </w:hyperlink>
        </w:p>
        <w:p>
          <w:pPr>
            <w:pStyle w:val="TOC3"/>
            <w:tabs>
              <w:tab w:val="clear" w:pos="9945"/>
              <w:tab w:val="right" w:pos="10511" w:leader="dot"/>
            </w:tabs>
            <w:rPr/>
          </w:pPr>
          <w:hyperlink w:anchor="__RefHeading___Toc13015_4275001085">
            <w:r>
              <w:rPr>
                <w:webHidden/>
                <w:rStyle w:val="IndexLink"/>
              </w:rPr>
              <w:t>3.6 Step 6 — Creating the One Bouregreg Change Management Project (M1)</w:t>
              <w:tab/>
              <w:t>12</w:t>
            </w:r>
          </w:hyperlink>
        </w:p>
        <w:p>
          <w:pPr>
            <w:pStyle w:val="TOC3"/>
            <w:tabs>
              <w:tab w:val="clear" w:pos="9945"/>
              <w:tab w:val="right" w:pos="10511" w:leader="dot"/>
            </w:tabs>
            <w:rPr/>
          </w:pPr>
          <w:hyperlink w:anchor="__RefHeading___Toc13017_4275001085">
            <w:r>
              <w:rPr>
                <w:webHidden/>
                <w:rStyle w:val="IndexLink"/>
              </w:rPr>
              <w:t>3.7 Step 7 — Activating the Charter Registry for This Program (M19)</w:t>
              <w:tab/>
              <w:t>12</w:t>
            </w:r>
          </w:hyperlink>
        </w:p>
        <w:p>
          <w:pPr>
            <w:pStyle w:val="TOC3"/>
            <w:tabs>
              <w:tab w:val="clear" w:pos="9945"/>
              <w:tab w:val="right" w:pos="10511" w:leader="dot"/>
            </w:tabs>
            <w:rPr/>
          </w:pPr>
          <w:hyperlink w:anchor="__RefHeading___Toc13019_4275001085">
            <w:r>
              <w:rPr>
                <w:webHidden/>
                <w:rStyle w:val="IndexLink"/>
              </w:rPr>
              <w:t>3.8 Setup Checklist</w:t>
              <w:tab/>
              <w:t>13</w:t>
            </w:r>
          </w:hyperlink>
        </w:p>
        <w:p>
          <w:pPr>
            <w:pStyle w:val="TOC2"/>
            <w:tabs>
              <w:tab w:val="clear" w:pos="10229"/>
              <w:tab w:val="right" w:pos="10511" w:leader="dot"/>
            </w:tabs>
            <w:rPr/>
          </w:pPr>
          <w:hyperlink w:anchor="__RefHeading___Toc13021_4275001085">
            <w:r>
              <w:rPr>
                <w:webHidden/>
                <w:rStyle w:val="IndexLink"/>
              </w:rPr>
              <w:t>Part 4 — Week-by-Week Cultural / Values Timeline: Normal Flow and Exceptions</w:t>
              <w:tab/>
              <w:t>13</w:t>
            </w:r>
          </w:hyperlink>
        </w:p>
        <w:p>
          <w:pPr>
            <w:pStyle w:val="TOC3"/>
            <w:tabs>
              <w:tab w:val="clear" w:pos="9945"/>
              <w:tab w:val="right" w:pos="10511" w:leader="dot"/>
            </w:tabs>
            <w:rPr/>
          </w:pPr>
          <w:hyperlink w:anchor="__RefHeading___Toc13023_4275001085">
            <w:r>
              <w:rPr>
                <w:webHidden/>
                <w:rStyle w:val="IndexLink"/>
              </w:rPr>
              <w:t>4.1 Normal Flow, Phase by Phase</w:t>
              <w:tab/>
              <w:t>13</w:t>
            </w:r>
          </w:hyperlink>
        </w:p>
        <w:p>
          <w:pPr>
            <w:pStyle w:val="TOC3"/>
            <w:tabs>
              <w:tab w:val="clear" w:pos="9945"/>
              <w:tab w:val="right" w:pos="10511" w:leader="dot"/>
            </w:tabs>
            <w:rPr/>
          </w:pPr>
          <w:hyperlink w:anchor="__RefHeading___Toc13025_4275001085">
            <w:r>
              <w:rPr>
                <w:webHidden/>
                <w:rStyle w:val="IndexLink"/>
              </w:rPr>
              <w:t>4.2 Master WBS &amp; Gantt — Every Task and Step, PM and CM Tracks, Across the Four Frameworks</w:t>
              <w:tab/>
              <w:t>46</w:t>
            </w:r>
          </w:hyperlink>
        </w:p>
        <w:p>
          <w:pPr>
            <w:pStyle w:val="TOC3"/>
            <w:tabs>
              <w:tab w:val="clear" w:pos="9945"/>
              <w:tab w:val="right" w:pos="10511" w:leader="dot"/>
            </w:tabs>
            <w:rPr/>
          </w:pPr>
          <w:hyperlink w:anchor="__RefHeading___Toc13027_4275001085">
            <w:r>
              <w:rPr>
                <w:webHidden/>
                <w:rStyle w:val="IndexLink"/>
              </w:rPr>
              <w:t>4.3 Master WBS &amp; Gantt — Every Task and Step, Techniques and Tools</w:t>
              <w:tab/>
              <w:t>51</w:t>
            </w:r>
          </w:hyperlink>
        </w:p>
        <w:p>
          <w:pPr>
            <w:pStyle w:val="TOC3"/>
            <w:tabs>
              <w:tab w:val="clear" w:pos="9945"/>
              <w:tab w:val="right" w:pos="10511" w:leader="dot"/>
            </w:tabs>
            <w:rPr/>
          </w:pPr>
          <w:hyperlink w:anchor="__RefHeading___Toc13029_4275001085">
            <w:r>
              <w:rPr>
                <w:webHidden/>
                <w:rStyle w:val="IndexLink"/>
              </w:rPr>
              <w:t>4.4 Six Exceptions, in Detail</w:t>
              <w:tab/>
              <w:t>63</w:t>
            </w:r>
          </w:hyperlink>
        </w:p>
        <w:p>
          <w:pPr>
            <w:pStyle w:val="TOC2"/>
            <w:tabs>
              <w:tab w:val="clear" w:pos="10229"/>
              <w:tab w:val="right" w:pos="10511" w:leader="dot"/>
            </w:tabs>
            <w:rPr/>
          </w:pPr>
          <w:hyperlink w:anchor="__RefHeading___Toc13031_4275001085">
            <w:r>
              <w:rPr>
                <w:webHidden/>
                <w:rStyle w:val="IndexLink"/>
              </w:rPr>
              <w:t>Part 5 — Training Program: Strategic, Operational, and Frontline Tiers</w:t>
              <w:tab/>
              <w:t>66</w:t>
            </w:r>
          </w:hyperlink>
        </w:p>
        <w:p>
          <w:pPr>
            <w:pStyle w:val="TOC3"/>
            <w:tabs>
              <w:tab w:val="clear" w:pos="9945"/>
              <w:tab w:val="right" w:pos="10511" w:leader="dot"/>
            </w:tabs>
            <w:rPr/>
          </w:pPr>
          <w:hyperlink w:anchor="__RefHeading___Toc13033_4275001085">
            <w:r>
              <w:rPr>
                <w:webHidden/>
                <w:rStyle w:val="IndexLink"/>
              </w:rPr>
              <w:t>5.1 Why Training Appears Here, and What It Is Not</w:t>
              <w:tab/>
              <w:t>66</w:t>
            </w:r>
          </w:hyperlink>
        </w:p>
        <w:p>
          <w:pPr>
            <w:pStyle w:val="TOC3"/>
            <w:tabs>
              <w:tab w:val="clear" w:pos="9945"/>
              <w:tab w:val="right" w:pos="10511" w:leader="dot"/>
            </w:tabs>
            <w:rPr/>
          </w:pPr>
          <w:hyperlink w:anchor="__RefHeading___Toc13035_4275001085">
            <w:r>
              <w:rPr>
                <w:webHidden/>
                <w:rStyle w:val="IndexLink"/>
              </w:rPr>
              <w:t>5.2 Tier 1 — Strategic Management (Weeks 10–14)</w:t>
              <w:tab/>
              <w:t>67</w:t>
            </w:r>
          </w:hyperlink>
        </w:p>
        <w:p>
          <w:pPr>
            <w:pStyle w:val="TOC3"/>
            <w:tabs>
              <w:tab w:val="clear" w:pos="9945"/>
              <w:tab w:val="right" w:pos="10511" w:leader="dot"/>
            </w:tabs>
            <w:rPr/>
          </w:pPr>
          <w:hyperlink w:anchor="__RefHeading___Toc13037_4275001085">
            <w:r>
              <w:rPr>
                <w:webHidden/>
                <w:rStyle w:val="IndexLink"/>
              </w:rPr>
              <w:t>5.3 Tier 2 — Operational Management (Weeks 18–24)</w:t>
              <w:tab/>
              <w:t>68</w:t>
            </w:r>
          </w:hyperlink>
        </w:p>
        <w:p>
          <w:pPr>
            <w:pStyle w:val="TOC3"/>
            <w:tabs>
              <w:tab w:val="clear" w:pos="9945"/>
              <w:tab w:val="right" w:pos="10511" w:leader="dot"/>
            </w:tabs>
            <w:rPr/>
          </w:pPr>
          <w:hyperlink w:anchor="__RefHeading___Toc13039_4275001085">
            <w:r>
              <w:rPr>
                <w:webHidden/>
                <w:rStyle w:val="IndexLink"/>
              </w:rPr>
              <w:t>5.4 Tier 3 — Operations (Frontline) (Weeks 35–47)</w:t>
              <w:tab/>
              <w:t>69</w:t>
            </w:r>
          </w:hyperlink>
        </w:p>
        <w:p>
          <w:pPr>
            <w:pStyle w:val="TOC3"/>
            <w:tabs>
              <w:tab w:val="clear" w:pos="9945"/>
              <w:tab w:val="right" w:pos="10511" w:leader="dot"/>
            </w:tabs>
            <w:rPr/>
          </w:pPr>
          <w:hyperlink w:anchor="__RefHeading___Toc13041_4275001085">
            <w:r>
              <w:rPr>
                <w:webHidden/>
                <w:rStyle w:val="IndexLink"/>
              </w:rPr>
              <w:t>5.5 Training Completion Tracking and the Composite Readiness Index</w:t>
              <w:tab/>
              <w:t>70</w:t>
            </w:r>
          </w:hyperlink>
          <w:r>
            <w:rPr>
              <w:rStyle w:val="IndexLink"/>
            </w:rPr>
            <w:fldChar w:fldCharType="end"/>
          </w:r>
        </w:p>
      </w:sdtContent>
    </w:sdt>
    <w:p>
      <w:pPr>
        <w:pStyle w:val="Normal"/>
        <w:rPr/>
      </w:pPr>
      <w:r>
        <w:rPr/>
      </w:r>
      <w:r>
        <w:br w:type="page"/>
      </w:r>
    </w:p>
    <w:p>
      <w:pPr>
        <w:pStyle w:val="Heading2"/>
        <w:spacing w:before="0" w:after="0"/>
        <w:rPr/>
      </w:pPr>
      <w:bookmarkStart w:id="0" w:name="__RefHeading___Toc12973_4275001085"/>
      <w:bookmarkStart w:id="1" w:name="part-0-purpose-and-how-to-use-this-guide"/>
      <w:bookmarkEnd w:id="0"/>
      <w:r>
        <w:rPr>
          <w:b/>
          <w:color w:val="1F4B45"/>
          <w:sz w:val="38"/>
        </w:rPr>
        <w:t>Part 0 — Purpose and How to Use This Guide</w:t>
      </w:r>
    </w:p>
    <w:p>
      <w:pPr>
        <w:pStyle w:val="Heading3"/>
        <w:rPr/>
      </w:pPr>
      <w:bookmarkStart w:id="2" w:name="__RefHeading___Toc12975_4275001085"/>
      <w:bookmarkStart w:id="3" w:name="what-this-guide-is"/>
      <w:bookmarkEnd w:id="2"/>
      <w:r>
        <w:rPr>
          <w:b/>
          <w:color w:val="275650"/>
          <w:sz w:val="29"/>
        </w:rPr>
        <w:t>What this guide is</w:t>
      </w:r>
    </w:p>
    <w:p>
      <w:pPr>
        <w:pStyle w:val="FirstParagraph"/>
        <w:rPr/>
      </w:pPr>
      <w:r>
        <w:rPr>
          <w:sz w:val="22"/>
        </w:rPr>
        <w:t xml:space="preserve">This guide is a single, focused companion to journi’s cultural / values transformation archetype — the one journi’s own Cross-Type Comparison Matrix rates as its longest-running, least externally-forced, and most reversibility-fragile transformation type, and the only one of journi’s ten archetypes whose end-to-end process chain skips Macro Process 5 (Training &amp; Capability Enablement) entirely. Rather than tour all of journi’s modules and archetypes at once, it follows one real, complex Change Management Project — </w:t>
      </w:r>
      <w:r>
        <w:rPr>
          <w:b/>
          <w:bCs/>
          <w:sz w:val="22"/>
        </w:rPr>
        <w:t>One Bouregreg: Post-Acquisition Culture Integration</w:t>
      </w:r>
      <w:r>
        <w:rPr>
          <w:sz w:val="22"/>
        </w:rPr>
        <w:t xml:space="preserve"> — from a genuinely new tenant setup through institutionalization, week by week, in the same operational depth a Change Manager would actually need to run it.</w:t>
      </w:r>
    </w:p>
    <w:p>
      <w:pPr>
        <w:pStyle w:val="BodyText"/>
        <w:rPr/>
      </w:pPr>
      <w:r>
        <w:rPr>
          <w:sz w:val="22"/>
        </w:rPr>
        <w:t>It is organized in six parts:</w:t>
      </w:r>
    </w:p>
    <w:p>
      <w:pPr>
        <w:pStyle w:val="Compact"/>
        <w:numPr>
          <w:ilvl w:val="0"/>
          <w:numId w:val="1"/>
        </w:numPr>
        <w:rPr/>
      </w:pPr>
      <w:r>
        <w:rPr>
          <w:b/>
          <w:bCs/>
          <w:sz w:val="22"/>
        </w:rPr>
        <w:t>Part 0 — Purpose and How to Use This Guide.</w:t>
      </w:r>
      <w:r>
        <w:rPr>
          <w:sz w:val="22"/>
        </w:rPr>
        <w:t xml:space="preserve"> This part.</w:t>
      </w:r>
    </w:p>
    <w:p>
      <w:pPr>
        <w:pStyle w:val="Compact"/>
        <w:numPr>
          <w:ilvl w:val="0"/>
          <w:numId w:val="1"/>
        </w:numPr>
        <w:rPr/>
      </w:pPr>
      <w:r>
        <w:rPr>
          <w:b/>
          <w:bCs/>
          <w:sz w:val="22"/>
        </w:rPr>
        <w:t>Part 1 — Executive Summary.</w:t>
      </w:r>
      <w:r>
        <w:rPr>
          <w:sz w:val="22"/>
        </w:rPr>
        <w:t xml:space="preserve"> Why this specific case is journi’s most complex cultural transformation to run, and what this guide’s own numbers say about it.</w:t>
      </w:r>
    </w:p>
    <w:p>
      <w:pPr>
        <w:pStyle w:val="Compact"/>
        <w:numPr>
          <w:ilvl w:val="0"/>
          <w:numId w:val="1"/>
        </w:numPr>
        <w:rPr/>
      </w:pPr>
      <w:r>
        <w:rPr>
          <w:b/>
          <w:bCs/>
          <w:sz w:val="22"/>
        </w:rPr>
        <w:t>Part 2 — The Four Frameworks and What Is Specific to Cultural / Values Change.</w:t>
      </w:r>
      <w:r>
        <w:rPr>
          <w:sz w:val="22"/>
        </w:rPr>
        <w:t xml:space="preserve"> journi’s four change frameworks, re-weighted for an archetype where Bridges and Kübler-Ross dominate over ADKAR, and where a merger of two workforces raises the emotional stakes further still.</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720" w:top="1008" w:footer="720" w:bottom="1008"/>
          <w:pgNumType w:fmt="decimal"/>
          <w:formProt w:val="false"/>
          <w:textDirection w:val="lrTb"/>
          <w:docGrid w:type="default" w:linePitch="100" w:charSpace="0"/>
        </w:sectPr>
        <w:pStyle w:val="Compact"/>
        <w:numPr>
          <w:ilvl w:val="0"/>
          <w:numId w:val="1"/>
        </w:numPr>
        <w:rPr/>
      </w:pPr>
      <w:r>
        <w:rPr>
          <w:b/>
          <w:bCs/>
          <w:sz w:val="22"/>
        </w:rPr>
        <w:t>Part 3 — Tenant and Admin Setup.</w:t>
      </w:r>
      <w:r>
        <w:rPr>
          <w:sz w:val="22"/>
        </w:rPr>
        <w:t xml:space="preserve"> Building the journi tenant this program runs in, from the License record through the live Change Management Project, using journi’s own manufacturing-sector scenario organization, Bouregreg Group, and the new Organization this acquisition adds to it.</w:t>
      </w:r>
    </w:p>
    <w:p>
      <w:pPr>
        <w:sectPr>
          <w:headerReference w:type="default" r:id="rId8"/>
          <w:headerReference w:type="first" r:id="rId9"/>
          <w:footerReference w:type="default" r:id="rId10"/>
          <w:footerReference w:type="first" r:id="rId11"/>
          <w:type w:val="nextPage"/>
          <w:pgSz w:orient="landscape" w:w="15840" w:h="12240"/>
          <w:pgMar w:left="864" w:right="864" w:gutter="0" w:header="720" w:top="1008" w:footer="720" w:bottom="1008"/>
          <w:pgNumType w:fmt="decimal"/>
          <w:formProt w:val="false"/>
          <w:textDirection w:val="lrTb"/>
          <w:docGrid w:type="default" w:linePitch="100" w:charSpace="0"/>
        </w:sectPr>
        <w:pStyle w:val="Compact"/>
        <w:numPr>
          <w:ilvl w:val="0"/>
          <w:numId w:val="1"/>
        </w:numPr>
        <w:rPr/>
      </w:pPr>
      <w:r>
        <w:rPr>
          <w:b/>
          <w:bCs/>
          <w:sz w:val="22"/>
        </w:rPr>
        <w:t>Part 4 — Week-by-Week Cultural / Values Timeline: Normal Flow and Exceptions.</w:t>
      </w:r>
      <w:r>
        <w:rPr>
          <w:sz w:val="22"/>
        </w:rPr>
        <w:t xml:space="preserve"> The full 78-week program run forward week by week, Project Manager and Change Manager tracks side by side, with the exact journi entries to type in; then, in the same level of detail, six realistic exception patterns; then two Master WBS &amp; Gantt views of the whole program’s task and step structure.</w:t>
      </w:r>
    </w:p>
    <w:p>
      <w:pPr>
        <w:pStyle w:val="Compact"/>
        <w:numPr>
          <w:ilvl w:val="0"/>
          <w:numId w:val="1"/>
        </w:numPr>
        <w:rPr/>
      </w:pPr>
      <w:r>
        <w:rPr>
          <w:b/>
          <w:bCs/>
          <w:sz w:val="22"/>
        </w:rPr>
        <w:t>Part 5 — Training Program: Strategic, Operational, and Frontline Tiers.</w:t>
      </w:r>
      <w:r>
        <w:rPr>
          <w:sz w:val="22"/>
        </w:rPr>
        <w:t xml:space="preserve"> The genuine operational and functional training this integration requires — distinct in kind from the values-adoption work in Part 4 — logged on M9 (Training) across three cohorts.</w:t>
      </w:r>
      <w:bookmarkEnd w:id="3"/>
    </w:p>
    <w:p>
      <w:pPr>
        <w:pStyle w:val="Heading3"/>
        <w:rPr/>
      </w:pPr>
      <w:bookmarkStart w:id="4" w:name="__RefHeading___Toc12977_4275001085"/>
      <w:bookmarkStart w:id="5" w:name="how-to-use-it"/>
      <w:bookmarkEnd w:id="4"/>
      <w:r>
        <w:rPr>
          <w:b/>
          <w:color w:val="275650"/>
          <w:sz w:val="29"/>
        </w:rPr>
        <w:t>How to use it</w:t>
      </w:r>
    </w:p>
    <w:p>
      <w:pPr>
        <w:pStyle w:val="FirstParagraph"/>
        <w:rPr/>
      </w:pPr>
      <w:bookmarkStart w:id="6" w:name="how-to-use-it"/>
      <w:r>
        <w:rPr>
          <w:sz w:val="22"/>
        </w:rPr>
        <w:t>Read Part 3 once, at setup time, or skip it if the tenant already exists — this guide’s Bouregreg Group tenant is the same one journi’s Master User Guide builds for its own ERP program, so a reader who has already worked through that guide’s Part 1 can jump straight to this guide’s Part 3, Section 3.3 onward, where the Tangier acquisition and this specific Change Management Project begin. From there, Part 4 is written as the day-to-day operating manual for the Change Manager and Program Manager running this program together.</w:t>
      </w:r>
      <w:bookmarkEnd w:id="6"/>
    </w:p>
    <w:p>
      <w:pPr>
        <w:pStyle w:val="Heading3"/>
        <w:rPr/>
      </w:pPr>
      <w:bookmarkStart w:id="7" w:name="__RefHeading___Toc12979_4275001085"/>
      <w:bookmarkStart w:id="8" w:name="a-note-on-fidelity"/>
      <w:bookmarkEnd w:id="7"/>
      <w:r>
        <w:rPr>
          <w:b/>
          <w:color w:val="275650"/>
          <w:sz w:val="29"/>
        </w:rPr>
        <w:t>A note on fidelity</w:t>
      </w:r>
    </w:p>
    <w:p>
      <w:pPr>
        <w:pStyle w:val="FirstParagraph"/>
        <w:rPr/>
      </w:pPr>
      <w:bookmarkStart w:id="9" w:name="a-note-on-fidelity"/>
      <w:r>
        <w:rPr>
          <w:sz w:val="22"/>
        </w:rPr>
        <w:t>Every journi module, field, and role named in this guide is verified against journi’s actual source and the same tenant model journi’s Master User Guide uses, not assumed from a spec. Where a real constraint applies — journi’s Organization sector is one of exactly three values (Manufacturing, Logistics, Health); a Change Management Project may link to zero, one, or more Main Projects; journi’s RBAC model has exactly nine roles — this guide states that constraint rather than working around it.</w:t>
      </w:r>
      <w:bookmarkEnd w:id="9"/>
    </w:p>
    <w:p>
      <w:pPr>
        <w:pStyle w:val="Heading3"/>
        <w:rPr/>
      </w:pPr>
      <w:bookmarkStart w:id="10" w:name="__RefHeading___Toc12981_4275001085"/>
      <w:bookmarkStart w:id="11" w:name="X14c73c2752e550dc7bd4181aa8c52a44f6ae1ff"/>
      <w:bookmarkEnd w:id="10"/>
      <w:r>
        <w:rPr>
          <w:b/>
          <w:color w:val="275650"/>
          <w:sz w:val="29"/>
        </w:rPr>
        <w:t>A note on the RACSI codes used throughout</w:t>
      </w:r>
    </w:p>
    <w:p>
      <w:pPr>
        <w:pStyle w:val="FirstParagraph"/>
        <w:rPr/>
      </w:pPr>
      <w:r>
        <w:rPr>
          <w:sz w:val="22"/>
        </w:rPr>
        <w:t xml:space="preserve">Part 4’s RACSI tables use journi’s separate 7-code RACSI role taxonomy (ES/CM/PM/FPO/ITL/SUP/EU), which the End-to-End Process Registry (M18) and Charter Registry (M19) both use — this is deliberately distinct from the 9-role platform RBAC enum (Super Admin, Group Admin, Org Admin, Change Manager, People Manager, Sponsor, Executive, Employee, Practitioner/Contributor) that Part 3 uses to create real journi user accounts. </w:t>
      </w:r>
      <w:r>
        <w:rPr>
          <w:b/>
          <w:bCs/>
          <w:sz w:val="22"/>
        </w:rPr>
        <w:t>ES</w:t>
      </w:r>
      <w:r>
        <w:rPr>
          <w:sz w:val="22"/>
        </w:rPr>
        <w:t xml:space="preserve"> = Executive Sponsor, </w:t>
      </w:r>
      <w:r>
        <w:rPr>
          <w:b/>
          <w:bCs/>
          <w:sz w:val="22"/>
        </w:rPr>
        <w:t>CM</w:t>
      </w:r>
      <w:r>
        <w:rPr>
          <w:sz w:val="22"/>
        </w:rPr>
        <w:t xml:space="preserve"> = Change Manager, </w:t>
      </w:r>
      <w:r>
        <w:rPr>
          <w:b/>
          <w:bCs/>
          <w:sz w:val="22"/>
        </w:rPr>
        <w:t>PM</w:t>
      </w:r>
      <w:r>
        <w:rPr>
          <w:sz w:val="22"/>
        </w:rPr>
        <w:t xml:space="preserve"> = Program/Project Manager, </w:t>
      </w:r>
      <w:r>
        <w:rPr>
          <w:b/>
          <w:bCs/>
          <w:sz w:val="22"/>
        </w:rPr>
        <w:t>FPO</w:t>
      </w:r>
      <w:r>
        <w:rPr>
          <w:sz w:val="22"/>
        </w:rPr>
        <w:t xml:space="preserve"> = Functional Process Owner, </w:t>
      </w:r>
      <w:r>
        <w:rPr>
          <w:b/>
          <w:bCs/>
          <w:sz w:val="22"/>
        </w:rPr>
        <w:t>ITL</w:t>
      </w:r>
      <w:r>
        <w:rPr>
          <w:sz w:val="22"/>
        </w:rPr>
        <w:t xml:space="preserve"> = IT/Technical Lead, </w:t>
      </w:r>
      <w:r>
        <w:rPr>
          <w:b/>
          <w:bCs/>
          <w:sz w:val="22"/>
        </w:rPr>
        <w:t>SUP</w:t>
      </w:r>
      <w:r>
        <w:rPr>
          <w:sz w:val="22"/>
        </w:rPr>
        <w:t xml:space="preserve"> = Supervisor, </w:t>
      </w:r>
      <w:r>
        <w:rPr>
          <w:b/>
          <w:bCs/>
          <w:sz w:val="22"/>
        </w:rPr>
        <w:t>EU</w:t>
      </w:r>
      <w:r>
        <w:rPr>
          <w:sz w:val="22"/>
        </w:rPr>
        <w:t xml:space="preserve"> = End User. Part 3 states, for every named team member, both their journi RBAC role and the RACSI code they hold in Part 4’s tables, since one person typically carries one of each.</w:t>
      </w:r>
      <w:bookmarkEnd w:id="11"/>
    </w:p>
    <w:p>
      <w:pPr>
        <w:pStyle w:val="Heading3"/>
        <w:rPr/>
      </w:pPr>
      <w:bookmarkStart w:id="12" w:name="__RefHeading___Toc12983_4275001085"/>
      <w:bookmarkStart w:id="13" w:name="reading-paths-by-role"/>
      <w:bookmarkEnd w:id="12"/>
      <w:r>
        <w:rPr>
          <w:b/>
          <w:color w:val="275650"/>
          <w:sz w:val="29"/>
        </w:rPr>
        <w:t>Reading paths, by role</w:t>
      </w:r>
    </w:p>
    <w:p>
      <w:pPr>
        <w:pStyle w:val="Compact"/>
        <w:numPr>
          <w:ilvl w:val="0"/>
          <w:numId w:val="12"/>
        </w:numPr>
        <w:rPr/>
      </w:pPr>
      <w:r>
        <w:rPr>
          <w:b/>
          <w:bCs/>
          <w:sz w:val="22"/>
        </w:rPr>
        <w:t>A Change Manager running this program day to day:</w:t>
      </w:r>
      <w:r>
        <w:rPr>
          <w:sz w:val="22"/>
        </w:rPr>
        <w:t xml:space="preserve"> Part 2 once for orientation, then Part 4 in full — it is written as the operating manual for exactly this role.</w:t>
      </w:r>
    </w:p>
    <w:p>
      <w:pPr>
        <w:pStyle w:val="Compact"/>
        <w:numPr>
          <w:ilvl w:val="0"/>
          <w:numId w:val="13"/>
        </w:numPr>
        <w:rPr/>
      </w:pPr>
      <w:r>
        <w:rPr>
          <w:b/>
          <w:bCs/>
          <w:sz w:val="22"/>
        </w:rPr>
        <w:t>A Program/Project Manager focused on the PM ↔ CM boundary:</w:t>
      </w:r>
      <w:r>
        <w:rPr>
          <w:sz w:val="22"/>
        </w:rPr>
        <w:t xml:space="preserve"> Part 4’s PM Track column throughout, and the Master WBS &amp; Gantt (Sections 4.2–4.3).</w:t>
      </w:r>
    </w:p>
    <w:p>
      <w:pPr>
        <w:pStyle w:val="Compact"/>
        <w:numPr>
          <w:ilvl w:val="0"/>
          <w:numId w:val="14"/>
        </w:numPr>
        <w:rPr/>
      </w:pPr>
      <w:r>
        <w:rPr>
          <w:b/>
          <w:bCs/>
          <w:sz w:val="22"/>
        </w:rPr>
        <w:t>An Executive Sponsor or Steering Committee member:</w:t>
      </w:r>
      <w:r>
        <w:rPr>
          <w:sz w:val="22"/>
        </w:rPr>
        <w:t xml:space="preserve"> Part 1 for the business case, then Part 4’s phase-opening narratives for the shape of the program without needing every weekly row.</w:t>
      </w:r>
    </w:p>
    <w:p>
      <w:pPr>
        <w:pStyle w:val="Compact"/>
        <w:numPr>
          <w:ilvl w:val="0"/>
          <w:numId w:val="15"/>
        </w:numPr>
        <w:rPr/>
      </w:pPr>
      <w:r>
        <w:rPr>
          <w:b/>
          <w:bCs/>
          <w:sz w:val="22"/>
        </w:rPr>
        <w:t>A Super Admin or Org Admin setting up the tenant:</w:t>
      </w:r>
      <w:r>
        <w:rPr>
          <w:sz w:val="22"/>
        </w:rPr>
        <w:t xml:space="preserve"> Part 3 in full.</w:t>
      </w:r>
    </w:p>
    <w:p>
      <w:pPr>
        <w:pStyle w:val="Compact"/>
        <w:numPr>
          <w:ilvl w:val="0"/>
          <w:numId w:val="16"/>
        </w:numPr>
        <w:rPr/>
      </w:pPr>
      <w:r>
        <w:rPr>
          <w:b/>
          <w:bCs/>
          <w:sz w:val="22"/>
        </w:rPr>
        <w:t>An HR Business Partner or Training Lead planning the integration’s actual curricula:</w:t>
      </w:r>
      <w:r>
        <w:rPr>
          <w:sz w:val="22"/>
        </w:rPr>
        <w:t xml:space="preserve"> Part 5 in full — it does not require having read Part 4’s week-by-week detail first.</w:t>
      </w:r>
      <w:bookmarkEnd w:id="1"/>
      <w:bookmarkEnd w:id="13"/>
    </w:p>
    <w:p>
      <w:pPr>
        <w:pStyle w:val="Heading2"/>
        <w:rPr/>
      </w:pPr>
      <w:bookmarkStart w:id="14" w:name="__RefHeading___Toc12985_4275001085"/>
      <w:bookmarkStart w:id="15" w:name="part-1-executive-summary"/>
      <w:bookmarkEnd w:id="14"/>
      <w:r>
        <w:rPr>
          <w:b/>
          <w:color w:val="1F4B45"/>
          <w:sz w:val="38"/>
        </w:rPr>
        <w:t>Part 1 — Executive Summary</w:t>
      </w:r>
    </w:p>
    <w:p>
      <w:pPr>
        <w:pStyle w:val="Heading3"/>
        <w:rPr/>
      </w:pPr>
      <w:bookmarkStart w:id="16" w:name="__RefHeading___Toc12987_4275001085"/>
      <w:bookmarkStart w:id="17" w:name="X5c559dae146f1257d815f0a83368379d6198e16"/>
      <w:bookmarkEnd w:id="16"/>
      <w:r>
        <w:rPr>
          <w:b/>
          <w:color w:val="275650"/>
          <w:sz w:val="29"/>
        </w:rPr>
        <w:t>1.1 Why This Is journi’s Most Complex Cultural Change</w:t>
      </w:r>
    </w:p>
    <w:p>
      <w:pPr>
        <w:pStyle w:val="FirstParagraph"/>
        <w:rPr/>
      </w:pPr>
      <w:r>
        <w:rPr>
          <w:sz w:val="22"/>
        </w:rPr>
        <w:t xml:space="preserve">journi’s Cross-Type Comparison Matrix (SRS 10.6.14) already rates Cultural / Values Transformation as its longest, least externally-forced, and most reversibility-fragile archetype. </w:t>
      </w:r>
      <w:r>
        <w:rPr>
          <w:b/>
          <w:bCs/>
          <w:sz w:val="22"/>
        </w:rPr>
        <w:t>One Bouregreg</w:t>
      </w:r>
      <w:r>
        <w:rPr>
          <w:sz w:val="22"/>
        </w:rPr>
        <w:t xml:space="preserve"> adds a complication that a single-organization values program never has to face: it is not building a culture from a blank slate — it is merging two workforces who each already have one, under time pressure, while the acquiring company’s own 3,400-person ERP program (journi’s own throughline scenario) is still mid-flight in the background.</w:t>
      </w:r>
    </w:p>
    <w:p>
      <w:pPr>
        <w:pStyle w:val="BodyText"/>
        <w:rPr/>
      </w:pPr>
      <w:r>
        <w:rPr>
          <w:sz w:val="22"/>
        </w:rPr>
        <w:t>Three facts drive the “most complex” call for this specific case:</w:t>
      </w:r>
    </w:p>
    <w:p>
      <w:pPr>
        <w:pStyle w:val="Compact"/>
        <w:numPr>
          <w:ilvl w:val="0"/>
          <w:numId w:val="17"/>
        </w:numPr>
        <w:rPr/>
      </w:pPr>
      <w:r>
        <w:rPr>
          <w:b/>
          <w:bCs/>
          <w:sz w:val="22"/>
        </w:rPr>
        <w:t>There are two starting cultures, not one.</w:t>
      </w:r>
      <w:r>
        <w:rPr>
          <w:sz w:val="22"/>
        </w:rPr>
        <w:t xml:space="preserve"> Bouregreg Manufacturing Maroc’s plant-floor culture (Casablanca, Kenitra, Settat) and the newly acquired Tangier Distribution operation’s own way of working did not evolve together. A diagnosis here has to characterize </w:t>
      </w:r>
      <w:r>
        <w:rPr>
          <w:i/>
          <w:iCs/>
          <w:sz w:val="22"/>
        </w:rPr>
        <w:t>two</w:t>
      </w:r>
      <w:r>
        <w:rPr>
          <w:sz w:val="22"/>
        </w:rPr>
        <w:t xml:space="preserve"> baselines and the gap between them, not one baseline against a target.</w:t>
      </w:r>
    </w:p>
    <w:p>
      <w:pPr>
        <w:pStyle w:val="Compact"/>
        <w:numPr>
          <w:ilvl w:val="0"/>
          <w:numId w:val="18"/>
        </w:numPr>
        <w:rPr/>
      </w:pPr>
      <w:r>
        <w:rPr>
          <w:b/>
          <w:bCs/>
          <w:sz w:val="22"/>
        </w:rPr>
        <w:t>The power imbalance is built into the situation, not the program design.</w:t>
      </w:r>
      <w:r>
        <w:rPr>
          <w:sz w:val="22"/>
        </w:rPr>
        <w:t xml:space="preserve"> Tangier’s 260 staff know, structurally, which company acquired which. Every value this program installs has to survive being read, by the acquired team, as either genuine or as the acquirer’s culture with new branding — the single hardest trust problem in this guide’s whole scenario library.</w:t>
      </w:r>
    </w:p>
    <w:p>
      <w:pPr>
        <w:pStyle w:val="Compact"/>
        <w:numPr>
          <w:ilvl w:val="0"/>
          <w:numId w:val="19"/>
        </w:numPr>
        <w:rPr/>
      </w:pPr>
      <w:r>
        <w:rPr>
          <w:b/>
          <w:bCs/>
          <w:sz w:val="22"/>
        </w:rPr>
        <w:t>The Sponsor starts behind, by design.</w:t>
      </w:r>
      <w:r>
        <w:rPr>
          <w:sz w:val="22"/>
        </w:rPr>
        <w:t xml:space="preserve"> The newly appointed integration Sponsor, Karim Fassi, has logged no visible action in journi at program start — journi’s own Sponsor Coverage Gap alert (ALT-003) is built to fire in this program’s first weeks, before his first town hall is logged. A cultural program’s dominant frameworks (Bridges, Kübler-Ross) are exactly the ones a visibly absent Sponsor damages fastest.</w:t>
      </w:r>
      <w:bookmarkEnd w:id="17"/>
    </w:p>
    <w:p>
      <w:pPr>
        <w:pStyle w:val="Heading3"/>
        <w:rPr/>
      </w:pPr>
      <w:bookmarkStart w:id="18" w:name="__RefHeading___Toc12989_4275001085"/>
      <w:bookmarkStart w:id="19" w:name="the-case-in-brief"/>
      <w:bookmarkEnd w:id="18"/>
      <w:r>
        <w:rPr>
          <w:b/>
          <w:color w:val="275650"/>
          <w:sz w:val="29"/>
        </w:rPr>
        <w:t>1.2 The Case, in Brief</w:t>
      </w:r>
    </w:p>
    <w:p>
      <w:pPr>
        <w:pStyle w:val="FirstParagraph"/>
        <w:rPr/>
      </w:pPr>
      <w:r>
        <w:rPr>
          <w:sz w:val="22"/>
        </w:rPr>
        <w:t xml:space="preserve">Six months into Bouregreg Group’s ERP Platform Unification program, Bouregreg Group acquires a smaller regional competitor’s Tangier distribution operation. </w:t>
      </w:r>
      <w:r>
        <w:rPr>
          <w:b/>
          <w:bCs/>
          <w:sz w:val="22"/>
        </w:rPr>
        <w:t>One Bouregreg</w:t>
      </w:r>
      <w:r>
        <w:rPr>
          <w:sz w:val="22"/>
        </w:rPr>
        <w:t xml:space="preserve"> is the 18-month, 78-week culture integration that follows — installing four shared values (</w:t>
      </w:r>
      <w:r>
        <w:rPr>
          <w:b/>
          <w:bCs/>
          <w:sz w:val="22"/>
        </w:rPr>
        <w:t>Equal Standing, One Way of Working, Shared Ownership, Speak Plainly Across Sites</w:t>
      </w:r>
      <w:r>
        <w:rPr>
          <w:sz w:val="22"/>
        </w:rPr>
        <w:t>) across the acquired Tangier team (260 staff) and their Bouregreg counterparts (roughly 140 staff in Casablanca-based supply chain, sales, and customer-facing roles who now work directly with Tangier), so that the acquisition’s stated synergies — one combined distribution network, one set of customer commitments — actually materialize rather than stall on two workforces that never became one company.</w:t>
      </w:r>
      <w:bookmarkEnd w:id="19"/>
    </w:p>
    <w:p>
      <w:pPr>
        <w:pStyle w:val="Heading3"/>
        <w:rPr/>
      </w:pPr>
      <w:bookmarkStart w:id="20" w:name="__RefHeading___Toc12991_4275001085"/>
      <w:bookmarkStart w:id="21" w:name="what-this-guide-proves-concretely"/>
      <w:bookmarkEnd w:id="20"/>
      <w:r>
        <w:rPr>
          <w:b/>
          <w:color w:val="275650"/>
          <w:sz w:val="29"/>
        </w:rPr>
        <w:t>1.3 What This Guide Proves, Concretely</w:t>
      </w:r>
    </w:p>
    <w:p>
      <w:pPr>
        <w:pStyle w:val="FirstParagraph"/>
        <w:rPr/>
      </w:pPr>
      <w:bookmarkStart w:id="22" w:name="part-1-executive-summary"/>
      <w:bookmarkStart w:id="23" w:name="what-this-guide-proves-concretely"/>
      <w:r>
        <w:rPr>
          <w:sz w:val="22"/>
        </w:rPr>
        <w:t>Every claim above is traceable to a real journi record this guide builds: a Sponsor Coverage Gap that actually fires (Section 4.1, Phase 2), a Divergence Pattern between stated and demonstrated values (Section 4.4’s exceptions), a Composite Readiness Index and Benchmarking trend that dips before it recovers, and a Refreeze justification signed only once the evidence — not the acquisition’s own press-release timeline — supports it.</w:t>
      </w:r>
      <w:bookmarkEnd w:id="22"/>
      <w:bookmarkEnd w:id="23"/>
    </w:p>
    <w:p>
      <w:pPr>
        <w:pStyle w:val="Heading2"/>
        <w:rPr/>
      </w:pPr>
      <w:bookmarkStart w:id="24" w:name="__RefHeading___Toc12993_4275001085"/>
      <w:bookmarkStart w:id="25" w:name="Xec585adad582ce97cc64f8fdcba615878d56ad5"/>
      <w:bookmarkEnd w:id="24"/>
      <w:r>
        <w:rPr>
          <w:b/>
          <w:color w:val="1F4B45"/>
          <w:sz w:val="38"/>
        </w:rPr>
        <w:t>Part 2 — The Four Frameworks and What Is Specific to Cultural / Values Change</w:t>
      </w:r>
    </w:p>
    <w:p>
      <w:pPr>
        <w:pStyle w:val="Heading3"/>
        <w:rPr/>
      </w:pPr>
      <w:bookmarkStart w:id="26" w:name="__RefHeading___Toc12995_4275001085"/>
      <w:bookmarkStart w:id="27" w:name="Xf9388d334f39966b48f045236a5d077134e6061"/>
      <w:bookmarkEnd w:id="26"/>
      <w:r>
        <w:rPr>
          <w:b/>
          <w:color w:val="275650"/>
          <w:sz w:val="29"/>
        </w:rPr>
        <w:t>2.1 journi’s Four Frameworks, in Their Real Stage Vocabulary</w:t>
      </w:r>
    </w:p>
    <w:p>
      <w:pPr>
        <w:pStyle w:val="FirstParagraph"/>
        <w:rPr/>
      </w:pPr>
      <w:r>
        <w:rPr>
          <w:sz w:val="22"/>
        </w:rPr>
        <w:t>journi tracks four change frameworks, each at a different altitude, logged on two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7"/>
        <w:gridCol w:w="2628"/>
        <w:gridCol w:w="2628"/>
        <w:gridCol w:w="2628"/>
      </w:tblGrid>
      <w:tr>
        <w:trPr>
          <w:tblHeader w:val="true"/>
          <w:cantSplit w:val="true"/>
        </w:trPr>
        <w:tc>
          <w:tcPr>
            <w:tcW w:w="26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Framework</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Altitude</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Stages (in journi’s own UI, in order)</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Logged on</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 one reading per project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 → Change → Refreeze</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Prosci ADKAR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five independently-scored blocks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 → Knowledge → Ability → Reinforcement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Transition Model</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emotional position</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 → New Beginning</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 Change Curve</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sentiment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 → Exploration → Commitment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p>
        </w:tc>
      </w:tr>
    </w:tbl>
    <w:p>
      <w:pPr>
        <w:pStyle w:val="BodyText"/>
        <w:rPr/>
      </w:pPr>
      <w:bookmarkStart w:id="28" w:name="Xf9388d334f39966b48f045236a5d077134e6061"/>
      <w:r>
        <w:rPr>
          <w:sz w:val="22"/>
        </w:rPr>
        <w:t>None of the four is auto-computed by journi. All four remain a Change Manager’s evidence-based judgment call, logged with a written justification under Bouregreg Group’s Governance Setting. The two things journi does compute automatically are the Composite Readiness Index (M14, Analytics — blending ADKAR 50%, Kübler-Ross sentiment 25%, and training completion 25%) and the Divergence Pattern Detector (ALT-001, firing when Knowledge ≥ 4 and Ability ≥ 4 while Bridges still reads exactly “Ending”).</w:t>
      </w:r>
      <w:bookmarkEnd w:id="28"/>
    </w:p>
    <w:p>
      <w:pPr>
        <w:pStyle w:val="Heading3"/>
        <w:rPr/>
      </w:pPr>
      <w:bookmarkStart w:id="29" w:name="__RefHeading___Toc12997_4275001085"/>
      <w:bookmarkStart w:id="30" w:name="Xe9539e0605455d8469c445c0b700ea3e9f2136a"/>
      <w:bookmarkEnd w:id="29"/>
      <w:r>
        <w:rPr>
          <w:b/>
          <w:color w:val="275650"/>
          <w:sz w:val="29"/>
        </w:rPr>
        <w:t>2.2 Why the Weighting Is Different for a Cultural / Values Change</w:t>
      </w:r>
    </w:p>
    <w:p>
      <w:pPr>
        <w:pStyle w:val="FirstParagraph"/>
        <w:rPr/>
      </w:pPr>
      <w:r>
        <w:rPr>
          <w:sz w:val="22"/>
        </w:rPr>
        <w:t xml:space="preserve">An ERP program like Bouregreg’s own is read almost entirely through Lewin and ADKAR: a system either works or it doesn’t, and Knowledge and Ability are the blocks that matter most. </w:t>
      </w:r>
      <w:r>
        <w:rPr>
          <w:b/>
          <w:bCs/>
          <w:sz w:val="22"/>
        </w:rPr>
        <w:t>One Bouregreg</w:t>
      </w:r>
      <w:r>
        <w:rPr>
          <w:sz w:val="22"/>
        </w:rPr>
        <w:t xml:space="preserve"> inverts that weighting.</w:t>
      </w:r>
    </w:p>
    <w:p>
      <w:pPr>
        <w:pStyle w:val="Compact"/>
        <w:numPr>
          <w:ilvl w:val="0"/>
          <w:numId w:val="20"/>
        </w:numPr>
        <w:rPr/>
      </w:pPr>
      <w:r>
        <w:rPr>
          <w:b/>
          <w:bCs/>
          <w:sz w:val="22"/>
        </w:rPr>
        <w:t>Bridges dominates.</w:t>
      </w:r>
      <w:r>
        <w:rPr>
          <w:sz w:val="22"/>
        </w:rPr>
        <w:t xml:space="preserve"> For Tangier’s staff, this program is not a new tool to learn — it is the end of being a separate company. Ending is not metaphorical here: real reporting lines, a real company name, and real local autonomy are actually ending. Bridges’ three stages track that loss directly in a way ADKAR’s competence-oriented blocks were never built to.</w:t>
      </w:r>
    </w:p>
    <w:p>
      <w:pPr>
        <w:pStyle w:val="Compact"/>
        <w:numPr>
          <w:ilvl w:val="0"/>
          <w:numId w:val="21"/>
        </w:numPr>
        <w:rPr/>
      </w:pPr>
      <w:r>
        <w:rPr>
          <w:b/>
          <w:bCs/>
          <w:sz w:val="22"/>
        </w:rPr>
        <w:t>Kübler-Ross dominates alongside it.</w:t>
      </w:r>
      <w:r>
        <w:rPr>
          <w:sz w:val="22"/>
        </w:rPr>
        <w:t xml:space="preserve"> The emotional register of “our company was bought” is closer to grief than to a training gap. Denial, Resistance/Anger, Exploration, and Commitment are the honest emotional sequence this program expects to see — not a shortcut to skip past.</w:t>
      </w:r>
    </w:p>
    <w:p>
      <w:pPr>
        <w:pStyle w:val="Compact"/>
        <w:numPr>
          <w:ilvl w:val="0"/>
          <w:numId w:val="22"/>
        </w:numPr>
        <w:rPr/>
      </w:pPr>
      <w:r>
        <w:rPr>
          <w:b/>
          <w:bCs/>
          <w:sz w:val="22"/>
        </w:rPr>
        <w:t>ADKAR still matters, but differently.</w:t>
      </w:r>
      <w:r>
        <w:rPr>
          <w:sz w:val="22"/>
        </w:rPr>
        <w:t xml:space="preserve"> Awareness and Desire carry the real weight here (does Tangier’s team understand what “One Bouregreg” actually changes for them day to day, and do they want it), while Knowledge and Ability — usually ERP’s hardest blocks — are comparatively light, since this program is not teaching a new system.</w:t>
      </w:r>
    </w:p>
    <w:p>
      <w:pPr>
        <w:pStyle w:val="Compact"/>
        <w:numPr>
          <w:ilvl w:val="0"/>
          <w:numId w:val="23"/>
        </w:numPr>
        <w:rPr/>
      </w:pPr>
      <w:r>
        <w:rPr>
          <w:b/>
          <w:bCs/>
          <w:sz w:val="22"/>
        </w:rPr>
        <w:t>MP-05 (Training &amp; Capability Enablement) is absent from the process chain entirely.</w:t>
      </w:r>
      <w:r>
        <w:rPr>
          <w:sz w:val="22"/>
        </w:rPr>
        <w:t xml:space="preserve"> journi’s E2E-CULT chain (MP-01→02→03→04→06→07→08→09→10) is the only one of its ten archetype chains without a training Macro Process. You cannot train a Tangier employee into believing “One Bouregreg” is genuine; every mechanism in Part 4 exists because that lever is unavailable. That claim is specifically about values adoption, and it stands throughout this guide — it is not a claim that no training happens anywhere in this program. Part 5 covers the genuine operational and functional training the acquisition itself requires (shared systems, unified procedures, supervisory skills), logged on M9 as a distinct, parallel track that is not part of the E2E-CULT chain or the TPL-CULT-7 template.</w:t>
      </w:r>
      <w:bookmarkEnd w:id="30"/>
    </w:p>
    <w:p>
      <w:pPr>
        <w:pStyle w:val="Heading3"/>
        <w:rPr/>
      </w:pPr>
      <w:bookmarkStart w:id="31" w:name="__RefHeading___Toc12999_4275001085"/>
      <w:bookmarkStart w:id="32" w:name="X929166cd1275f24de15e9f27c051a2ec2aef8f4"/>
      <w:bookmarkEnd w:id="31"/>
      <w:r>
        <w:rPr>
          <w:b/>
          <w:color w:val="275650"/>
          <w:sz w:val="29"/>
        </w:rPr>
        <w:t>2.3 The Composite Readiness Index, Read for This Case</w:t>
      </w:r>
    </w:p>
    <w:p>
      <w:pPr>
        <w:pStyle w:val="FirstParagraph"/>
        <w:rPr/>
      </w:pPr>
      <w:r>
        <w:rPr>
          <w:sz w:val="22"/>
        </w:rPr>
        <w:t xml:space="preserve">M14’s blended score (ADKAR 50% / Kübler-Ross 25% / training completion 25%) was designed with a system-rollout program in mind, where training completion is a meaningful third of readiness. Through most of </w:t>
      </w:r>
      <w:r>
        <w:rPr>
          <w:b/>
          <w:bCs/>
          <w:sz w:val="22"/>
        </w:rPr>
        <w:t>One Bouregreg</w:t>
      </w:r>
      <w:r>
        <w:rPr>
          <w:sz w:val="22"/>
        </w:rPr>
        <w:t>’s early phases, before Part 5’s curricula begin, the training-completion term stays structurally near zero — there is no values curriculum to complete — so this guide reads the Composite Readiness Index for this case as effectively an ADKAR/Kübler-Ross blend during that window, and states that reading plainly in Section 4.1 rather than let a flat training term quietly understate the score’s real meaning. From the point Part 5’s tiers go live, the training-completion term reflects real, trackable operational-curriculum completion — a genuine input, but still a distinct thing from cultural adoption, and this guide is careful in Section 4.1 and Section 5.5 not to let a completed operational curriculum stand in as evidence that the values themselves have taken hold.</w:t>
      </w:r>
      <w:bookmarkEnd w:id="32"/>
    </w:p>
    <w:p>
      <w:pPr>
        <w:pStyle w:val="Heading3"/>
        <w:rPr/>
      </w:pPr>
      <w:bookmarkStart w:id="33" w:name="__RefHeading___Toc13001_4275001085"/>
      <w:bookmarkStart w:id="34" w:name="Xa9926da17e102ed8ceebaa3b1095ead1b89d7c5"/>
      <w:bookmarkEnd w:id="33"/>
      <w:r>
        <w:rPr>
          <w:b/>
          <w:color w:val="275650"/>
          <w:sz w:val="29"/>
        </w:rPr>
        <w:t>2.4 Benchmarking, for an Acquisition-Driven Case</w:t>
      </w:r>
    </w:p>
    <w:p>
      <w:pPr>
        <w:pStyle w:val="FirstParagraph"/>
        <w:rPr/>
      </w:pPr>
      <w:bookmarkStart w:id="35" w:name="Xec585adad582ce97cc64f8fdcba615878d56ad5"/>
      <w:bookmarkStart w:id="36" w:name="Xa9926da17e102ed8ceebaa3b1095ead1b89d7c5"/>
      <w:r>
        <w:rPr>
          <w:sz w:val="22"/>
        </w:rPr>
        <w:t>journi’s Benchmarking view compares this program’s trajectory against its archetype’s expected reference band. Because this case combines the Cultural archetype’s already-long horizon with a starting Sponsor Coverage Gap and a structural trust deficit (Section 1.1), this guide’s own Benchmarking reading (Section 4.1) expects — and is built to show — a slower-than-typical opening quarter before the trajectory catches the Cultural reference band, rather than treat any early “Behind” reading as itself a crisis.</w:t>
      </w:r>
      <w:bookmarkEnd w:id="35"/>
      <w:bookmarkEnd w:id="36"/>
    </w:p>
    <w:p>
      <w:pPr>
        <w:pStyle w:val="Heading2"/>
        <w:rPr/>
      </w:pPr>
      <w:bookmarkStart w:id="37" w:name="__RefHeading___Toc13003_4275001085"/>
      <w:bookmarkStart w:id="38" w:name="part-3-tenant-and-admin-setup"/>
      <w:bookmarkEnd w:id="37"/>
      <w:r>
        <w:rPr>
          <w:b/>
          <w:color w:val="1F4B45"/>
          <w:sz w:val="38"/>
        </w:rPr>
        <w:t>Part 3 — Tenant and Admin Setup</w:t>
      </w:r>
    </w:p>
    <w:p>
      <w:pPr>
        <w:pStyle w:val="Heading3"/>
        <w:rPr/>
      </w:pPr>
      <w:bookmarkStart w:id="39" w:name="__RefHeading___Toc13005_4275001085"/>
      <w:bookmarkStart w:id="40" w:name="journis-tenant-model-restated"/>
      <w:bookmarkEnd w:id="39"/>
      <w:r>
        <w:rPr>
          <w:b/>
          <w:color w:val="275650"/>
          <w:sz w:val="29"/>
        </w:rPr>
        <w:t>3.1 journi’s Tenant Model, Restated</w:t>
      </w:r>
    </w:p>
    <w:p>
      <w:pPr>
        <w:pStyle w:val="FirstParagraph"/>
        <w:rPr/>
      </w:pPr>
      <w:r>
        <w:rPr>
          <w:sz w:val="22"/>
        </w:rPr>
        <w:t xml:space="preserve">journi is deployed one tenant at a time, holding everything a tenant contains — Groups, Organizations, Main Projects, Change Management Projects, users, role permissions, and license terms — in a single record. A tenant can hold more than one Organization: one License is tenant-wide, while Module 1’s Group → Organization hierarchy underneath it can hold several distinct Organizations, each with its own sector, employee count, sites, and default language. This Part uses exactly that capacity: </w:t>
      </w:r>
      <w:r>
        <w:rPr>
          <w:b/>
          <w:bCs/>
          <w:sz w:val="22"/>
        </w:rPr>
        <w:t>One Bouregreg</w:t>
      </w:r>
      <w:r>
        <w:rPr>
          <w:sz w:val="22"/>
        </w:rPr>
        <w:t xml:space="preserve"> adds a second Organization to an existing tenant rather than requiring a second deployment.</w:t>
      </w:r>
      <w:bookmarkEnd w:id="40"/>
    </w:p>
    <w:p>
      <w:pPr>
        <w:pStyle w:val="Heading3"/>
        <w:rPr/>
      </w:pPr>
      <w:bookmarkStart w:id="41" w:name="__RefHeading___Toc13007_4275001085"/>
      <w:bookmarkStart w:id="42" w:name="the-existing-tenant-bouregreg-group"/>
      <w:bookmarkEnd w:id="41"/>
      <w:r>
        <w:rPr>
          <w:b/>
          <w:color w:val="275650"/>
          <w:sz w:val="29"/>
        </w:rPr>
        <w:t>3.2 The Existing Tenant: Bouregreg Group</w:t>
      </w:r>
    </w:p>
    <w:p>
      <w:pPr>
        <w:pStyle w:val="FirstParagraph"/>
        <w:rPr/>
      </w:pPr>
      <w:r>
        <w:rPr>
          <w:sz w:val="22"/>
        </w:rPr>
        <w:t>This program runs inside the same tenant journi’s own Master User Guide builds for the Bouregreg ERP Adoption Program. A reader starting fresh, with no existing tenant, follows Steps 1–2 below to create it; a reader who already has this tenant from the ERP program skips to Section 3.3.</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cantSplit w:val="true"/>
        </w:trPr>
        <w:tc>
          <w:tcPr>
            <w:tcW w:w="396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Element</w:t>
            </w:r>
          </w:p>
        </w:tc>
        <w:tc>
          <w:tcPr>
            <w:tcW w:w="3959"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Value</w:t>
            </w:r>
          </w:p>
        </w:tc>
      </w:tr>
      <w:tr>
        <w:trPr>
          <w:cantSplit w:val="true"/>
        </w:trPr>
        <w:tc>
          <w:tcPr>
            <w:tcW w:w="39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Group</w:t>
            </w:r>
          </w:p>
        </w:tc>
        <w:tc>
          <w:tcPr>
            <w:tcW w:w="395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Bouregreg Group</w:t>
            </w:r>
          </w:p>
        </w:tc>
      </w:tr>
      <w:tr>
        <w:trPr>
          <w:cantSplit w:val="true"/>
        </w:trPr>
        <w:tc>
          <w:tcPr>
            <w:tcW w:w="39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w:t>
            </w:r>
          </w:p>
        </w:tc>
        <w:tc>
          <w:tcPr>
            <w:tcW w:w="395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Bouregreg Manufacturing Maroc</w:t>
            </w:r>
          </w:p>
        </w:tc>
      </w:tr>
      <w:tr>
        <w:trPr>
          <w:cantSplit w:val="true"/>
        </w:trPr>
        <w:tc>
          <w:tcPr>
            <w:tcW w:w="39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Sector</w:t>
            </w:r>
          </w:p>
        </w:tc>
        <w:tc>
          <w:tcPr>
            <w:tcW w:w="395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Manufacturing</w:t>
            </w:r>
          </w:p>
        </w:tc>
      </w:tr>
      <w:tr>
        <w:trPr>
          <w:cantSplit w:val="true"/>
        </w:trPr>
        <w:tc>
          <w:tcPr>
            <w:tcW w:w="39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Employees</w:t>
            </w:r>
          </w:p>
        </w:tc>
        <w:tc>
          <w:tcPr>
            <w:tcW w:w="395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3,400</w:t>
            </w:r>
          </w:p>
        </w:tc>
      </w:tr>
      <w:tr>
        <w:trPr>
          <w:cantSplit w:val="true"/>
        </w:trPr>
        <w:tc>
          <w:tcPr>
            <w:tcW w:w="39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Sites</w:t>
            </w:r>
          </w:p>
        </w:tc>
        <w:tc>
          <w:tcPr>
            <w:tcW w:w="395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Casablanca HQ; Kenitra Plant; Settat Plant</w:t>
            </w:r>
          </w:p>
        </w:tc>
      </w:tr>
      <w:tr>
        <w:trPr>
          <w:cantSplit w:val="true"/>
        </w:trPr>
        <w:tc>
          <w:tcPr>
            <w:tcW w:w="39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Languages</w:t>
            </w:r>
          </w:p>
        </w:tc>
        <w:tc>
          <w:tcPr>
            <w:tcW w:w="395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French, Arabic</w:t>
            </w:r>
          </w:p>
        </w:tc>
      </w:tr>
      <w:tr>
        <w:trPr>
          <w:cantSplit w:val="true"/>
        </w:trPr>
        <w:tc>
          <w:tcPr>
            <w:tcW w:w="39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Default language</w:t>
            </w:r>
          </w:p>
        </w:tc>
        <w:tc>
          <w:tcPr>
            <w:tcW w:w="395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French</w:t>
            </w:r>
          </w:p>
        </w:tc>
      </w:tr>
      <w:tr>
        <w:trPr>
          <w:cantSplit w:val="true"/>
        </w:trPr>
        <w:tc>
          <w:tcPr>
            <w:tcW w:w="39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License plan</w:t>
            </w:r>
          </w:p>
        </w:tc>
        <w:tc>
          <w:tcPr>
            <w:tcW w:w="395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Professional</w:t>
            </w:r>
          </w:p>
        </w:tc>
      </w:tr>
      <w:tr>
        <w:trPr>
          <w:cantSplit w:val="true"/>
        </w:trPr>
        <w:tc>
          <w:tcPr>
            <w:tcW w:w="39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License user cap</w:t>
            </w:r>
          </w:p>
        </w:tc>
        <w:tc>
          <w:tcPr>
            <w:tcW w:w="3959"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60</w:t>
            </w:r>
          </w:p>
        </w:tc>
      </w:tr>
    </w:tbl>
    <w:p>
      <w:pPr>
        <w:pStyle w:val="BodyText"/>
        <w:rPr/>
      </w:pPr>
      <w:r>
        <w:rPr>
          <w:b/>
          <w:bCs/>
          <w:sz w:val="22"/>
        </w:rPr>
        <w:t>Step 1 — License and hierarchy (M2, M1).</w:t>
      </w:r>
      <w:r>
        <w:rPr>
          <w:sz w:val="22"/>
        </w:rPr>
        <w:t xml:space="preserve"> Super Admin Zineb Alaoui uploads the </w:t>
      </w:r>
      <w:r>
        <w:rPr>
          <w:rStyle w:val="VerbatimChar"/>
          <w:sz w:val="22"/>
        </w:rPr>
        <w:t>.lic</w:t>
      </w:r>
      <w:r>
        <w:rPr>
          <w:sz w:val="22"/>
        </w:rPr>
        <w:t xml:space="preserve"> file (companyName “Bouregreg Group”, plan “professional”, maxUsers 60), then creates the Group (“Bouregreg Group”) and the Organization (“Bouregreg Manufacturing Maroc”, sector Manufacturing, 3,400 employees, sites and languages as above) on Module 1.</w:t>
      </w:r>
    </w:p>
    <w:p>
      <w:pPr>
        <w:pStyle w:val="BodyText"/>
        <w:rPr/>
      </w:pPr>
      <w:r>
        <w:rPr>
          <w:b/>
          <w:bCs/>
          <w:sz w:val="22"/>
        </w:rPr>
        <w:t>Step 2 — Base users (M2).</w:t>
      </w:r>
      <w:r>
        <w:rPr>
          <w:sz w:val="22"/>
        </w:rPr>
        <w:t xml:space="preserve"> Group Admin Anas Bouzid and Organization Admin Meryem Sabri are created with Group- and Organization-level scope respectively, per journi’s Users &amp; Scope tab.</w:t>
      </w:r>
      <w:bookmarkEnd w:id="42"/>
    </w:p>
    <w:p>
      <w:pPr>
        <w:pStyle w:val="Heading3"/>
        <w:rPr/>
      </w:pPr>
      <w:bookmarkStart w:id="43" w:name="__RefHeading___Toc13009_4275001085"/>
      <w:bookmarkStart w:id="44" w:name="X0fe28983f4b4e088311717ef5b7ab6f2b15c7c8"/>
      <w:bookmarkEnd w:id="43"/>
      <w:r>
        <w:rPr>
          <w:b/>
          <w:color w:val="275650"/>
          <w:sz w:val="29"/>
        </w:rPr>
        <w:t>3.3 Step 3 — Adding the Acquired Organization: Bouregreg Tangier Distribution (M1)</w:t>
      </w:r>
    </w:p>
    <w:p>
      <w:pPr>
        <w:pStyle w:val="FirstParagraph"/>
        <w:rPr/>
      </w:pPr>
      <w:r>
        <w:rPr>
          <w:sz w:val="22"/>
        </w:rPr>
        <w:t>Six months into the ERP program, Bouregreg Group acquires a smaller regional competitor’s Tangier distribution operation. In journi’s data model, this is a second Organization under the same Group and the same License — not a second tenant, and not a sub-unit folded into the existing Manufacturing Organization, since Tangier’s own sector is genuinely different from Bouregreg’s plants.</w:t>
      </w:r>
    </w:p>
    <w:p>
      <w:pPr>
        <w:pStyle w:val="Compact"/>
        <w:numPr>
          <w:ilvl w:val="0"/>
          <w:numId w:val="24"/>
        </w:numPr>
        <w:rPr/>
      </w:pPr>
      <w:r>
        <w:rPr>
          <w:sz w:val="22"/>
        </w:rPr>
        <w:t xml:space="preserve">Open </w:t>
      </w:r>
      <w:r>
        <w:rPr>
          <w:b/>
          <w:bCs/>
          <w:sz w:val="22"/>
        </w:rPr>
        <w:t>Module 1 — Group / Organization / Projects</w:t>
      </w:r>
      <w:r>
        <w:rPr>
          <w:sz w:val="22"/>
        </w:rPr>
        <w:t>.</w:t>
      </w:r>
    </w:p>
    <w:p>
      <w:pPr>
        <w:pStyle w:val="Compact"/>
        <w:numPr>
          <w:ilvl w:val="0"/>
          <w:numId w:val="5"/>
        </w:numPr>
        <w:rPr/>
      </w:pPr>
      <w:r>
        <w:rPr>
          <w:sz w:val="22"/>
        </w:rPr>
        <w:t xml:space="preserve">On the Bouregreg Group card, click </w:t>
      </w:r>
      <w:r>
        <w:rPr>
          <w:b/>
          <w:bCs/>
          <w:sz w:val="22"/>
        </w:rPr>
        <w:t>+ Organization</w:t>
      </w:r>
      <w:r>
        <w:rPr>
          <w:sz w:val="22"/>
        </w:rPr>
        <w:t>. Fill in:</w:t>
      </w:r>
    </w:p>
    <w:p>
      <w:pPr>
        <w:pStyle w:val="Compact"/>
        <w:numPr>
          <w:ilvl w:val="1"/>
          <w:numId w:val="25"/>
        </w:numPr>
        <w:rPr/>
      </w:pPr>
      <w:r>
        <w:rPr>
          <w:sz w:val="22"/>
        </w:rPr>
        <w:t>Name: “Bouregreg Tangier Distribution”</w:t>
      </w:r>
    </w:p>
    <w:p>
      <w:pPr>
        <w:pStyle w:val="Compact"/>
        <w:numPr>
          <w:ilvl w:val="1"/>
          <w:numId w:val="26"/>
        </w:numPr>
        <w:rPr/>
      </w:pPr>
      <w:r>
        <w:rPr>
          <w:sz w:val="22"/>
        </w:rPr>
        <w:t>Group: Bouregreg Group</w:t>
      </w:r>
    </w:p>
    <w:p>
      <w:pPr>
        <w:pStyle w:val="Compact"/>
        <w:numPr>
          <w:ilvl w:val="1"/>
          <w:numId w:val="27"/>
        </w:numPr>
        <w:rPr/>
      </w:pPr>
      <w:r>
        <w:rPr>
          <w:sz w:val="22"/>
        </w:rPr>
        <w:t xml:space="preserve">Type (sector): </w:t>
      </w:r>
      <w:r>
        <w:rPr>
          <w:b/>
          <w:bCs/>
          <w:sz w:val="22"/>
        </w:rPr>
        <w:t>Logistics</w:t>
      </w:r>
      <w:r>
        <w:rPr>
          <w:sz w:val="22"/>
        </w:rPr>
        <w:t xml:space="preserve"> (journi’s Organization sector is one of exactly three values — Manufacturing, Logistics, or Health; Tangier’s distribution operation is genuinely Logistics, distinct from the Manufacturing sector Bouregreg’s own plants use)</w:t>
      </w:r>
    </w:p>
    <w:p>
      <w:pPr>
        <w:pStyle w:val="Compact"/>
        <w:numPr>
          <w:ilvl w:val="1"/>
          <w:numId w:val="28"/>
        </w:numPr>
        <w:rPr/>
      </w:pPr>
      <w:r>
        <w:rPr>
          <w:sz w:val="22"/>
        </w:rPr>
        <w:t>Employees: 260</w:t>
      </w:r>
    </w:p>
    <w:p>
      <w:pPr>
        <w:pStyle w:val="Compact"/>
        <w:numPr>
          <w:ilvl w:val="1"/>
          <w:numId w:val="29"/>
        </w:numPr>
        <w:rPr/>
      </w:pPr>
      <w:r>
        <w:rPr>
          <w:sz w:val="22"/>
        </w:rPr>
        <w:t>Sites: “Tangier Distribution Center”</w:t>
      </w:r>
    </w:p>
    <w:p>
      <w:pPr>
        <w:pStyle w:val="Compact"/>
        <w:numPr>
          <w:ilvl w:val="1"/>
          <w:numId w:val="30"/>
        </w:numPr>
        <w:rPr/>
      </w:pPr>
      <w:r>
        <w:rPr>
          <w:sz w:val="22"/>
        </w:rPr>
        <w:t>Language(s): “fr, ar”</w:t>
      </w:r>
    </w:p>
    <w:p>
      <w:pPr>
        <w:pStyle w:val="Compact"/>
        <w:numPr>
          <w:ilvl w:val="1"/>
          <w:numId w:val="31"/>
        </w:numPr>
        <w:rPr/>
      </w:pPr>
      <w:r>
        <w:rPr>
          <w:sz w:val="22"/>
        </w:rPr>
        <w:t>Default language: French</w:t>
      </w:r>
    </w:p>
    <w:p>
      <w:pPr>
        <w:pStyle w:val="Compact"/>
        <w:numPr>
          <w:ilvl w:val="0"/>
          <w:numId w:val="5"/>
        </w:numPr>
        <w:rPr/>
      </w:pPr>
      <w:bookmarkStart w:id="45" w:name="X0fe28983f4b4e088311717ef5b7ab6f2b15c7c8"/>
      <w:r>
        <w:rPr>
          <w:sz w:val="22"/>
        </w:rPr>
        <w:t>Save. Bouregreg Group’s hierarchy now shows two Organizations side by side under one Group — Bouregreg Manufacturing Maroc (Manufacturing) and Bouregreg Tangier Distribution (Logistics) — sharing the same License and Permission Matrix, each with its own sector, sites, and employee count.</w:t>
      </w:r>
      <w:bookmarkEnd w:id="45"/>
    </w:p>
    <w:p>
      <w:pPr>
        <w:pStyle w:val="Heading3"/>
        <w:rPr/>
      </w:pPr>
      <w:bookmarkStart w:id="46" w:name="__RefHeading___Toc13011_4275001085"/>
      <w:bookmarkStart w:id="47" w:name="X1ff59d0ac37e7b84534f779b48a4e69627f97e6"/>
      <w:bookmarkEnd w:id="46"/>
      <w:r>
        <w:rPr>
          <w:b/>
          <w:color w:val="275650"/>
          <w:sz w:val="29"/>
        </w:rPr>
        <w:t>3.4 Step 4 — Onboarding the Integration Team (M2)</w:t>
      </w:r>
    </w:p>
    <w:p>
      <w:pPr>
        <w:pStyle w:val="FirstParagraph"/>
        <w:rPr/>
      </w:pPr>
      <w:r>
        <w:rPr>
          <w:sz w:val="22"/>
        </w:rPr>
        <w:t xml:space="preserve">Open </w:t>
      </w:r>
      <w:r>
        <w:rPr>
          <w:b/>
          <w:bCs/>
          <w:sz w:val="22"/>
        </w:rPr>
        <w:t>Module 2 — Users &amp; Roles</w:t>
      </w:r>
      <w:r>
        <w:rPr>
          <w:sz w:val="22"/>
        </w:rPr>
        <w:t xml:space="preserve">, </w:t>
      </w:r>
      <w:r>
        <w:rPr>
          <w:b/>
          <w:bCs/>
          <w:sz w:val="22"/>
        </w:rPr>
        <w:t>Users &amp; Scope</w:t>
      </w:r>
      <w:r>
        <w:rPr>
          <w:sz w:val="22"/>
        </w:rPr>
        <w:t xml:space="preserve"> tab, and add the team this program runs on. Each row states both the journi RBAC role Part 3 creates the account with and the RACSI code Part 4’s tables use for the same person — the two are related but distinct, per Part 0’s note.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Role (RBAC)</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 type</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RACSI Code</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Notes</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Laila Mernissi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 Admin</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Bouregreg Tangier Distribution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Newly created alongside the Organization itself</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 Fassi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One Bouregreg: Culture Integration </w:t>
            </w:r>
            <w:r>
              <w:rPr>
                <w:rFonts w:eastAsia="Cambria" w:cs=""/>
                <w:i/>
                <w:iCs/>
                <w:kern w:val="0"/>
                <w:sz w:val="19"/>
                <w:szCs w:val="24"/>
                <w:lang w:val="en-US" w:eastAsia="en-US" w:bidi="ar-SA"/>
              </w:rPr>
              <w:t>(created in Step 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Newly appointed integration Sponsor; starts with zero logged M7 actions</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Nadia Chraibi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One Bouregreg: Culture Integration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Owns day-to-day program execution</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Youssef Idrissi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One Bouregreg: Culture Integration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Integration Program Manager; PM-track coordination, WBS &amp; Gantt (M17)</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Amal Ziani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One Bouregreg: Culture Integration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FPO</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HR Business Partner for the integration</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Hicham Bennani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One Bouregreg: Culture Integration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ITL</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Systems/tooling lead (survey platform, journi data hygiene)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Fatima-Zahra Idrissi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One Bouregreg: Culture Integration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Tangier Distribution Center site lead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Rachid Amrani</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One Bouregreg: Culture Integration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Casablanca supply chain / logistics team lead (Bouregreg counterpart side)</w:t>
            </w:r>
          </w:p>
        </w:tc>
      </w:tr>
    </w:tbl>
    <w:p>
      <w:pPr>
        <w:pStyle w:val="BodyText"/>
        <w:rPr/>
      </w:pPr>
      <w:bookmarkStart w:id="48" w:name="X1ff59d0ac37e7b84534f779b48a4e69627f97e6"/>
      <w:r>
        <w:rPr>
          <w:sz w:val="22"/>
        </w:rPr>
        <w:t>Per journi’s own account rule, the six Project-scoped rows above are created (or their scope corrected) once the One Bouregreg CM Project exists in Step 6 — in practice, Laila Mernissi’s Organization-level account is created first, then the project-scoped team is finalized after Step 6.</w:t>
      </w:r>
      <w:bookmarkEnd w:id="48"/>
    </w:p>
    <w:p>
      <w:pPr>
        <w:pStyle w:val="Heading3"/>
        <w:rPr/>
      </w:pPr>
      <w:bookmarkStart w:id="49" w:name="__RefHeading___Toc13013_4275001085"/>
      <w:bookmarkStart w:id="50" w:name="Xd52107bbe4abece09adc18725d1ac93d4bacf9b"/>
      <w:bookmarkEnd w:id="49"/>
      <w:r>
        <w:rPr>
          <w:b/>
          <w:color w:val="275650"/>
          <w:sz w:val="29"/>
        </w:rPr>
        <w:t>3.5 Step 5 — Permission Matrix and Governance Settings (M2)</w:t>
      </w:r>
    </w:p>
    <w:p>
      <w:pPr>
        <w:pStyle w:val="FirstParagraph"/>
        <w:rPr/>
      </w:pPr>
      <w:r>
        <w:rPr>
          <w:sz w:val="22"/>
        </w:rPr>
        <w:t>Both are already set tenant-wide from the base ERP setup and require no new configuration for this program:</w:t>
      </w:r>
    </w:p>
    <w:p>
      <w:pPr>
        <w:pStyle w:val="Compact"/>
        <w:numPr>
          <w:ilvl w:val="0"/>
          <w:numId w:val="32"/>
        </w:numPr>
        <w:rPr/>
      </w:pPr>
      <w:r>
        <w:rPr>
          <w:b/>
          <w:bCs/>
          <w:sz w:val="22"/>
        </w:rPr>
        <w:t>Permission Matrix</w:t>
      </w:r>
      <w:r>
        <w:rPr>
          <w:sz w:val="22"/>
        </w:rPr>
        <w:t xml:space="preserve"> (Super-Admin-only, platform-wide): unchanged — hierarchy management stays with Super Admin, Group Admin, and Org Admin; general write access on Change Management modules stays with Super Admin, Group Admin, Org Admin, Change Manager, and People Manager/Practitioner-Contributor.</w:t>
      </w:r>
    </w:p>
    <w:p>
      <w:pPr>
        <w:pStyle w:val="Compact"/>
        <w:numPr>
          <w:ilvl w:val="0"/>
          <w:numId w:val="33"/>
        </w:numPr>
        <w:rPr/>
      </w:pPr>
      <w:r>
        <w:rPr>
          <w:b/>
          <w:bCs/>
          <w:sz w:val="22"/>
        </w:rPr>
        <w:t>Governance Setting — “Require justification for score/state changes”</w:t>
      </w:r>
      <w:r>
        <w:rPr>
          <w:sz w:val="22"/>
        </w:rPr>
        <w:t xml:space="preserve">: left </w:t>
      </w:r>
      <w:r>
        <w:rPr>
          <w:b/>
          <w:bCs/>
          <w:sz w:val="22"/>
        </w:rPr>
        <w:t>on</w:t>
      </w:r>
      <w:r>
        <w:rPr>
          <w:sz w:val="22"/>
        </w:rPr>
        <w:t>. This program’s every Lewin, ADKAR, Bridges, and Kübler-Ross reading in Part 4 carries a real, logged justification, not a bare number — the same discipline the ERP program runs under.</w:t>
      </w:r>
      <w:bookmarkEnd w:id="50"/>
    </w:p>
    <w:p>
      <w:pPr>
        <w:pStyle w:val="Heading3"/>
        <w:rPr/>
      </w:pPr>
      <w:bookmarkStart w:id="51" w:name="__RefHeading___Toc13015_4275001085"/>
      <w:bookmarkStart w:id="52" w:name="X0fc740a3a63817fc22f0d618abe5a5f7ecef3cd"/>
      <w:bookmarkEnd w:id="51"/>
      <w:r>
        <w:rPr>
          <w:b/>
          <w:color w:val="275650"/>
          <w:sz w:val="29"/>
        </w:rPr>
        <w:t>3.6 Step 6 — Creating the One Bouregreg Change Management Project (M1)</w:t>
      </w:r>
    </w:p>
    <w:p>
      <w:pPr>
        <w:pStyle w:val="Compact"/>
        <w:numPr>
          <w:ilvl w:val="0"/>
          <w:numId w:val="34"/>
        </w:numPr>
        <w:rPr/>
      </w:pPr>
      <w:r>
        <w:rPr>
          <w:sz w:val="22"/>
        </w:rPr>
        <w:t xml:space="preserve">On the Bouregreg Tangier Distribution Organization card (or the Bouregreg Manufacturing Maroc card — either works, since the CM Project’s population spans both), click </w:t>
      </w:r>
      <w:r>
        <w:rPr>
          <w:b/>
          <w:bCs/>
          <w:sz w:val="22"/>
        </w:rPr>
        <w:t>+ CM Project</w:t>
      </w:r>
      <w:r>
        <w:rPr>
          <w:sz w:val="22"/>
        </w:rPr>
        <w:t>. Fill in:</w:t>
      </w:r>
    </w:p>
    <w:p>
      <w:pPr>
        <w:pStyle w:val="Compact"/>
        <w:numPr>
          <w:ilvl w:val="1"/>
          <w:numId w:val="35"/>
        </w:numPr>
        <w:rPr/>
      </w:pPr>
      <w:r>
        <w:rPr>
          <w:sz w:val="22"/>
        </w:rPr>
        <w:t>Name: “One Bouregreg: Culture Integration”</w:t>
      </w:r>
    </w:p>
    <w:p>
      <w:pPr>
        <w:pStyle w:val="Compact"/>
        <w:numPr>
          <w:ilvl w:val="1"/>
          <w:numId w:val="36"/>
        </w:numPr>
        <w:rPr/>
      </w:pPr>
      <w:r>
        <w:rPr>
          <w:sz w:val="22"/>
        </w:rPr>
        <w:t xml:space="preserve">Linked Main Project: </w:t>
      </w:r>
      <w:r>
        <w:rPr>
          <w:b/>
          <w:bCs/>
          <w:sz w:val="22"/>
        </w:rPr>
        <w:t>none</w:t>
      </w:r>
      <w:r>
        <w:rPr>
          <w:sz w:val="22"/>
        </w:rPr>
        <w:t xml:space="preserve"> (this CM Project links to zero Main Projects — the acquisition itself is a corporate transaction outside journi’s Main Project model, not a system or process rollout)</w:t>
      </w:r>
    </w:p>
    <w:p>
      <w:pPr>
        <w:pStyle w:val="Compact"/>
        <w:numPr>
          <w:ilvl w:val="1"/>
          <w:numId w:val="37"/>
        </w:numPr>
        <w:rPr/>
      </w:pPr>
      <w:r>
        <w:rPr>
          <w:sz w:val="22"/>
        </w:rPr>
        <w:t>Owner: “Nadia Chraibi”</w:t>
      </w:r>
    </w:p>
    <w:p>
      <w:pPr>
        <w:pStyle w:val="Compact"/>
        <w:numPr>
          <w:ilvl w:val="1"/>
          <w:numId w:val="38"/>
        </w:numPr>
        <w:rPr/>
      </w:pPr>
      <w:r>
        <w:rPr>
          <w:sz w:val="22"/>
        </w:rPr>
        <w:t xml:space="preserve">Change type: </w:t>
      </w:r>
      <w:r>
        <w:rPr>
          <w:b/>
          <w:bCs/>
          <w:sz w:val="22"/>
        </w:rPr>
        <w:t>Cultural</w:t>
      </w:r>
    </w:p>
    <w:p>
      <w:pPr>
        <w:pStyle w:val="Compact"/>
        <w:numPr>
          <w:ilvl w:val="1"/>
          <w:numId w:val="39"/>
        </w:numPr>
        <w:rPr/>
      </w:pPr>
      <w:r>
        <w:rPr>
          <w:sz w:val="22"/>
        </w:rPr>
        <w:t>Target population: “Tangier Distribution Center (260) + Casablanca-based supply chain, sales, and customer-facing counterparts (140) — 400 total”</w:t>
      </w:r>
    </w:p>
    <w:p>
      <w:pPr>
        <w:pStyle w:val="Compact"/>
        <w:numPr>
          <w:ilvl w:val="1"/>
          <w:numId w:val="40"/>
        </w:numPr>
        <w:rPr/>
      </w:pPr>
      <w:r>
        <w:rPr>
          <w:sz w:val="22"/>
        </w:rPr>
        <w:t>Business driver: “The acquisition’s stated synergies — one combined distribution network, one set of customer commitments — depend on the two workforces actually operating as one company within 18 months, not remaining two cultures under one letterhead.”</w:t>
      </w:r>
    </w:p>
    <w:p>
      <w:pPr>
        <w:pStyle w:val="Compact"/>
        <w:numPr>
          <w:ilvl w:val="0"/>
          <w:numId w:val="41"/>
        </w:numPr>
        <w:rPr/>
      </w:pPr>
      <w:r>
        <w:rPr>
          <w:sz w:val="22"/>
        </w:rPr>
        <w:t xml:space="preserve">Save. The Lewin macro-state opens at </w:t>
      </w:r>
      <w:r>
        <w:rPr>
          <w:b/>
          <w:bCs/>
          <w:sz w:val="22"/>
        </w:rPr>
        <w:t>Unfreeze</w:t>
      </w:r>
      <w:r>
        <w:rPr>
          <w:sz w:val="22"/>
        </w:rPr>
        <w:t xml:space="preserve"> (M3, Initiative Registry), with a justification note: “Opening Unfreeze at program start. Acquisition closed; integration Sponsor appointed; Phase 1 (Diagnosis) begins Week 1 of this program (Bouregreg org-calendar Week 27).”</w:t>
      </w:r>
    </w:p>
    <w:p>
      <w:pPr>
        <w:pStyle w:val="Compact"/>
        <w:numPr>
          <w:ilvl w:val="0"/>
          <w:numId w:val="42"/>
        </w:numPr>
        <w:rPr/>
      </w:pPr>
      <w:r>
        <w:rPr>
          <w:sz w:val="22"/>
        </w:rPr>
        <w:t xml:space="preserve">On </w:t>
      </w:r>
      <w:r>
        <w:rPr>
          <w:b/>
          <w:bCs/>
          <w:sz w:val="22"/>
        </w:rPr>
        <w:t>Module 17 — WBS &amp; Gantt</w:t>
      </w:r>
      <w:r>
        <w:rPr>
          <w:sz w:val="22"/>
        </w:rPr>
        <w:t xml:space="preserve">, load the </w:t>
      </w:r>
      <w:r>
        <w:rPr>
          <w:b/>
          <w:bCs/>
          <w:sz w:val="22"/>
        </w:rPr>
        <w:t>TPL-CULT-7</w:t>
      </w:r>
      <w:r>
        <w:rPr>
          <w:sz w:val="22"/>
        </w:rPr>
        <w:t xml:space="preserve"> phase template (Diagnosis → Target Values Design → Leadership Modeling &amp; Reinforcement Build → Pilot Cohort → Organization-Wide Rollout → Reinforcement Through Skepticism → Institutionalization) to seed the program’s baseline schedule — the same action Driss El Amrani takes for TPL-ERP-8 at the start of the ERP program.</w:t>
      </w:r>
      <w:bookmarkEnd w:id="52"/>
    </w:p>
    <w:p>
      <w:pPr>
        <w:pStyle w:val="Heading3"/>
        <w:rPr/>
      </w:pPr>
      <w:bookmarkStart w:id="53" w:name="__RefHeading___Toc13017_4275001085"/>
      <w:bookmarkStart w:id="54" w:name="X8d27c7d95cfb1c82aa3c947a3727b075f92d6ef"/>
      <w:bookmarkEnd w:id="53"/>
      <w:r>
        <w:rPr>
          <w:b/>
          <w:color w:val="275650"/>
          <w:sz w:val="29"/>
        </w:rPr>
        <w:t>3.7 Step 7 — Activating the Charter Registry for This Program (M19)</w:t>
      </w:r>
    </w:p>
    <w:p>
      <w:pPr>
        <w:pStyle w:val="FirstParagraph"/>
        <w:rPr/>
      </w:pPr>
      <w:r>
        <w:rPr>
          <w:sz w:val="22"/>
        </w:rPr>
        <w:t>Seven of journi’s eight standing Charters govern this archetype’s Macro Processes; the eighth, CHTR-07 (Mentoring Charter), governs MP-05 (Training &amp; Capability Enablement) — the one Macro Process the E2E-CULT chain does not use — and stays dormant for the life of this program.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4"/>
        <w:gridCol w:w="3504"/>
        <w:gridCol w:w="3504"/>
      </w:tblGrid>
      <w:tr>
        <w:trPr>
          <w:tblHeader w:val="true"/>
          <w:cantSplit w:val="true"/>
        </w:trPr>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Charter</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Accountable (this program)</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Review cadence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 Sponsorship / Leadership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 Fassi (ES)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CHTR-02 Participative Management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Nadia Chraibi (CM)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Quarterly</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CHTR-03 Communication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Nadia Chraibi (CM)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communication wave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CHTR-04 Organizational Impact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Nadia Chraibi (CM)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 scope change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CHTR-05 Team Coaching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Nadia Chraibi (CM)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reinforcement cycle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CHTR-06 One-to-One Coaching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Nadia Chraibi (CM)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triggered case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CHTR-07 Mentoring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 </w:t>
            </w:r>
            <w:r>
              <w:rPr>
                <w:rFonts w:eastAsia="Cambria" w:cs=""/>
                <w:kern w:val="0"/>
                <w:sz w:val="19"/>
                <w:szCs w:val="24"/>
                <w:lang w:val="en-US" w:eastAsia="en-US" w:bidi="ar-SA"/>
              </w:rPr>
              <w:t>dormant, MP-05 not used</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CHTR-08 Pulse / Interview Charter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Nadia Chraibi (CM)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 + ad hoc</w:t>
            </w:r>
          </w:p>
        </w:tc>
      </w:tr>
    </w:tbl>
    <w:p>
      <w:pPr>
        <w:pStyle w:val="BodyText"/>
        <w:rPr/>
      </w:pPr>
      <w:bookmarkStart w:id="55" w:name="X8d27c7d95cfb1c82aa3c947a3727b075f92d6ef"/>
      <w:r>
        <w:rPr>
          <w:sz w:val="22"/>
        </w:rPr>
        <w:t>Karim Fassi signs CHTR-01 at program kickoff (Part 4, Section 4.1, Week 1) with specific, individually-owned behavior commitments — the single action that most directly determines whether the Sponsor Coverage Gap (Section 1.1) closes quickly or lingers.</w:t>
      </w:r>
      <w:bookmarkEnd w:id="55"/>
    </w:p>
    <w:p>
      <w:pPr>
        <w:pStyle w:val="Heading3"/>
        <w:rPr/>
      </w:pPr>
      <w:bookmarkStart w:id="56" w:name="__RefHeading___Toc13019_4275001085"/>
      <w:bookmarkStart w:id="57" w:name="setup-checklist"/>
      <w:bookmarkEnd w:id="56"/>
      <w:r>
        <w:rPr>
          <w:b/>
          <w:color w:val="275650"/>
          <w:sz w:val="29"/>
        </w:rPr>
        <w:t>3.8 Setup Checklist</w:t>
      </w:r>
    </w:p>
    <w:p>
      <w:pPr>
        <w:pStyle w:val="Compact"/>
        <w:numPr>
          <w:ilvl w:val="0"/>
          <w:numId w:val="43"/>
        </w:numPr>
        <w:rPr/>
      </w:pPr>
      <w:r>
        <w:rPr>
          <w:sz w:val="22"/>
        </w:rPr>
        <w:t xml:space="preserve">☐ </w:t>
      </w:r>
      <w:r>
        <w:rPr>
          <w:sz w:val="22"/>
        </w:rPr>
        <w:t>Base tenant confirmed or created (License, Group, Bouregreg Manufacturing Maroc Organization) — Sections 3.1–3.2</w:t>
      </w:r>
    </w:p>
    <w:p>
      <w:pPr>
        <w:pStyle w:val="Compact"/>
        <w:numPr>
          <w:ilvl w:val="0"/>
          <w:numId w:val="44"/>
        </w:numPr>
        <w:rPr/>
      </w:pPr>
      <w:r>
        <w:rPr>
          <w:sz w:val="22"/>
        </w:rPr>
        <w:t xml:space="preserve">☐ </w:t>
      </w:r>
      <w:r>
        <w:rPr>
          <w:sz w:val="22"/>
        </w:rPr>
        <w:t>Bouregreg Tangier Distribution Organization created (sector Logistics, 260 employees, Tangier site) — Section 3.3</w:t>
      </w:r>
    </w:p>
    <w:p>
      <w:pPr>
        <w:pStyle w:val="Compact"/>
        <w:numPr>
          <w:ilvl w:val="0"/>
          <w:numId w:val="45"/>
        </w:numPr>
        <w:rPr/>
      </w:pPr>
      <w:r>
        <w:rPr>
          <w:sz w:val="22"/>
        </w:rPr>
        <w:t xml:space="preserve">☐ </w:t>
      </w:r>
      <w:r>
        <w:rPr>
          <w:sz w:val="22"/>
        </w:rPr>
        <w:t>Integration team accounts created with correct RBAC role, scope, and RACSI code — Section 3.4</w:t>
      </w:r>
    </w:p>
    <w:p>
      <w:pPr>
        <w:pStyle w:val="Compact"/>
        <w:numPr>
          <w:ilvl w:val="0"/>
          <w:numId w:val="46"/>
        </w:numPr>
        <w:rPr/>
      </w:pPr>
      <w:r>
        <w:rPr>
          <w:sz w:val="22"/>
        </w:rPr>
        <w:t xml:space="preserve">☐ </w:t>
      </w:r>
      <w:r>
        <w:rPr>
          <w:sz w:val="22"/>
        </w:rPr>
        <w:t>Permission Matrix and Governance Setting confirmed unchanged — Section 3.5</w:t>
      </w:r>
    </w:p>
    <w:p>
      <w:pPr>
        <w:pStyle w:val="Compact"/>
        <w:numPr>
          <w:ilvl w:val="0"/>
          <w:numId w:val="47"/>
        </w:numPr>
        <w:rPr/>
      </w:pPr>
      <w:r>
        <w:rPr>
          <w:sz w:val="22"/>
        </w:rPr>
        <w:t xml:space="preserve">☐ </w:t>
      </w:r>
      <w:r>
        <w:rPr>
          <w:sz w:val="22"/>
        </w:rPr>
        <w:t>One Bouregreg: Culture Integration CM Project created, Lewin opened at Unfreeze — Section 3.6</w:t>
      </w:r>
    </w:p>
    <w:p>
      <w:pPr>
        <w:pStyle w:val="Compact"/>
        <w:numPr>
          <w:ilvl w:val="0"/>
          <w:numId w:val="48"/>
        </w:numPr>
        <w:rPr/>
      </w:pPr>
      <w:r>
        <w:rPr>
          <w:sz w:val="22"/>
        </w:rPr>
        <w:t xml:space="preserve">☐ </w:t>
      </w:r>
      <w:r>
        <w:rPr>
          <w:sz w:val="22"/>
        </w:rPr>
        <w:t>TPL-CULT-7 phase template loaded on M17 — Section 3.6</w:t>
      </w:r>
    </w:p>
    <w:p>
      <w:pPr>
        <w:pStyle w:val="Compact"/>
        <w:numPr>
          <w:ilvl w:val="0"/>
          <w:numId w:val="49"/>
        </w:numPr>
        <w:rPr/>
      </w:pPr>
      <w:r>
        <w:rPr>
          <w:sz w:val="22"/>
        </w:rPr>
        <w:t xml:space="preserve">☐ </w:t>
      </w:r>
      <w:r>
        <w:rPr>
          <w:sz w:val="22"/>
        </w:rPr>
        <w:t>Seven applicable Charters reviewed and accountable owners confirmed; CHTR-07 left dormant — Section 3.7</w:t>
      </w:r>
    </w:p>
    <w:p>
      <w:pPr>
        <w:pStyle w:val="FirstParagraph"/>
        <w:rPr/>
      </w:pPr>
      <w:bookmarkStart w:id="58" w:name="part-3-tenant-and-admin-setup"/>
      <w:bookmarkStart w:id="59" w:name="setup-checklist"/>
      <w:r>
        <w:rPr>
          <w:sz w:val="22"/>
        </w:rPr>
        <w:t>With this checklist complete, Bouregreg Group’s tenant now holds a second, Logistics-sector Organization and a live Cultural archetype Change Management Project. Part 4 runs it forward, week by week, from here.</w:t>
      </w:r>
      <w:bookmarkEnd w:id="58"/>
      <w:bookmarkEnd w:id="59"/>
    </w:p>
    <w:p>
      <w:pPr>
        <w:pStyle w:val="Heading2"/>
        <w:rPr/>
      </w:pPr>
      <w:bookmarkStart w:id="60" w:name="__RefHeading___Toc13021_4275001085"/>
      <w:bookmarkStart w:id="61" w:name="X2f8853355e6d39e95623eb4a074a7efdb80428b"/>
      <w:bookmarkEnd w:id="60"/>
      <w:r>
        <w:rPr>
          <w:b/>
          <w:color w:val="1F4B45"/>
          <w:sz w:val="38"/>
        </w:rPr>
        <w:t>Part 4 — Week-by-Week Cultural / Values Timeline: Normal Flow and Exceptions</w:t>
      </w:r>
    </w:p>
    <w:p>
      <w:pPr>
        <w:pStyle w:val="FirstParagraph"/>
        <w:rPr/>
      </w:pPr>
      <w:r>
        <w:rPr>
          <w:sz w:val="22"/>
        </w:rPr>
        <w:t>Part 3 ended with One Bouregreg registered and its Lewin phase opened at Unfreeze, program Week 1. This Part runs that program forward, week by week, for its full 78-week (18-month) duration, against journi’s TPL-CULT-7 template and the E2E-CULT process chain. Program Week 1 corresponds to Bouregreg Group’s own org-calendar Week 27 — six months into the ERP Adoption Program — so a reader cross-referencing journi’s Master User Guide can convert either direction by adding or subtracting 26. Section 4.1 covers the normal flow, phase by phase; Section 4.2 details six realistic exception patterns; Sections 4.3–4.4 give two Master WBS &amp; Gantt views of the whole program.</w:t>
      </w:r>
    </w:p>
    <w:p>
      <w:pPr>
        <w:pStyle w:val="Heading3"/>
        <w:rPr/>
      </w:pPr>
      <w:bookmarkStart w:id="62" w:name="__RefHeading___Toc13023_4275001085"/>
      <w:bookmarkStart w:id="63" w:name="normal-flow-phase-by-phase"/>
      <w:bookmarkEnd w:id="62"/>
      <w:r>
        <w:rPr>
          <w:b/>
          <w:color w:val="275650"/>
          <w:sz w:val="29"/>
        </w:rPr>
        <w:t>4.1 Normal Flow, Phase by Phase</w:t>
      </w:r>
    </w:p>
    <w:p>
      <w:pPr>
        <w:pStyle w:val="Heading4"/>
        <w:rPr/>
      </w:pPr>
      <w:bookmarkStart w:id="64" w:name="phase-1-diagnosis-weeks-110"/>
      <w:r>
        <w:rPr>
          <w:b/>
          <w:color w:val="3F827B"/>
          <w:sz w:val="25"/>
        </w:rPr>
        <w:t>Phase 1 — Diagnosis (Weeks 1–10)</w:t>
      </w:r>
    </w:p>
    <w:p>
      <w:pPr>
        <w:pStyle w:val="FirstParagraph"/>
        <w:rPr/>
      </w:pPr>
      <w:r>
        <w:rPr>
          <w:sz w:val="22"/>
        </w:rPr>
        <w:t>Diagnosis here has to characterize two starting cultures, not one — Bouregreg’s own plant-floor culture and Tangier’s distribution-operation culture — and the gap between them, before any values are proposed. This phase is also where journi’s Sponsor Coverage Gap alert (ALT-003) is built to fire: Karim Fassi, newly appointed as integration Sponsor, starts the program with zero logged actions on M7 (Sponsor &amp; Coalition), and the program’s first real test is how fast that changes.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Youssef Idrissi holds program kickoff; confirms Karim Fassi’s calendar for a first joint town hall; aligns the Tangier + Casablanca workshop schedule with Fatima-Zahra Idrissi and Rachid Amrani.</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Nadia Chraibi briefs Amal Ziani on dual-site diagnosis method; opens the Sponsor Coverage Gap watch, since M7 shows zero logged actions for Karim Fassi at program start.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 (Hierarchy) — verify the One Bouregreg CM Project record’s scope and dates match Part 3’s setup (no new entry; record already created).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logged-action count for Karim Fassi (currently 0)</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Facilitate Discovery Workshop 1 — Tangier Distribution Center, with Fatima-Zahra Idrissi. Capture current-state ways-of-working.</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Observe the Tangier workshop; begin logging contrasts with Bouregreg’s own practices neutrally, not yet as resistance entries.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Workshop · Title: “Discovery Workshop 1 — Tangier Distribution Center” · Logged by: Amal Ziani · Body: “Tangier’s own dispatch and customer-escalation practices captured; three contrasts with Bouregreg’s standard practice already visible, none yet coded as resistance.”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Contrast themes logged (running count)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Facilitate Discovery Workshop 2 — Casablanca counterparts (supply chain, sales, customer service), with Rachid Amrani.</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Cross-reference Tangier and Casablanca findings for early divergence patterns — where each side already assumes the other’s process is “the way it’s done.”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Workshop · Title: “Discovery Workshop 2 — Casablanca Counterparts” · Logged by: Amal Ziani · Body: “Casablanca supply-chain staff assume Tangier will adopt Bouregreg’s dispatch process; Tangier staff (Week 2) assumed the reverse. Neither assumption has been said aloud to the other side yet.”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Divergence-pattern themes logged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Compile the dual-culture baseline diagnosis (contrasts from Weeks 2–3) into a single comparison document.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Quantify the trust-gap baseline via a short cross-site pulse survey; confirm Karim Fassi has still logged zero M7 actions four weeks in — </w:t>
            </w:r>
            <w:r>
              <w:rPr>
                <w:rFonts w:eastAsia="Cambria" w:cs=""/>
                <w:b/>
                <w:bCs/>
                <w:kern w:val="0"/>
                <w:sz w:val="19"/>
                <w:szCs w:val="24"/>
                <w:lang w:val="en-US" w:eastAsia="en-US" w:bidi="ar-SA"/>
              </w:rPr>
              <w:t>journi’s Sponsor Coverage Gap alert (ALT-003) fires.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add cohorts: “Tangier Distribution Center — Operations &amp; Dispatch” (dimension: Culture, severity: Critical); “Casablanca Counterparts — Supply Chain, Sales, CS” (dimension: Culture, severity: High).</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E1 — Sponsor Coverage Gap begins</w:t>
            </w:r>
            <w:r>
              <w:rPr>
                <w:rFonts w:eastAsia="Cambria" w:cs=""/>
                <w:kern w:val="0"/>
                <w:sz w:val="19"/>
                <w:szCs w:val="24"/>
                <w:lang w:val="en-US" w:eastAsia="en-US" w:bidi="ar-SA"/>
              </w:rPr>
              <w:t xml:space="preserve">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Days since Sponsor’s first logged M7 action (N/A)</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Escalate the Sponsor Coverage Gap to Nadia Chraibi and the Steering Committee; secure Karim Fassi’s calendar commitment for a joint kickoff town hall.</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Log Karim Fassi’s first visible action — the scheduled town hall — as a roadmap item on M7, closing the gap between the alert firing and a real response.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(Sponsor &amp; Coalition) — add sponsor roadmap action: “Joint kickoff town hall — Tangier + Casablanca,” due Week 6; visibility rating set to “Active (pending delivery).”</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E1 continues (recovery pending)</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visibility rating</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Support delivery logistics — the town hall runs live at Tangier Distribution Center, livestreamed to Casablanca counterparts.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Karim Fassi delivers the joint kickoff town hall in person at Tangier — the concrete action that starts closing E1. Mark the M7 roadmap action done.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(Sponsor &amp; Coalition) — mark “Joint kickoff town hall” done; log a CHTR-01 compliance entry: “First visible sponsorship action delivered, Week 6 — in person at Tangier, not Casablanca, deliberately.”</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E1 resolved this week</w:t>
            </w:r>
            <w:r>
              <w:rPr>
                <w:rFonts w:eastAsia="Cambria" w:cs=""/>
                <w:kern w:val="0"/>
                <w:sz w:val="19"/>
                <w:szCs w:val="24"/>
                <w:lang w:val="en-US" w:eastAsia="en-US" w:bidi="ar-SA"/>
              </w:rPr>
              <w:t xml:space="preserve"> (full recovery timeline in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Confirmed Tangier attendance/engagement (not just Casablanca)</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Begin consolidating diagnosis findings into the business case for Phase 2’s target-values design.</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Run the power-imbalance / trust-risk assessment (stratified interviews, Tangier sample weighted toward mid-management).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log acquisition-specific themes surfacing in interviews, coded neutrally: “Job-security concern, Tangier mid-management” (root cause: acquisition uncertainty, not yet linked to a mitigation action).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Count of “job security” themed entries</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Finalize the diagnosis readout deck for the Steering Committee.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Complete the power-imbalance assessment — findings show the trust deficit concentrated in Tangier’s own mid-management layer, not the frontline.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update “Tangier Distribution Center — Operations &amp; Dispatch” cohort: add a distinct mid-management sub-entry, severity Critical, dimension Culture.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Mid-management severity rating (confirmed Critical)</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Present the diagnosis readout to the Steering Committee (Karim Fassi, Meryem Sabri, Laila Mernissi).</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Prepare the CHTR-01 signing session; draft Karim Fassi’s specific, individually-owned behavior commitments for review.</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first Composite Readiness Index reading logged as the program’s baseline (read per Section 2.3 as an ADKAR/Kübler-Ross blend, training term structurally near zero).</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Composite Readiness Index</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[PM]</w:t>
            </w:r>
            <w:r>
              <w:rPr>
                <w:rFonts w:eastAsia="Cambria" w:cs=""/>
                <w:kern w:val="0"/>
                <w:sz w:val="19"/>
                <w:szCs w:val="24"/>
                <w:lang w:val="en-US" w:eastAsia="en-US" w:bidi="ar-SA"/>
              </w:rPr>
              <w:t xml:space="preserve"> Confirm the Phase 1 gate: diagnosis and Stakeholder Map both signed off.</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[CM]</w:t>
            </w:r>
            <w:r>
              <w:rPr>
                <w:rFonts w:eastAsia="Cambria" w:cs=""/>
                <w:kern w:val="0"/>
                <w:sz w:val="19"/>
                <w:szCs w:val="24"/>
                <w:lang w:val="en-US" w:eastAsia="en-US" w:bidi="ar-SA"/>
              </w:rPr>
              <w:t xml:space="preserve"> Karim Fassi signs CHTR-01 with three specific commitments: a standing monthly joint town hall; a personal first-name-basis policy with Tangier staff; and a commitment to never use “legacy” or “acquired” language in his own communications.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 (CM Charters) — CHTR-01 status set to Active; compliance log opened with the three commitments above. M3 (Initiative Registry) — Lewin confirmed Unfreeze, justification: “Diagnosis complete; dual-culture baseline and trust-gap findings confirmed; Sponsor Coverage Gap closed Week 6; CHTR-01 signed with three specific commitments.”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Number of specific, named commitments logged (3)</w:t>
            </w:r>
          </w:p>
        </w:tc>
      </w:tr>
    </w:tbl>
    <w:p>
      <w:pPr>
        <w:pStyle w:val="BodyText"/>
        <w:rPr/>
      </w:pPr>
      <w:bookmarkStart w:id="65" w:name="phase-1-diagnosis-weeks-110"/>
      <w:r>
        <w:rPr>
          <w:i/>
          <w:iCs/>
          <w:sz w:val="22"/>
        </w:rPr>
        <w:t>Phase gate: Diagnosis closes with a clean Go once the Stakeholder Map, dual-culture baseline, and signed CHTR-01 are all in place.</w:t>
      </w:r>
      <w:bookmarkEnd w:id="65"/>
    </w:p>
    <w:p>
      <w:pPr>
        <w:pStyle w:val="Heading4"/>
        <w:rPr/>
      </w:pPr>
      <w:bookmarkStart w:id="66" w:name="phase-2-target-values-design-weeks-416"/>
      <w:r>
        <w:rPr>
          <w:b/>
          <w:color w:val="3F827B"/>
          <w:sz w:val="25"/>
        </w:rPr>
        <w:t>Phase 2 — Target Values Design (Weeks 4–16)</w:t>
      </w:r>
    </w:p>
    <w:p>
      <w:pPr>
        <w:pStyle w:val="FirstParagraph"/>
        <w:rPr/>
      </w:pPr>
      <w:r>
        <w:rPr>
          <w:sz w:val="22"/>
        </w:rPr>
        <w:t>Overlaps Phase 1 deliberately: co-design workshops start on partial diagnosis data while the trust-risk assessment is still running. The one hard design constraint this phase carries that a single-organization values program never has to: every workshop that mixes Tangier and Casablanca participants has to be built so neither side reads it as the other side’s process being taught to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Launch the cross-company co-design workshop series; schedule three mixed Tangier/Casablanca small-group sessions.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Recruit workshop participants deliberately in mixed pairs — no all-Tangier or all-Casablanca session.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Workshop · Title: “Co-Design Series Planning” · Body: “Three mixed-site sessions scheduled, Weeks 5, 6, 7. Deliberately mixed composition per group, not segregated by site.”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E1 active (Section 4.2; see Phase 1, Week 4)</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Workshop group composition (must stay mixed)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Workshop 1 logistics at Tangier Distribution Center.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Facilitate Workshop 1 — mixed group A proposes candidate values from lived experience, not a values list handed to them.</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Workshop · Title: “Co-Design Workshop 1” · Body: “Group A candidates: fairness in decisions, one standard regardless of site, honest handoffs between shifts and sites.”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E1 continues (see Phase 1, Week 5)</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Candidate value themes (running list)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Steering Committee formation — confirm membership: Karim Fassi, Nadia Chraibi, Youssef Idrissi, Meryem Sabri, Laila Mernissi.</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Facilitate Workshop 2 — mixed group B, held the same week as Karim Fassi’s kickoff town hall so the co-design work lands right after his first visible action, not before it.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“Steering Committee Membership Confirmed” · Body: “Five members named; monthly cadence set, first session Week 10.”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E1 resolves this week (see Phase 1, Week 6)</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membership confirmed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the program’s first genuinely joint session — Tangier and Casablanca participants physically together for the first time, not separate mixed groups.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Facilitate Workshop 3 — the joint session; watch specifically for anyone deferring to “how Bouregreg already does it” as a default answer.</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Workshop · Title: “Co-Design Workshop 3 — First Joint Session” · Body: “No consistent deferral to Bouregreg’s existing practice observed; both sites proposed and contested ideas roughly evenly.”</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Deferral-pattern incidents (target: none)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Compile the affinity-mapped candidate value list from all three workshops.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Score candidates against diagnosis-derived criteria: behaviorally observable, addresses the Week 4/8 trust-gap findings directly, and distinct from the other candidates.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“Candidate Values Scored” · Body: “Twelve candidates scored; four cluster clearly above the rest on all three criteria.”</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Candidate scoring matrix (top 4 identified)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top four candidates to the Steering Committee for ratification.</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initial behavior-anchor language for each of the four; begin Task 2.3.</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“Four Target Values Ratified” · Body: “Equal Standing; One Way of Working; Shared Ownership; Speak Plainly Across Sites — ratified by the Steering Committee, sourced directly from the co-design workshops.”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Values ratified (4 of 4)</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Steering Committee’s first formal session and standing monthly cadence — Task 2.2 complete.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drafting behavior anchors with a mixed Tangier/Casablanca working group of six.</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“Steering Committee Seated” · Body: “First formal session held; monthly cadence confirmed for the program’s life.”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 </w:t>
            </w:r>
            <w:r>
              <w:rPr>
                <w:rFonts w:eastAsia="Cambria" w:cs=""/>
                <w:kern w:val="0"/>
                <w:sz w:val="19"/>
                <w:szCs w:val="24"/>
                <w:lang w:val="en-US" w:eastAsia="en-US" w:bidi="ar-SA"/>
              </w:rPr>
              <w:t>(Phase 1 gate also closes this week)</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first full draft of behavior anchors for all four values.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 each draft anchor against a real incident from the Week 2–3 diagnosis findings, not a hypothetical scenario.</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“Anchor Drafts Tested Against Real Incidents” · Body: “Speak Plainly Across Sites anchor revised after testing against the Week 3 shift-handoff finding — original language too abstract to apply to that specific case.”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Anchors revised after real-incident testing</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Coordinate anchor-review timing with Phase 3’s kickoff, starting the same week (Section 4.1, Phase 3).</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a cross-site language check — confirm anchors read identically in French and Arabic and do not favor either site’s own phrasing conventions.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“Bilingual Anchor Check Complete” · Body: “No anchor found to read as site-specific language; two French phrasings adjusted for a more neutral register.”</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Bilingual consistency check (pass/fail per anchor)</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Coordinate the open-comment publication logistics across both sites.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Publish draft values and anchors org-wide (Tangier and Casablanca) for a two-week open-comment window.</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Message: “Draft target values and behavior anchors — open for comment” · Audience: “All Tangier + Casablanca counterparts (400)” · Channel: “Email + posted at both sites” · Timing: Week 13.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Comment volume, by site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 comment volume and response rate by site.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Triage incoming comments; flag any material pushback for direct follow-up rather than letting it sit in the open-comment queue unanswered.</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where a comment reflects genuine pushback rather than a wording suggestion, log it: “Anchor pushback, Tangier Dispatch — ‘Speak Plainly’ anchor reads as one-directional (Tangier speaking up to Bouregreg, not the reverse).”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Comment tone split, by site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Consolidate comment themes into a revision brief for the Steering Committee.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Bring the Week 14 pushback finding back to the working group; revise the “Speak Plainly Across Sites” anchor to explicitly name both directions.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“Anchor Revised for Directionality” · Body: “‘Speak Plainly Across Sites’ anchor rewritten to name Bouregreg-to-Tangier communication explicitly, not only the reverse — directly responsive to Week 14 feedback.”</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Material revisions incorporated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2 gate: final, bilingual-tested, co-designed values and anchors ratified.</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locks final language; log a CHTR-02 (Participative Management Charter) compliance entry — this was genuinely co-designed, not announced.</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 (CM Charters) — CHTR-02 compliance log: “Values and anchors co-designed via 3 mixed workshops plus a 2-week open-comment window; final language directly incorporates Tangier feedback (Week 15 revision).”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CHTR-02 compliance entry logged</w:t>
            </w:r>
          </w:p>
        </w:tc>
      </w:tr>
    </w:tbl>
    <w:p>
      <w:pPr>
        <w:pStyle w:val="BodyText"/>
        <w:rPr/>
      </w:pPr>
      <w:bookmarkStart w:id="67" w:name="phase-2-target-values-design-weeks-416"/>
      <w:r>
        <w:rPr>
          <w:i/>
          <w:iCs/>
          <w:sz w:val="22"/>
        </w:rPr>
        <w:t>Phase gate: Target Values Design closes once all four values carry locked, bilingual-tested behavior anchors and CHTR-02 shows a real participative-design compliance entry.</w:t>
      </w:r>
      <w:bookmarkEnd w:id="67"/>
    </w:p>
    <w:p>
      <w:pPr>
        <w:pStyle w:val="Heading4"/>
        <w:rPr/>
      </w:pPr>
      <w:bookmarkStart w:id="68" w:name="X15682fd5a1b44043dd4e60b729916023f026d43"/>
      <w:r>
        <w:rPr>
          <w:b/>
          <w:color w:val="3F827B"/>
          <w:sz w:val="25"/>
        </w:rPr>
        <w:t>Phase 3 — Leadership Modeling &amp; Reinforcement Build (Weeks 12–26)</w:t>
      </w:r>
    </w:p>
    <w:p>
      <w:pPr>
        <w:pStyle w:val="FirstParagraph"/>
        <w:rPr/>
      </w:pPr>
      <w:r>
        <w:rPr>
          <w:sz w:val="22"/>
        </w:rPr>
        <w:t>The design constraint that most distinguishes this program from a single-organization values rollout: leadership modeling cannot be Bouregreg executives alone teaching Tangier what to do. Fatima-Zahra Idrissi’s own Tangier leadership team has to model these values just as visibly as Karim Fassi’s Bouregreg leadership team, or “One Bouregreg” reads as one side’s culture with new branding — exactly the failure Section 1.1 names as this case’s central risk.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Coordinate Phase 3 kickoff planning alongside Phase 2’s still-active anchor work.</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Identify the full dual-leadership modeling set — Bouregreg’s exec team and Tangier’s own site leadership (Fatima-Zahra Idrissi and her direct reports) — deliberately as co-equal modelers, not Bouregreg teaching Tangier.</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(Sponsor &amp; Coalition) — add coalition members: Fatima-Zahra Idrissi and two Tangier department leads, alongside the existing Bouregreg-side coalition.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Coalition roster (Tangier-side representation)</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individual modeling-commitment sessions with all eight identified leaders.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1:1 commitment sessions — each leader names one specific, observable behavior per value.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 (CM Charters) — log additional CHTR-01 named commitments as each session completes.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Commitments logged (running count, target 8)</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Fatima-Zahra Idrissi names her own “Speak Plainly Across Sites” commitment publicly at a Tangier team meeting — the first Tangier-side leader, not a Bouregreg one, to model a value in public.</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 (CM Charters) — log Fatima-Zahra Idrissi’s commitment with the public-delivery context noted explicitly.</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First Tangier-side public commitment (delivered)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Complete the modeling-commitment round — all eight leaders (four Bouregreg-side, four Tangier-side) have named specific behaviors.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(Sponsor &amp; Coalition) — update coalition-strength note: “8/8 leaders committed, evenly split Bouregreg/Tangier — coalition strength assessed as Strong for the first time this program.”</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Commitments logged (8 of 8)</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Coordinate the reinforcement-system design brief with Amal Ziani and Hicham Bennani.</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designing a cross-site peer-recognition mechanism — bilingual, visible to both sites equally, not hosted only on a Bouregreg-branded internal system.</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“Recognition System Design Brief” · Body: “Bilingual peer-nomination form; visible dashboard shown at both Tangier and Casablanca; explicitly not badged with either legacy company’s name.”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a distinct non-disciplinary escalation category for “differential treatment by site of origin” concerns — a category a single-organization program would not need.</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“Site-of-Origin Escalation Category Added” · Body: “New M10 (Resistance) root-cause code created: ‘Differential treatment — site of origin,’ routed directly to Amal Ziani rather than either site’s own management chain.”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Task 3.1 (dual-leadership modeling) complete.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a baseline peer-modeling read — mixed Tangier/Bouregreg peers rate each of the eight leaders’ visible modeling, not self-reported.</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“Baseline Peer-Modeling Read” · Body: “Eight leaders rated by mixed-site peer panels; results logged as this program’s modeling baseline, to be re-read at Phase 6 for drift.”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peer-modeling scores (8 leaders)</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Pilot-test the recognition system with a small mixed Tangier/Casablanca group before wider release.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“Recognition System Pilot Test” · Body: “Ten-person mixed group tested the nomination form for two weeks; no usability issues found; bilingual toggle confirmed working correctly for both languages.”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Coordinate hand-off timing with Phase 4’s pilot-cohort selection, starting the same week (Section 4.1, Phase 4).</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recognition and escalation system fixes from the Week 19 pilot test.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“Reinforcement System Finalized for Launch”</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Launch the recognition system for the full 400-person target population, ahead of Phase 4’s pilot units, so the pilot is not the system’s first-ever use.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Message: “Peer recognition system now live — nominate a colleague living one of our four values” · Audience: “All 400” · Channel: “Email + posted at both sites.”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Nominations logged, Week 1 of live use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manager coaching circles (Task 3.3) for People Managers on both sides — Fatima-Zahra Idrissi and Rachid Amrani’s own direct reports.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(Manager as Coach) — first team-scoped ADKAR/modeling heatmap reviewed for the People Manager cohort.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a manager-readiness baseline rating for every People Manager, both Tangier-side and Casablanca-side.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(Manager as Coach) — baseline readiness rating logged per manager, on the same rubric for both sides — deliberately not a separate standard for Tangier managers.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 readiness baseline (all managers)</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Task 3.2 (reinforcement system) complete — recognition and escalation paths both live and exercised.</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“Reinforcement System Build Complete.”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Focus this week’s coaching circle on cross-site managers — supervisors who now oversee staff from the other company’s original workforce, the hardest modeling position in the program.</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(Manager as Coach) — log coaching actions taken for cross-site managers specifically.</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Cross-site manager coaching actions logged</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3 gate: leadership modeling, reinforcement system, and manager readiness all in place.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readiness to proceed to Pilot Cohort execution to the Steering Committee.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second Composite Readiness Index reading, compared against the Week 9 baseline.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CRI trend vs. Week 9 baseline</w:t>
            </w:r>
          </w:p>
        </w:tc>
      </w:tr>
    </w:tbl>
    <w:p>
      <w:pPr>
        <w:pStyle w:val="BodyText"/>
        <w:rPr/>
      </w:pPr>
      <w:bookmarkStart w:id="69" w:name="X15682fd5a1b44043dd4e60b729916023f026d43"/>
      <w:r>
        <w:rPr>
          <w:i/>
          <w:iCs/>
          <w:sz w:val="22"/>
        </w:rPr>
        <w:t>Phase gate: Leadership Modeling &amp; Reinforcement Build closes once all 8 leaders (4 Bouregreg-side, 4 Tangier-side) have logged specific commitments, the reinforcement system is live org-wide, and every People Manager has a baseline readiness rating.</w:t>
      </w:r>
      <w:bookmarkEnd w:id="69"/>
    </w:p>
    <w:p>
      <w:pPr>
        <w:pStyle w:val="Heading4"/>
        <w:rPr/>
      </w:pPr>
      <w:bookmarkStart w:id="70" w:name="phase-4-pilot-cohort-weeks-2034"/>
      <w:r>
        <w:rPr>
          <w:b/>
          <w:color w:val="3F827B"/>
          <w:sz w:val="25"/>
        </w:rPr>
        <w:t>Phase 4 — Pilot Cohort (Weeks 20–34)</w:t>
      </w:r>
    </w:p>
    <w:p>
      <w:pPr>
        <w:pStyle w:val="FirstParagraph"/>
        <w:rPr/>
      </w:pPr>
      <w:r>
        <w:rPr>
          <w:sz w:val="22"/>
        </w:rPr>
        <w:t xml:space="preserve">The pilot pairs one Tangier team with one legacy Bouregreg team deliberately — not two separate, parallel pilots — because the real test is whether the two teams work </w:t>
      </w:r>
      <w:r>
        <w:rPr>
          <w:i/>
          <w:iCs/>
          <w:sz w:val="22"/>
        </w:rPr>
        <w:t>together</w:t>
      </w:r>
      <w:r>
        <w:rPr>
          <w:sz w:val="22"/>
        </w:rPr>
        <w:t xml:space="preserve"> under the new values, not whether each adopts them independently. This is also where journi’s Divergence-adjacent signal for this program first appears: a genuine Desire stall, not a knowledge gap, rooted in an unconfirmed but real fear about Tangier’s future.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Coordinate pilot-pair selection logistics.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 the pilot pair: Tangier Dispatch (30 staff) and Casablanca Supply Chain Liaison (25 staff) — a genuine working pair, not two isolated pilots.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tag both cohorts “Pilot Cohort — Wave 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Capture the pilot baseline: Bridges position, Kübler-Ross sentiment, and current recognition/escalation-system usage, for both teams.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 — Tangier Dispatch: Ending / Denial; Casablanca Liaison: Ending / Resistance-Anger. Justification: “Pre-pilot baseline, Week 21.”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the joint pilot-launch briefing logistics.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Deliver a joint launch briefing for both pilot teams together, not two separate briefings — the pairing is the point.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Message: “Pilot launch — One Bouregreg values in practice” · Audience: “Tangier Dispatch + Casablanca Supply Chain Liaison” · Channel: “In-person, joint session.”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weekly pilot pulse checks (Task 4.2); first ADKAR scores logged for both pilot teams.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both teams: Awareness 4, Desire 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pulse #1</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Task 4.1 (selection and baseline) complete.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pulse #2; no resistance entries yet.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both teams: Awareness 4, Desire 3 (stable).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pulse #2</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pulse #3 — Tangier Dispatch’s Desire score drops to 2, triggering journi’s mandatory barrier-reason note and auto-escalation.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Tangier Dispatch Desire: 2. Barrier note: “Recurring fear about job security post-integration, first surfaced in Week 7 diagnosis, unresolved.”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E2 — Desire Stall at Tangier Pilot begins</w:t>
            </w:r>
            <w:r>
              <w:rPr>
                <w:rFonts w:eastAsia="Cambria" w:cs=""/>
                <w:kern w:val="0"/>
                <w:sz w:val="19"/>
                <w:szCs w:val="24"/>
                <w:lang w:val="en-US" w:eastAsia="en-US" w:bidi="ar-SA"/>
              </w:rPr>
              <w:t xml:space="preserve">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 score trend, Tangier Dispatch</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Investigate whether the Desire stall is a genuine fear or generic pilot fatigue.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open entry: “Desire stall, Tangier Dispatch — root cause under investigation,” linked mitigation action pending.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a targeted listening session with Tangier Dispatch — surfaces an unconfirmed rumor that Tangier’s dispatch function will be consolidated into Casablanca within a year.</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“Tangier Dispatch Listening Session” · Body: “Root fear identified: unconfirmed consolidation rumor, not general pilot fatigue. Escalating to Sponsor for direct response before formalizing further.”</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scheduling Karim Fassi’s direct response session at Tangier.</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Escalate the rumor to Karim Fassi — this is precisely the situation CHTR-01’s “no legacy/acquired language” commitment exists to be tested against.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(Sponsor &amp; Coalition) — add roadmap action: “Direct response to Tangier Dispatch consolidation rumor,” due Week 29.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 Fassi delivers a direct, specific answer in person at Tangier — confirms no consolidation is planned, citing the actual operational reason.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(Sponsor &amp; Coalition) — mark action done. M5 (ADKAR Engine) — schedule Tangier Dispatch Desire re-score for Week 30.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E2 resolves this week</w:t>
            </w:r>
            <w:r>
              <w:rPr>
                <w:rFonts w:eastAsia="Cambria" w:cs=""/>
                <w:kern w:val="0"/>
                <w:sz w:val="19"/>
                <w:szCs w:val="24"/>
                <w:lang w:val="en-US" w:eastAsia="en-US" w:bidi="ar-SA"/>
              </w:rPr>
              <w:t xml:space="preserve"> (full recovery detail in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Re-score confirms recovery: Tangier Dispatch Desire returns to 4.</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Tangier Dispatch Desire: 4. Justification: “Recovered following Karim Fassi’s direct Week 29 response; rumor confirmed false to the team’s satisfaction.”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 re-score outcome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Resume routine weekly pilot monitoring for both teams.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M5/M6 — routine update, both teams trending toward Neutral Zone / Exploration.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compiling the Go/No-Go comparison analysis (Task 4.3).</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Compile baseline-to-current comparison across both pilot teams’ full metric set.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pilot-specific Composite Readiness Index comparison, both teams vs. Week 21 baseline.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comparison analysis to the Steering Committee.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Frame the pilot’s real value explicitly: surfacing and resolving E2 before org-wide rollout, not a clean run with no findings.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“Pilot Readout — E2 Framed as Evidence, Not a Red Flag.”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4 gate: a documented Go decision.</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issues a Go decision, citing the resolved E2 as evidence the response mechanism works under real pressure.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Gate decision (Go / Conditional / No-Go)</w:t>
            </w:r>
          </w:p>
        </w:tc>
      </w:tr>
    </w:tbl>
    <w:p>
      <w:pPr>
        <w:pStyle w:val="BodyText"/>
        <w:rPr/>
      </w:pPr>
      <w:bookmarkStart w:id="71" w:name="phase-4-pilot-cohort-weeks-2034"/>
      <w:r>
        <w:rPr>
          <w:i/>
          <w:iCs/>
          <w:sz w:val="22"/>
        </w:rPr>
        <w:t>Phase gate: Pilot Cohort closes with a documented Go once both pilot teams show recovered or stable readings and at least one real exception has been surfaced and resolved through the program’s own mechanisms.</w:t>
      </w:r>
      <w:bookmarkEnd w:id="71"/>
    </w:p>
    <w:p>
      <w:pPr>
        <w:pStyle w:val="Heading4"/>
        <w:rPr/>
      </w:pPr>
      <w:bookmarkStart w:id="72" w:name="Xcbdc43dc5c1b8c0bfb1b9ec6a696e1d88786eb5"/>
      <w:r>
        <w:rPr>
          <w:b/>
          <w:color w:val="3F827B"/>
          <w:sz w:val="25"/>
        </w:rPr>
        <w:t>Phase 5 — Organization-Wide Rollout (Weeks 32–50)</w:t>
      </w:r>
    </w:p>
    <w:p>
      <w:pPr>
        <w:pStyle w:val="FirstParagraph"/>
        <w:rPr/>
      </w:pPr>
      <w:r>
        <w:rPr>
          <w:sz w:val="22"/>
        </w:rPr>
        <w:t>Rollout is sequenced in two waves rather than launched to all 400 at once, and the champion network is scaled with a deliberate parity target — roughly equal numbers of Tangier-side and Bouregreg-side champions — so the network itself does not quietly become another place where one side leads and the other follows.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champion network scale-up, recruiting first from the two pilot teams — the program’s natural early advocates.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tag initial champion cohort, sourced from Pilot Wave 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Recruit additional champions across remaining Tangier departments and Casablanca counterpart functions, holding a deliberate roughly 1:1 site ratio.</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“Champion Recruitment in Progress — Parity Tracked.”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network reaches 40 people, 20 Tangier-side and 20 Bouregreg-side — the parity target explicitly met, not left to chance.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“Champion Network Parity Confirmed — 20/20.”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count parity (Tangier vs. Bouregreg-side)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org-wide launch-sequencing planning (Task 5.2).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Sequence the remaining 360 staff into two waves: Wave 1 (remaining Tangier departments plus directly Tangier-adjacent Casablanca functions); Wave 2 (broader Casablanca counterpart functions with less direct Tangier contact).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(WBS &amp; Gantt) — log the two-wave sequence against the baseline schedule.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Prepare the Wave 1 launch briefing using the pilot’s real evidence, including E2’s resolution, as proof rather than generic messaging.</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Message: “One Bouregreg — Wave 1 launch, evidence from the pilot” · Audience: “Wave 1 (Tangier remainder + adjacent Casablanca functions).”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Wave 1 launches — remaining Tangier departments and adjacent Casablanca functions go live on the full values program.</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status updated to “sent.”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Task 5.1 (champion scale-up) complete alongside the Wave 1 launch.</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the Wave 1 first-week pulse check across newly launched cohorts.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Wave 1 baseline: Awareness 4, Desire 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Wave 1 monitoring; hold the first cross-site champion community-of-practice session.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Workshop · Title: “First Cross-Site Champion Community of Practice.”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Wave 2 launch preparation — broader Casablanca counterpart functions.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Wave 2 briefing drafted.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Wave 2 launches.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status updated to “sent.”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First systemic-pattern signal: multiple Wave 2 staff — who have markedly less direct Tangier contact than Wave 1 or the pilot — show Knowledge and Ability both ≥ 4 on M5 while Bridges still reads exactly “Ending” on M6.</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shows Knowledge 4, Ability 4 for the flagged Wave 2 cohort; M6 (Emotional &amp; Transition Layer) shows Bridges “Ending” — journi’s Divergence Pattern condition (ALT-001) is met.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E3 — Divergence Pattern at Rollout begins</w:t>
            </w:r>
            <w:r>
              <w:rPr>
                <w:rFonts w:eastAsia="Cambria" w:cs=""/>
                <w:kern w:val="0"/>
                <w:sz w:val="19"/>
                <w:szCs w:val="24"/>
                <w:lang w:val="en-US" w:eastAsia="en-US" w:bidi="ar-SA"/>
              </w:rPr>
              <w:t xml:space="preserve">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ALT-001 firing status</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Investigate root cause: Wave 2 staff largely lack the direct, lived cross-site contact Wave 1 and the pilot had — the values are understood but never actually tested against a real Tangier interaction.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log: “Divergence Pattern, Wave 2 — root cause: low direct cross-site contact, not disbelief or fear.”</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E3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a “paired exposure” fix — structured joint work sessions between flagged Wave 2 staff and their actual Tangier counterparts, even where day-to-day work doesn’t naturally require contact.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“Paired-Exposure Fix Designed for Divergence Pattern.”</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E3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Coordinate paired-exposure session scheduling alongside Phase 6’s start (Section 4.1, Phase 6).</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Roll out paired-exposure sessions to the flagged Wave 2 cohort.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Message: “Paired working sessions — meet your Tangier counterpart” · Audience: “Flagged Wave 2 cohort.”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E3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Re-check the Bridges reading for the flagged cohort two weeks into paired exposure — early movement toward Neutral Zone visible.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 — Bridges: “Ending → Neutral Zone (trending),” justification citing early paired-exposure results.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E3 trending toward resolution</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reading trend, flagged cohort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recovery: the flagged cohort now reads Neutral Zone, matching its already-strong ADKAR scores — the divergence is closed.</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 — Bridges: “Neutral Zone,” justification: “Recovered following paired-exposure sessions, confirmed Week 47.”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E3 resolved this week</w:t>
            </w:r>
            <w:r>
              <w:rPr>
                <w:rFonts w:eastAsia="Cambria" w:cs=""/>
                <w:kern w:val="0"/>
                <w:sz w:val="19"/>
                <w:szCs w:val="24"/>
                <w:lang w:val="en-US" w:eastAsia="en-US" w:bidi="ar-SA"/>
              </w:rPr>
              <w:t xml:space="preserve"> (full recovery detail in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Formalize the systemic-pattern-alert response as a standing playbook — this fix is documented for reuse, not a one-off.</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“Divergence-Pattern Response Playbook Documented.”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an org-wide pulse check across all 400 staff, both waves plus the original pilot.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org-wide Composite Readiness Index reading.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5 gate: all 400 staff live, champion network stable, the one systemic pattern found and resolved.</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rollout completion to the Steering Committee.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Rollout completion (400/400)</w:t>
            </w:r>
          </w:p>
        </w:tc>
      </w:tr>
    </w:tbl>
    <w:p>
      <w:pPr>
        <w:pStyle w:val="BodyText"/>
        <w:rPr/>
      </w:pPr>
      <w:bookmarkStart w:id="73" w:name="Xcbdc43dc5c1b8c0bfb1b9ec6a696e1d88786eb5"/>
      <w:r>
        <w:rPr>
          <w:i/>
          <w:iCs/>
          <w:sz w:val="22"/>
        </w:rPr>
        <w:t>Phase gate: Organization-Wide Rollout closes once all 400 target staff are live on the program and the Wave 2 divergence pattern is confirmed resolved, not merely flagged.</w:t>
      </w:r>
      <w:bookmarkEnd w:id="73"/>
    </w:p>
    <w:p>
      <w:pPr>
        <w:pStyle w:val="Heading4"/>
        <w:rPr/>
      </w:pPr>
      <w:bookmarkStart w:id="74" w:name="X3eea1d62c36db0e7884b3d5299973e3fb673170"/>
      <w:r>
        <w:rPr>
          <w:b/>
          <w:color w:val="3F827B"/>
          <w:sz w:val="25"/>
        </w:rPr>
        <w:t>Phase 6 — Reinforcement Through Skepticism (Weeks 45–68)</w:t>
      </w:r>
    </w:p>
    <w:p>
      <w:pPr>
        <w:pStyle w:val="FirstParagraph"/>
        <w:rPr/>
      </w:pPr>
      <w:r>
        <w:rPr>
          <w:sz w:val="22"/>
        </w:rPr>
        <w:t>The longest phase in the program, and the one built to absorb the two hardest realistic setbacks in this guide’s scenario: a corporate narrative that gets ahead of the actual culture work, and a specific incident that tests whether “Equal Standing” holds when it actually costs the acquiring side something.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Set up monthly cynicism/trust pulse monitoring, live from this week onward (overlaps Phase 5’s E3 resolution work).</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“Cynicism Pulse Monitoring Live.”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(E3 active — see Phase 5, Week 45)</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routine monitoring.</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 — routine update.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(E3 trending — see Phase 5, Week 46)</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routine monitoring.</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 routine update.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(E3 resolved — see Phase 5, Week 47)</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First monthly cynicism pulse survey administered, both sites.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“Cynicism Pulse #1 Administered.”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Pulse score, by site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Pulse #1 results — stable, no threshold breach.</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routine CRI update.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 up the Divergence Review Board (Nadia Chraibi, Amal Ziani, one rotating manager per site).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“Divergence Review Board Formed.”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Review Board’s first weekly session — no open alerts to review yet.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Second monthly cynicism pulse; stable.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Pulse #2 logged.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Pulse score, by site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Routine monitoring continues.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 routine update.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Routine monitoring continues.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 routine update.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Third monthly cynicism pulse; stable.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Pulse #3 logged.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Pulse score, by site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Bouregreg Group’s Board issues a public “One Bouregreg — Integration Complete” statement, timed to the fiscal year-end.</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Flag immediately: the Board’s corporate/brand milestone is real, but Lewin is still logged as </w:t>
            </w:r>
            <w:r>
              <w:rPr>
                <w:rFonts w:eastAsia="Cambria" w:cs=""/>
                <w:b/>
                <w:bCs/>
                <w:kern w:val="0"/>
                <w:sz w:val="19"/>
                <w:szCs w:val="24"/>
                <w:lang w:val="en-US" w:eastAsia="en-US" w:bidi="ar-SA"/>
              </w:rPr>
              <w:t>Change</w:t>
            </w:r>
            <w:r>
              <w:rPr>
                <w:rFonts w:eastAsia="Cambria" w:cs=""/>
                <w:kern w:val="0"/>
                <w:sz w:val="19"/>
                <w:szCs w:val="24"/>
                <w:lang w:val="en-US" w:eastAsia="en-US" w:bidi="ar-SA"/>
              </w:rPr>
              <w:t>, not Refreeze — the two clocks are not the same clock.</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 — Lewin remains “Change,” explicit note added: “Corporate ‘Integration Complete’ announcement, Week 56 (Board/brand milestone) does not itself constitute a Lewin Refreeze call — evidence does not yet support it.”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E4 — Premature “Integration Complete” Declaration begins</w:t>
            </w:r>
            <w:r>
              <w:rPr>
                <w:rFonts w:eastAsia="Cambria" w:cs=""/>
                <w:kern w:val="0"/>
                <w:sz w:val="19"/>
                <w:szCs w:val="24"/>
                <w:lang w:val="en-US" w:eastAsia="en-US" w:bidi="ar-SA"/>
              </w:rPr>
              <w:t xml:space="preserve">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Gap between corporate narrative and Lewin state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drafting an internal clarifying message distinguishing the two milestones.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the clarifying communication: what the Board’s announcement means (a real, positive corporate milestone) and does not mean (that reinforcement work is finished).</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Message: “What ‘Integration Complete’ means — and what it doesn’t” · Audience: “All 400.”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E4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Deliver the clarifying message; monitor cynicism pulse for any spike from staff reading the Board statement as premature or dismissive.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“Clarifying Message Delivered — Monitoring for Cynicism Spike.”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E4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Cynicism pulse, this week specifically</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no material cynicism spike resulted — the clarifying message landed as intended.</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Composite Readiness Index unchanged week over week.</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E4 continues (formal resolution pending Lewin annotation)</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Formally mark Lewin “Change → Refreeze (provisional)” — an honest middle state, not a premature Refreeze and not a denial of real progress.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 — Lewin: “Change → Refreeze (provisional).” Justification: “Board milestone real; sustainment evidence not yet sufficient for a confirmed Refreeze call. Provisional state set explicitly rather than left ambiguous.”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E4 resolved this week</w:t>
            </w:r>
            <w:r>
              <w:rPr>
                <w:rFonts w:eastAsia="Cambria" w:cs=""/>
                <w:kern w:val="0"/>
                <w:sz w:val="19"/>
                <w:szCs w:val="24"/>
                <w:lang w:val="en-US" w:eastAsia="en-US" w:bidi="ar-SA"/>
              </w:rPr>
              <w:t xml:space="preserve"> (full detail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Detect a sustained pattern in the last three Composite Readiness Index readings: Tangier’s cohort score consistently trails the Casablanca-counterpart cohort by a real, non-noise margin.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cohort-level CRI comparison logged: Tangier trailing by a sustained margin across Weeks 55–61.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E6 — Cross-Site Cohort Divergence detected</w:t>
            </w:r>
            <w:r>
              <w:rPr>
                <w:rFonts w:eastAsia="Cambria" w:cs=""/>
                <w:kern w:val="0"/>
                <w:sz w:val="19"/>
                <w:szCs w:val="24"/>
                <w:lang w:val="en-US" w:eastAsia="en-US" w:bidi="ar-SA"/>
              </w:rPr>
              <w:t xml:space="preserve">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Tangier vs. Casablanca-counterpart CRI gap</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Coordinate the CRI-gap root-cause review alongside Phase 7’s start (Section 4.1, Phase 7).</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root-cause review of the CRI gap — is it a measurement artifact, a genuinely slower recovery from the acquisition’s power imbalance, or something new?</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“CRI Gap Root-Cause Review Opened.”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E6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gap is real, not an artifact — traces back to Tangier’s later program start (this program began at Tangier’s diagnosis, not before) and the deeper trust deficit Section 1.1 named from the start.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log: “CRI gap root cause: structural, tied to program-start timing and the acquisition’s inherent trust deficit — not a new issue.”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E6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a targeted Tangier-specific reinforcement push — additional champion capacity and a Tangier-only listening session, without treating the gap as a Tangier deficiency to be corrected.</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“Targeted Tangier Reinforcement Push Designed.”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E6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newly created “combined regional” role passes over a tenured Tangier candidate in favor of a less-tenured Bouregreg-side candidate.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Sentiment among Tangier staff regresses sharply — Kübler-Ross reading moves back from Exploration toward Resistance/Anger, read as direct evidence “Equal Standing” is not real in practice.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 — Tangier cohort: Kübler-Ross “Exploration → Resistance/Anger.” Justification: “Regression tied to a specific, named perceived-fairness incident, not a diffuse mood shift.”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E5 — Sentiment Regression begins</w:t>
            </w:r>
            <w:r>
              <w:rPr>
                <w:rFonts w:eastAsia="Cambria" w:cs=""/>
                <w:kern w:val="0"/>
                <w:sz w:val="19"/>
                <w:szCs w:val="24"/>
                <w:lang w:val="en-US" w:eastAsia="en-US" w:bidi="ar-SA"/>
              </w:rPr>
              <w:t xml:space="preserve">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 reading, Tangier cohort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a transparent review of the promotion decision’s actual criteria.</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Investigate the promotion decision directly rather than defend it reflexively; confirm whether the criteria applied were genuinely consistent or not.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log the incident and the review’s finding, whatever it is, without pre-deciding the outcome.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E5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reopening the role’s process with proper cross-site posting.</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review finds a real procedural gap: the role was never posted at Tangier before the decision was made — not necessarily conscious bias, but a structural gap with the same effect. Reopen the process with cross-site posting and communicate the fix transparently.</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Message: “Combined regional role — process reopened, cross-site posting now required for all combined roles going forward” · Audience: “All 400.”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E5 continues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6 gate: cynicism monitoring stable, E4/E5/E6 all resolved.</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Re-check Tangier sentiment — early recovery visible; log the process fix as a permanent policy change, not a one-time correction.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 — Tangier cohort: Kübler-Ross “Resistance/Anger → Exploration (recovering).” M21 — Category: Decision · Title: “Cross-Site Posting Now Standing Policy for Combined Roles.”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E5 resolved this week; E6 resolved this week</w:t>
            </w:r>
            <w:r>
              <w:rPr>
                <w:rFonts w:eastAsia="Cambria" w:cs=""/>
                <w:kern w:val="0"/>
                <w:sz w:val="19"/>
                <w:szCs w:val="24"/>
                <w:lang w:val="en-US" w:eastAsia="en-US" w:bidi="ar-SA"/>
              </w:rPr>
              <w:t xml:space="preserve"> (both detailed in Section 4.2)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CRI gap narrowing; Kübler-Ross recovery</w:t>
            </w:r>
          </w:p>
        </w:tc>
      </w:tr>
    </w:tbl>
    <w:p>
      <w:pPr>
        <w:pStyle w:val="BodyText"/>
        <w:rPr/>
      </w:pPr>
      <w:bookmarkStart w:id="75" w:name="X3eea1d62c36db0e7884b3d5299973e3fb673170"/>
      <w:r>
        <w:rPr>
          <w:i/>
          <w:iCs/>
          <w:sz w:val="22"/>
        </w:rPr>
        <w:t>Phase gate: Reinforcement Through Skepticism closes once the cynicism pulse has held stable for two consecutive months, the Lewin provisional-Refreeze state is confirmed correct rather than premature, and the cross-site CRI gap is confirmed narrowing rather than static.</w:t>
      </w:r>
      <w:bookmarkEnd w:id="75"/>
    </w:p>
    <w:p>
      <w:pPr>
        <w:pStyle w:val="Heading4"/>
        <w:rPr/>
      </w:pPr>
      <w:bookmarkStart w:id="76" w:name="X0beabf0a3efc7641736c0e9fff73cffdb9bc1c2"/>
      <w:r>
        <w:rPr>
          <w:b/>
          <w:color w:val="3F827B"/>
          <w:sz w:val="25"/>
        </w:rPr>
        <w:t>Phase 7 — Institutionalization (Weeks 62–78, open-ended beyond)</w:t>
      </w:r>
    </w:p>
    <w:p>
      <w:pPr>
        <w:pStyle w:val="FirstParagraph"/>
        <w:rPr/>
      </w:pPr>
      <w:r>
        <w:rPr>
          <w:sz w:val="22"/>
        </w:rPr>
        <w:t>Deliberately overlaps Phase 6 by several weeks: HR policy integration begins while Phase 6’s exceptions are still being resolved, and the Week 67 cross-site-posting fix (Section 4.1, Phase 6) becomes one of this phase’s own standing policies rather than a separate patch. Institutionalization closes with a Refreeze justification signed on the evidentiary record, not the acquisition’s own press-release timeline.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2"/>
        <w:gridCol w:w="1751"/>
        <w:gridCol w:w="1752"/>
        <w:gridCol w:w="1753"/>
        <w:gridCol w:w="1751"/>
        <w:gridCol w:w="1752"/>
      </w:tblGrid>
      <w:tr>
        <w:trPr>
          <w:tblHeader w:val="true"/>
          <w:cantSplit w:val="true"/>
        </w:trPr>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17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17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17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Coordinate policy-integration planning alongside the active E6 root-cause review (Section 4.1, Phase 6).</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HR policy integration — unify hiring and onboarding criteria to include the four values, applied identically at Tangier and Casablanca-side hiring.</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“HR Policy Integration Begins.”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(E6 active — see Phase 6, Week 62)</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policy integration; update the performance-review template with one behavior-anchored item per value.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(E6 continues — see Phase 6, Week 63)</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equal application across both former companies’ HR systems — a real system-integration task, not only a cultural one.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(E6 continues — see Phase 6, Week 64)</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Pause non-critical policy announcements this week, given the Week 65 sentiment-regression incident’s sensitivity — deliberately not compounding it with unrelated HR news.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“Policy Announcements Paused, Week 65.”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(E5 active — see Phase 6, Week 65)</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policy integration work quietly, without new announcements.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(E5 continues — see Phase 6, Week 66)</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Incorporate the cross-site-posting fix (Phase 6, Week 67) directly into the broader policy integration — it becomes a standing unified policy, not a standalone patch.</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 cross-referencing Phase 6’s policy entry.</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(E5 continues — see Phase 6, Week 67)</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HR policy integration substantively complete — hiring, performance-review, and role-posting criteria all unified across both former companies.</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“HR Policy Integration Substantively Complete.”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(E5, E6 resolved — see Phase 6, Week 68)</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compiling the full evidentiary record for the eventual Refreeze justification — every exception, every CRI reading, every resolved gap.</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 (Journeys &amp; Analytics) — log End User journey evidence per touchpoint: first joint town hall (Week 6), first paired-exposure session (Week 45), first cross-site champion session (Week 39).</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70</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evidentiary compilation.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 — additional touchpoint evidence logged.</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71</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CRI gap (E6) has continued narrowing since the Week 68 fix — verifying durability, not a one-time reading.</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CRI gap trend confirmed narrowing over three consecutive readings.</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CRI gap trend, post-fix durability</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72</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Spot-check that hiring managers at both sites are actually applying the unified policy, not merely aware of it.</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Other · Title: “Policy Application Spot-Check — Both Sites Confirmed Compliant.”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73</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the Refreeze justification, citing the full record: Sponsor Coverage Gap closed early (E1), two resolved readiness stalls (E2, E3), a durable policy fix from a real fairness incident (E5), and a confirmed-narrowing cross-site gap (E6).</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“Refreeze Justification — Draft.”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74</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draft justification to the Steering Committee alongside the governance handover outline.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draft Refreeze justification to Karim Fassi and the Steering Committee for review.</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Incorporate Steering Committee feedback into the final justification.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“Refreeze Justification — Revised per Steering Committee.”</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76</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drafting the governance handover package.</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formally reviews and signs the Refreeze justification.</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M3 (Initiative Registry) — Lewin: </w:t>
            </w:r>
            <w:r>
              <w:rPr>
                <w:rFonts w:eastAsia="Cambria" w:cs=""/>
                <w:b/>
                <w:bCs/>
                <w:kern w:val="0"/>
                <w:sz w:val="19"/>
                <w:szCs w:val="24"/>
                <w:lang w:val="en-US" w:eastAsia="en-US" w:bidi="ar-SA"/>
              </w:rPr>
              <w:t>“Refreeze (confirmed).”</w:t>
            </w:r>
            <w:r>
              <w:rPr>
                <w:rFonts w:eastAsia="Cambria" w:cs=""/>
                <w:kern w:val="0"/>
                <w:sz w:val="19"/>
                <w:szCs w:val="24"/>
                <w:lang w:val="en-US" w:eastAsia="en-US" w:bidi="ar-SA"/>
              </w:rPr>
              <w:t xml:space="preserve"> Justification: full citation of the evidentiary record compiled Weeks 69–75.</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 state (confirmed Refreeze)</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77</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governance handover package: ownership transfers from the dedicated integration team to standing site leadership — Fatima-Zahra Idrissi, Rachid Amrani, and their People Manager counterparts.</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handover package names an ongoing owner for the champion network and recognition system, plus a 6- and 12-month post-handover checkpoint schedule.</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log the first sustainment checkpoint, quick wins to date, and a running lessons-learned entry.</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78</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program close — governance formally handed to standing site leadership.</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Toggle the sustainment sign-off; the dedicated program closes this week, with reinforcement continuing as standing site operations rather than a dedicated program team.</w:t>
            </w:r>
          </w:p>
        </w:tc>
        <w:tc>
          <w:tcPr>
            <w:tcW w:w="17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M12 (Sustainment) — sign-off toggle: </w:t>
            </w:r>
            <w:r>
              <w:rPr>
                <w:rFonts w:eastAsia="Cambria" w:cs=""/>
                <w:b/>
                <w:bCs/>
                <w:kern w:val="0"/>
                <w:sz w:val="19"/>
                <w:szCs w:val="24"/>
                <w:lang w:val="en-US" w:eastAsia="en-US" w:bidi="ar-SA"/>
              </w:rPr>
              <w:t>set</w:t>
            </w:r>
            <w:r>
              <w:rPr>
                <w:rFonts w:eastAsia="Cambria" w:cs=""/>
                <w:kern w:val="0"/>
                <w:sz w:val="19"/>
                <w:szCs w:val="24"/>
                <w:lang w:val="en-US" w:eastAsia="en-US" w:bidi="ar-SA"/>
              </w:rPr>
              <w:t xml:space="preserve">. M17 (WBS &amp; Gantt) — final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17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7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 (toggled); 6/12-month checkpoints scheduled</w:t>
            </w:r>
          </w:p>
        </w:tc>
      </w:tr>
    </w:tbl>
    <w:p>
      <w:pPr>
        <w:pStyle w:val="BodyText"/>
        <w:rPr/>
      </w:pPr>
      <w:bookmarkStart w:id="77" w:name="normal-flow-phase-by-phase"/>
      <w:bookmarkStart w:id="78" w:name="X0beabf0a3efc7641736c0e9fff73cffdb9bc1c2"/>
      <w:r>
        <w:rPr>
          <w:i/>
          <w:iCs/>
          <w:sz w:val="22"/>
        </w:rPr>
        <w:t>Phase gate: Institutionalization — and the program itself — closes once the Refreeze justification is signed on evidence rather than the acquisition’s own announcement timeline, and governance is handed to standing site leadership with a defined post-handover checkpoint schedule. Reinforcement continues beyond Week 78 as standing operations, consistent with journi’s Cross-Type Comparison Matrix rating this archetype’s institutionalization as open-ended rather than date-bound.</w:t>
      </w:r>
      <w:bookmarkEnd w:id="77"/>
      <w:bookmarkEnd w:id="78"/>
    </w:p>
    <w:p>
      <w:pPr>
        <w:pStyle w:val="Heading3"/>
        <w:rPr/>
      </w:pPr>
      <w:bookmarkStart w:id="79" w:name="__RefHeading___Toc13025_4275001085"/>
      <w:bookmarkStart w:id="80" w:name="Xc6b73c5214ce25f3e31cd7181b649bb6e2db9fd"/>
      <w:bookmarkEnd w:id="79"/>
      <w:r>
        <w:rPr>
          <w:b/>
          <w:color w:val="275650"/>
          <w:sz w:val="29"/>
        </w:rPr>
        <w:t>4.2 Master WBS &amp; Gantt — Every Task and Step, PM and CM Tracks, Across the Four Frameworks</w:t>
      </w:r>
    </w:p>
    <w:p>
      <w:pPr>
        <w:pStyle w:val="FirstParagraph"/>
        <w:rPr/>
      </w:pPr>
      <w:r>
        <w:rPr>
          <w:sz w:val="22"/>
        </w:rPr>
        <w:t>The table below lists every Task and Step from the 78-week program above at its own granularity — not a week-by-week repeat of Section 4.1, but the task/step structure Section 4.1’s weeks are built from, cross-referenced against journi’s four frameworks at the point each step closes.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13"/>
        <w:gridCol w:w="1314"/>
        <w:gridCol w:w="1314"/>
        <w:gridCol w:w="1314"/>
        <w:gridCol w:w="1314"/>
        <w:gridCol w:w="1314"/>
        <w:gridCol w:w="1314"/>
        <w:gridCol w:w="1313"/>
      </w:tblGrid>
      <w:tr>
        <w:trPr>
          <w:tblHeader w:val="true"/>
          <w:cantSplit w:val="true"/>
        </w:trPr>
        <w:tc>
          <w:tcPr>
            <w:tcW w:w="131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Lewin</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ADKAR</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Bridges</w:t>
            </w:r>
          </w:p>
        </w:tc>
        <w:tc>
          <w:tcPr>
            <w:tcW w:w="131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Kübler-Ross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Dual-site discovery workshops (Tangier + Casablanca)</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Dual-culture baseline diagnosis compiled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Coverage Gap detected (ALT-003)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Coverage Gap closed — kickoff town hall delivered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Power-imbalance / trust-risk stratified interviews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Trust-deficit finding confirmed — Tangier mid-management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T1.4-S1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Diagnosis readout to Steering Committee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T1.4-S2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 signed with 3 specific commitments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Cross-company co-design workshop series (3 sessions)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Candidates scored; 4 target values ratified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membership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formally seated, cadence set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Behavior anchors drafted and bilingual-tested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9–12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Open-comment cycle; final anchor language locked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13–16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Dual-leadership modeling commitment sessions (8 leaders)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13–15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peer-modeling read, 8 leaders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Recognition + escalation system designed and pilot-tested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16–19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 → 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 system launched org-wide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20–24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 → 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 coaching circles begin, readiness baselined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22–23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Cross-site manager coaching focus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25–26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pair selected — Tangier Dispatch + Casablanca Liaison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baseline captured, both teams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pilot pulse monitoring begins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23–25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 Stall (E2) detected, root-caused, and resolved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25–30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 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 → Resistance/Anger (Tangier, temporary)</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Baseline-to-current pilot comparison analysis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32–33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Documented Go decision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recruitment, dual-site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32–33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parity confirmed (20 Tangier / 20 Bouregreg)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Wave 1 launch — Tangier remainder + adjacent Casablanca</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35–39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Wave 2 launch — broader Casablanca counterparts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 → 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Pattern (E3, ALT-001) detected and root-caused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42–44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(flagged cohort)</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Paired-exposure fix deployed; E3 resolved; playbook documented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45–50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 (recovered)</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Monthly cynicism/trust pulse monitoring established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45–55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Premature “Integration Complete” narrative (E4) managed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56–60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 Refreeze (provisional)</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Review Board formed and operating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50–51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 Refreeze (provisional)</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Cross-Site Cohort Divergence (E6) detected and root-caused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61–64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 Refreeze (provisional)</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Sentiment Regression (E5) incident investigated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65–66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 Refreeze (provisional)</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 → Resistance/Anger (Tangier, temporary)</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Cross-site-posting policy fix; E5 and E6 resolved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67–68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 Refreeze (provisional)</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 (trending)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 (recovering)</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HR policy integration (hiring, review, posting criteria)</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62–64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(provisional)</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 (trending)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Policy integration complete and spot-check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68–72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(provisional)</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 (trending)</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evidentiary record compiled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69–75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(provisional)</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justification signed — Lewin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Refreeze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Governance handover package finalized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 toggled; program closes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bl>
    <w:p>
      <w:pPr>
        <w:pStyle w:val="BodyText"/>
        <w:rPr/>
      </w:pPr>
      <w:bookmarkStart w:id="81" w:name="Xc6b73c5214ce25f3e31cd7181b649bb6e2db9fd"/>
      <w:r>
        <w:rPr>
          <w:i/>
          <w:iCs/>
          <w:sz w:val="22"/>
        </w:rPr>
        <w:t>Table 4.2.1 — Master WBS &amp; Gantt, framework view. All 44 Task/Step rows, both PM and CM tracks, across the full 78-week program.</w:t>
      </w:r>
      <w:bookmarkEnd w:id="81"/>
    </w:p>
    <w:p>
      <w:pPr>
        <w:pStyle w:val="Heading3"/>
        <w:rPr/>
      </w:pPr>
      <w:bookmarkStart w:id="82" w:name="__RefHeading___Toc13027_4275001085"/>
      <w:bookmarkStart w:id="83" w:name="Xbfc2cab260ff0d2b037d8bdcc38cc8d05e3256b"/>
      <w:bookmarkEnd w:id="82"/>
      <w:r>
        <w:rPr>
          <w:b/>
          <w:color w:val="275650"/>
          <w:sz w:val="29"/>
        </w:rPr>
        <w:t>4.3 Master WBS &amp; Gantt — Every Task and Step, Techniques and Tools</w:t>
      </w:r>
    </w:p>
    <w:p>
      <w:pPr>
        <w:pStyle w:val="FirstParagraph"/>
        <w:rPr/>
      </w:pPr>
      <w:r>
        <w:rPr>
          <w:sz w:val="22"/>
        </w:rPr>
        <w:t>The same 44 Task/Step rows as Section 4.2, this time with the technique used at each step, its goal, its execution detail, and the recommended tool — the operational companion to the framework view above.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13"/>
        <w:gridCol w:w="1314"/>
        <w:gridCol w:w="1314"/>
        <w:gridCol w:w="1314"/>
        <w:gridCol w:w="1314"/>
        <w:gridCol w:w="1314"/>
        <w:gridCol w:w="1314"/>
        <w:gridCol w:w="1313"/>
      </w:tblGrid>
      <w:tr>
        <w:trPr>
          <w:tblHeader w:val="true"/>
          <w:cantSplit w:val="true"/>
        </w:trPr>
        <w:tc>
          <w:tcPr>
            <w:tcW w:w="131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Name</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Goal</w:t>
            </w:r>
          </w:p>
        </w:tc>
        <w:tc>
          <w:tcPr>
            <w:tcW w:w="131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Details</w:t>
            </w:r>
          </w:p>
        </w:tc>
        <w:tc>
          <w:tcPr>
            <w:tcW w:w="131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Recommended Tool</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Dual-site discovery workshops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Mixed-site current-state workshop</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Capture each site’s real ways of working without either side presenting to the other.</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Separate site-hosted sessions, same structured facilitation guide, findings compared afterward rather than debated live.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 (workshop notes)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diagnosis compiled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Cross-site contrast compilation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Turn two workshops’ findings into one comparison document, not two separate reports.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 findings as paired contrasts (“Tangier does X; Bouregreg does Y”) rather than a merged narrative that erases the difference.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Coverage Gap detected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action-count monitoring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Detect an inactive Sponsor from journi’s own record, not a subjective impression.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 M7 (Sponsor &amp; Coalition) weekly for any logged Sponsor action; flag at zero actions by Week 4.</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M7 — Sponsor &amp; Coalition</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Coverage Gap closed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In-person kickoff town hall, delivered at Tangier</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Convert the Sponsor’s first action into a maximally credible one — delivered where trust is lowest, not where it’s easiest.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 Fassi delivers in person at Tangier Distribution Center, livestreamed to Casablanca, rather than the reverse.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BigBlueButton / Jitsi (livestream)</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Trust-risk stratified interviews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Stratified confidential interview</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Surface the specific texture of the trust gap, not just its existence.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Sample weighted toward Tangier mid-management, interviewed confidentially under a non-disciplinary protocol.</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Nextcloud Forms (consent) + Taguette (coding)</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Trust-deficit finding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Cohort severity re-rating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Convert an interview finding into an actionable, trackable severity rating.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Update the Tangier mid-management cohort’s severity to Critical on the Stakeholder Map, distinct from the frontline rating.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M4 — Stakeholder Mapping</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T1.4-S1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Diagnosis readout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Evidence-based executive briefing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Convert findings into a business case the Steering Committee cannot dismiss as anecdote.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dual-culture baseline, the trust-gap finding, and the closed Sponsor gap together as one coherent readiness picture.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Impress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T1.4-S2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 signed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Charter co-signing session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Convert verbal Sponsor buy-in into specific, individually-owned commitments.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Walk Karim Fassi through CHTR-01 line by line; log three named, checkable commitments, not a general pledge.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M19 — CM Charters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Co-design workshop series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Mixed-group value co-design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Generate candidate values from both workforces’ lived experience, not a values list handed down.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Three sessions, each a genuinely mixed Tangier/Casablanca small group; the third the program’s first fully joint session.</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Excalidraw (affinity mapping)</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Values ratified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Weighted prioritization scoring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Narrow candidates to four using criteria tied directly to the diagnosis, not popularity.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Score against: behaviorally observable; addresses a named trust-gap finding; distinct from the other candidates.</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membership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Governance structure formation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 up decision rights and cadence before the first real decision is needed.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five named members spanning both sites’ leadership, not weighted toward the acquiring company.</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seated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cadence confirmation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Lock in a monthly governance rhythm for the program’s life.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First formal session held; cadence and quorum rules confirmed and logged.</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Behavior anchors drafted, bilingual-tested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9–12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Behaviorally-anchored definition + language check</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Make each value concrete and confirm it reads identically in French and Arabic.</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“looks like / doesn’t look like” anchors per value; run a dedicated bilingual review pass before publication.</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Open-comment cycle; anchors locked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13–16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Open-comment publication cycle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Let both workforces shape the final language before lock-in, not just the workshop participants.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Two-week open window, both sites; material feedback (not just wording) routed back to the working group before lock-in.</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Nextcloud Forms + BookStack</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Dual-leadership modeling commitments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13–15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Specific behavior-commitment session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Convert charter language into one observable behavior per leader, split evenly across both companies’ leadership.</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1:1 sessions with all eight leaders (four Bouregreg-side, four Tangier-side); each names one specific, checkable behavior.</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M19 — CM Charters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peer-modeling read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Peer-rated modeling assessment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Establish a baseline that isn’t self-reported, to detect drift later.</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Mixed-site peer panels rate each of the 8 leaders’ visible modeling; logged as this program’s baseline for later comparison.</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LimeSurvey</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 system designed and pilot-tested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16–19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Bilingual recognition + escalation system design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 reinforcement mechanisms that work equally for both sites before wider release.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Peer-recognition form and a distinct “differential treatment by site of origin” escalation category; pilot-tested with a small mixed group.</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Nextcloud Forms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 system launched org-wide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20–24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Org-wide reinforcement launch</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Get the system live before the pilot cohort, so the pilot isn’t the system’s first real use.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Launch to all 400, with the escalation category already tested and the recognition dashboard visible at both sites.</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 coaching circles begin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22–23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Team-scoped coaching, not classroom training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 manager capability without MP-05, which this archetype’s chain does not use.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Coaching circles per M11’s team-scoped heatmap; readiness baselined per manager on one shared rubric for both sites.</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M11 — Manager as Coach</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Cross-site manager coaching focus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25–26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Targeted coaching for cross-site supervisors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Give the hardest modeling position — a supervisor overseeing the other company’s original staff — focused support.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One dedicated coaching session per cross-site manager, addressing their specific dual-audience modeling challenge.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M11 — Manager as Coach</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pair selected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Paired (not parallel) pilot selection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 whether the two workforces work together under the new values, not just whether each adopts independently.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 one Tangier team and one directly-interfacing Casablanca team as a genuine working pair.</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baseline captured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baseline capture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Give the eventual Go/No-Go comparison a real pre-pilot reference point.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Bridges, Kübler-Ross, ADKAR, and reinforcement-system usage for both pilot teams before launch.</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M5 / M6</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pulse monitoring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23–25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pilot pulse check</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Catch a problem while it’s still small, on a cadence tight enough for a live pilot.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Short weekly survey, both teams, reviewed every Friday against that week’s resistance-entry log.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LimeSurvey + Metabase</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 Stall (E2) resolved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25–30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Root-cause listening + direct Sponsor response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Distinguish a genuine fear from generic pilot fatigue, then answer it credibly.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Targeted listening session surfaces the specific rumor; Sponsor delivers a direct, specific, in-person answer.</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BigBlueButton / Jitsi</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comparison analysis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32–33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Baseline-to-current comparison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Judge the pilot on its measured delta, not how it felt to run.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Compare both teams’ current readings against their Week 21 baseline, including the full resistance-entry log.</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Metabase</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 decision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Evidence-based Go/No-Go decision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Make an explicit, minuted decision citing the resolved exception as evidence, not a red flag.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reviews the comparison and E2’s resolution together before voting Go.</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recruitment, dual-site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32–33</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Parity-targeted champion recruitment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Scale the champion network without letting it skew toward the acquiring company’s staff.</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Recruit from both pilot teams first, then remaining departments, tracking the site ratio explicitly as recruitment proceeds.</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M4 — Stakeholder Mapping</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parity confirmed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Parity confirmation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Verify the recruitment target was actually met, not assumed.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and log the 20 Tangier / 20 Bouregreg-side split before Wave 1 launches.</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Wave 1 launch</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35–39</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Evidence-based wave launch</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Launch the population closest to the pilot’s own proof first.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Wave 1 briefing uses the pilot’s real before/after data, including the resolved Desire stall, as evidence.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Wave 2 launch</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Sequenced wave launch</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Let Wave 1’s early lessons reach Wave 2 before it launches.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Wave 2 briefing incorporates anything Wave 1’s first three weeks surfaced.</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Pattern (E3) detected and root-caused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42–44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ALT-001 triage + root-cause investigation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Distinguish a real divergence from a data-quality artifact, then find its actual cause.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Knowledge/Ability-high, Bridges-Ending pattern on M5/M6; trace it to low direct cross-site contact in Wave 2.</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M5 / M6 + Metabase</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Paired-exposure fix; E3 resolved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45–50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Structured paired-exposure sessions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Give the flagged cohort a real cross-site interaction to test the values against.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 working sessions between flagged staff and their actual Tangier counterparts; re-check Bridges two weeks later.</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BigBlueButton / Jitsi</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Cynicism/trust pulse established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45–55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Monthly cynicism pulse survey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Track belief the integration is genuine, on a cadence tight enough to catch a spike early.</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Short monthly survey, both sites, trended against a defined floor threshold.</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LimeSurvey + Metabase</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Integration Complete” narrative managed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56–60</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Two-clock clarifying communication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Separate the corporate/brand milestone from the Lewin Refreeze call explicitly, before staff conflate them.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and deliver a clarifying message; mark Lewin “Change → Refreeze (provisional)” rather than silently implying Refreeze.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M3 — Initiative Registry</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Review Board formed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50–51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triage board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Keep alert triage consistent rather than ad hoc, across a 400-person, two-site population.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Nadia Chraibi, Amal Ziani, and one rotating manager per site, meeting weekly.</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M20 — Journeys &amp; Analytics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Cross-Site Cohort Divergence (E6) detected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61–64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Sustained cohort-gap detection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Catch a real, structural CRI gap, not a single noisy reading.</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Compare Tangier vs. Casablanca-counterpart CRI over three consecutive readings before treating it as a pattern.</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M14 — Analytics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Sentiment Regression (E5) investigated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65–66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Transparent incident review</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Investigate a specific fairness incident on its actual facts, not a reflexive defense.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promotion decision’s real criteria and process, logging the finding regardless of outcome.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M10 — Resistance</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Policy fix; E5 and E6 resolved together</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67–68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policy correction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Fix the structural gap the incident exposed, not just the one case.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Cross-site posting made mandatory for all combined roles going forward; communicated as a permanent policy change.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HR policy integration designed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62–64</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Unified policy design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Bring hiring, review, and posting criteria under one standard for both former companies.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Rewrite interview guides, performance-review templates, and posting rules to apply identically at both sites.</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Policy integration complete, spot-checked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68–72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 spot-check</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policy is actually applied, not just published.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Sample recent hiring and review files from both sites against the new unified criteria.</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T7.2-S1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Evidentiary record compiled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69–75</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evidentiary compilation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Assemble the whole program’s record for a Refreeze decision grounded in evidence, not the acquisition’s own timeline.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Compile every exception, every CRI reading, and the End User journey’s logged touchpoints into one package.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M14 / M20</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T7.2-S2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justification signed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76</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Documented Refreeze sign-off</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Obtain an explicit, minuted decision citing the full record.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reviews and signs; Lewin set to Refreeze (confirmed) with the record as justification.</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M3 — Initiative Registry</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T7.3-S1</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Governance handover package finalized</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77</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Ownership handover package</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Transfer standing ownership before the dedicated program team stands down.</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Name the champion network’s and recognition system’s ongoing owners; set a 6/12-month checkpoint schedule.</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Sustainment</w:t>
            </w:r>
          </w:p>
        </w:tc>
      </w:tr>
      <w:tr>
        <w:trPr>
          <w:cantSplit w:val="true"/>
        </w:trPr>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T7.3-S2</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 program closes</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78</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Formally close the program once evidence, not the calendar, supports it.</w:t>
            </w:r>
          </w:p>
        </w:tc>
        <w:tc>
          <w:tcPr>
            <w:tcW w:w="131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Toggle the M12 sign-off; log the final Phase Gate as Go.</w:t>
            </w:r>
          </w:p>
        </w:tc>
        <w:tc>
          <w:tcPr>
            <w:tcW w:w="131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M17</w:t>
            </w:r>
          </w:p>
        </w:tc>
      </w:tr>
    </w:tbl>
    <w:p>
      <w:pPr>
        <w:pStyle w:val="BodyText"/>
        <w:rPr/>
      </w:pPr>
      <w:bookmarkStart w:id="84" w:name="Xbfc2cab260ff0d2b037d8bdcc38cc8d05e3256b"/>
      <w:r>
        <w:rPr>
          <w:i/>
          <w:iCs/>
          <w:sz w:val="22"/>
        </w:rPr>
        <w:t>Table 4.3.1 — Master WBS &amp; Gantt, technique view. Same 44 rows as Table 4.2.1, with the operational detail behind each step.</w:t>
      </w:r>
      <w:bookmarkEnd w:id="84"/>
    </w:p>
    <w:p>
      <w:pPr>
        <w:pStyle w:val="Heading3"/>
        <w:rPr/>
      </w:pPr>
      <w:bookmarkStart w:id="85" w:name="__RefHeading___Toc13029_4275001085"/>
      <w:bookmarkStart w:id="86" w:name="six-exceptions-in-detail"/>
      <w:bookmarkEnd w:id="85"/>
      <w:r>
        <w:rPr>
          <w:b/>
          <w:color w:val="275650"/>
          <w:sz w:val="29"/>
        </w:rPr>
        <w:t>4.4 Six Exceptions, in Detail</w:t>
      </w:r>
    </w:p>
    <w:p>
      <w:pPr>
        <w:pStyle w:val="FirstParagraph"/>
        <w:rPr/>
      </w:pPr>
      <w:r>
        <w:rPr>
          <w:sz w:val="22"/>
        </w:rPr>
        <w:t>Each exception below is real evidence this program’s own record produces, not a hypothetical — every one is cross-referenced back to its specific week(s) in Section 4.1 and its specific row(s) in Sections 4.2–4.3.</w:t>
      </w:r>
    </w:p>
    <w:p>
      <w:pPr>
        <w:pStyle w:val="Heading4"/>
        <w:rPr/>
      </w:pPr>
      <w:bookmarkStart w:id="87" w:name="e1-sponsor-coverage-gap-phase-1-weeks-16"/>
      <w:r>
        <w:rPr>
          <w:b/>
          <w:color w:val="3F827B"/>
          <w:sz w:val="25"/>
        </w:rPr>
        <w:t>E1 — Sponsor Coverage Gap (Phase 1, Weeks 1–6)</w:t>
      </w:r>
    </w:p>
    <w:p>
      <w:pPr>
        <w:pStyle w:val="FirstParagraph"/>
        <w:rPr/>
      </w:pPr>
      <w:r>
        <w:rPr>
          <w:b/>
          <w:bCs/>
          <w:color w:val="3F827B"/>
          <w:sz w:val="22"/>
        </w:rPr>
        <w:t>Detailed description.</w:t>
      </w:r>
      <w:r>
        <w:rPr>
          <w:color w:val="3F827B"/>
          <w:sz w:val="22"/>
        </w:rPr>
        <w:t xml:space="preserve"> Karim Fassi, newly appointed as this program’s integration Sponsor, logged zero visible actions on M7 (Sponsor &amp; Coalition) through the program’s first four weeks — exactly the condition journi’s ALT-003 alert exists to detect. For a cultural program, an invisible Sponsor is more damaging than for a system rollout: Bridges and Kübler-Ross, this archetype’s dominant frameworks (Section 2.2), read leadership visibility as the primary evidence of whether the company means what it says, not a training-completion metric.</w:t>
      </w:r>
    </w:p>
    <w:p>
      <w:pPr>
        <w:pStyle w:val="BodyText"/>
        <w:rPr/>
      </w:pPr>
      <w:r>
        <w:rPr>
          <w:b/>
          <w:bCs/>
          <w:color w:val="3F827B"/>
          <w:sz w:val="22"/>
        </w:rPr>
        <w:t>Trigger.</w:t>
      </w:r>
      <w:r>
        <w:rPr>
          <w:color w:val="3F827B"/>
          <w:sz w:val="22"/>
        </w:rPr>
        <w:t xml:space="preserve"> Four consecutive weeks with zero logged M7 Sponsor actions.</w:t>
      </w:r>
    </w:p>
    <w:p>
      <w:pPr>
        <w:pStyle w:val="BodyText"/>
        <w:rPr/>
      </w:pPr>
      <w:r>
        <w:rPr>
          <w:b/>
          <w:bCs/>
          <w:color w:val="3F827B"/>
          <w:sz w:val="22"/>
        </w:rPr>
        <w:t>Timeline impact.</w:t>
      </w:r>
      <w:r>
        <w:rPr>
          <w:color w:val="3F827B"/>
          <w:sz w:val="22"/>
        </w:rPr>
        <w:t xml:space="preserve"> None to the Phase 1 gate date — the gap closed within the same phase, by Week 6, four weeks ahead of the Week 10 gate — but its recovery speed became the first real evidence, cited repeatedly in later phases, that this program’s escalation mechanism actually works under pressure.</w:t>
      </w:r>
    </w:p>
    <w:p>
      <w:pPr>
        <w:pStyle w:val="BodyText"/>
        <w:rPr/>
      </w:pPr>
      <w:r>
        <w:rPr>
          <w:b/>
          <w:bCs/>
          <w:color w:val="3F827B"/>
          <w:sz w:val="22"/>
        </w:rPr>
        <w:t>Recovery tasks.</w:t>
      </w:r>
      <w:r>
        <w:rPr>
          <w:color w:val="3F827B"/>
          <w:sz w:val="22"/>
        </w:rPr>
        <w:t xml:space="preserve"> Escalate to the Change Manager and Steering Committee (Week 5); secure a specific, dated Sponsor commitment; deliver that commitment in the highest-credibility setting available — in person, at Tangier, not Casablanca (Week 6).</w:t>
      </w:r>
    </w:p>
    <w:p>
      <w:pPr>
        <w:pStyle w:val="BodyText"/>
        <w:rPr/>
      </w:pPr>
      <w:r>
        <w:rPr>
          <w:b/>
          <w:bCs/>
          <w:color w:val="3F827B"/>
          <w:sz w:val="22"/>
        </w:rPr>
        <w:t>Outputs.</w:t>
      </w:r>
      <w:r>
        <w:rPr>
          <w:color w:val="3F827B"/>
          <w:sz w:val="22"/>
        </w:rPr>
        <w:t xml:space="preserve"> A logged M7 roadmap action, marked done; a CHTR-01 compliance entry; a Sponsor visibility rating upgraded to “Active.”</w:t>
      </w:r>
    </w:p>
    <w:p>
      <w:pPr>
        <w:pStyle w:val="BodyText"/>
        <w:rPr/>
      </w:pPr>
      <w:r>
        <w:rPr>
          <w:b/>
          <w:bCs/>
          <w:color w:val="3F827B"/>
          <w:sz w:val="22"/>
        </w:rPr>
        <w:t>RACSI.</w:t>
      </w:r>
      <w:r>
        <w:rPr>
          <w:color w:val="3F827B"/>
          <w:sz w:val="22"/>
        </w:rPr>
        <w:t xml:space="preserve"> R = CM, PM · A = ES · C = FPO · S = SUP · I = EU</w:t>
      </w:r>
      <w:bookmarkEnd w:id="87"/>
    </w:p>
    <w:p>
      <w:pPr>
        <w:pStyle w:val="Heading4"/>
        <w:rPr/>
      </w:pPr>
      <w:bookmarkStart w:id="88" w:name="X4febae54458e9d2d1aa58280d19e151135efb9e"/>
      <w:r>
        <w:rPr>
          <w:b/>
          <w:color w:val="3F827B"/>
          <w:sz w:val="25"/>
        </w:rPr>
        <w:t>E2 — Desire Stall at Tangier Pilot (Phase 4, Weeks 25–30)</w:t>
      </w:r>
    </w:p>
    <w:p>
      <w:pPr>
        <w:pStyle w:val="FirstParagraph"/>
        <w:rPr/>
      </w:pPr>
      <w:r>
        <w:rPr>
          <w:b/>
          <w:bCs/>
          <w:color w:val="3F827B"/>
          <w:sz w:val="22"/>
        </w:rPr>
        <w:t>Detailed description.</w:t>
      </w:r>
      <w:r>
        <w:rPr>
          <w:color w:val="3F827B"/>
          <w:sz w:val="22"/>
        </w:rPr>
        <w:t xml:space="preserve"> Tangier Dispatch’s ADKAR Desire score dropped to 2 out of 5 during pilot execution, triggering journi’s mandatory barrier-reason note. The root cause was not generic pilot fatigue but a specific, unconfirmed rumor that Tangier’s dispatch function would be consolidated into Casablanca within a year — the exact kind of acquisition-specific fear a single-organization values program never has to plan for.</w:t>
      </w:r>
    </w:p>
    <w:p>
      <w:pPr>
        <w:pStyle w:val="BodyText"/>
        <w:rPr/>
      </w:pPr>
      <w:r>
        <w:rPr>
          <w:b/>
          <w:bCs/>
          <w:color w:val="3F827B"/>
          <w:sz w:val="22"/>
        </w:rPr>
        <w:t>Trigger.</w:t>
      </w:r>
      <w:r>
        <w:rPr>
          <w:color w:val="3F827B"/>
          <w:sz w:val="22"/>
        </w:rPr>
        <w:t xml:space="preserve"> ADKAR Desire score ≤ 2 on M5, auto-escalating per journi’s own scoring rule.</w:t>
      </w:r>
    </w:p>
    <w:p>
      <w:pPr>
        <w:pStyle w:val="BodyText"/>
        <w:rPr/>
      </w:pPr>
      <w:r>
        <w:rPr>
          <w:b/>
          <w:bCs/>
          <w:color w:val="3F827B"/>
          <w:sz w:val="22"/>
        </w:rPr>
        <w:t>Timeline impact.</w:t>
      </w:r>
      <w:r>
        <w:rPr>
          <w:color w:val="3F827B"/>
          <w:sz w:val="22"/>
        </w:rPr>
        <w:t xml:space="preserve"> Consumed roughly five weeks of dedicated resolution work inside the Pilot Cohort phase’s already-planned window; resolution completed by Week 30, four weeks ahead of the Week 34 gate, so the phase-gate date itself did not move, but the schedule buffer that would otherwise have supported an early gate close was used instead.</w:t>
      </w:r>
    </w:p>
    <w:p>
      <w:pPr>
        <w:pStyle w:val="BodyText"/>
        <w:rPr/>
      </w:pPr>
      <w:r>
        <w:rPr>
          <w:b/>
          <w:bCs/>
          <w:color w:val="3F827B"/>
          <w:sz w:val="22"/>
        </w:rPr>
        <w:t>Recovery tasks.</w:t>
      </w:r>
      <w:r>
        <w:rPr>
          <w:color w:val="3F827B"/>
          <w:sz w:val="22"/>
        </w:rPr>
        <w:t xml:space="preserve"> A targeted listening session to surface the real root cause (Week 27); escalation to the Sponsor (Week 28); a direct, specific, in-person Sponsor response confirming no consolidation is planned (Week 29); a re-score confirming recovery two weeks later (Week 30).</w:t>
      </w:r>
    </w:p>
    <w:p>
      <w:pPr>
        <w:pStyle w:val="BodyText"/>
        <w:rPr/>
      </w:pPr>
      <w:r>
        <w:rPr>
          <w:b/>
          <w:bCs/>
          <w:color w:val="3F827B"/>
          <w:sz w:val="22"/>
        </w:rPr>
        <w:t>Outputs.</w:t>
      </w:r>
      <w:r>
        <w:rPr>
          <w:color w:val="3F827B"/>
          <w:sz w:val="22"/>
        </w:rPr>
        <w:t xml:space="preserve"> The M10 resistance entry closed with a linked mitigation action; an ADKAR Desire re-score of 4; the M7 Sponsor roadmap action marked done.</w:t>
      </w:r>
    </w:p>
    <w:p>
      <w:pPr>
        <w:pStyle w:val="BodyText"/>
        <w:rPr/>
      </w:pPr>
      <w:r>
        <w:rPr>
          <w:b/>
          <w:bCs/>
          <w:color w:val="3F827B"/>
          <w:sz w:val="22"/>
        </w:rPr>
        <w:t>RACSI.</w:t>
      </w:r>
      <w:r>
        <w:rPr>
          <w:color w:val="3F827B"/>
          <w:sz w:val="22"/>
        </w:rPr>
        <w:t xml:space="preserve"> R = CM · A = CM · C = ES, SUP · S = PM · I = FPO, EU</w:t>
      </w:r>
      <w:bookmarkEnd w:id="88"/>
    </w:p>
    <w:p>
      <w:pPr>
        <w:pStyle w:val="Heading4"/>
        <w:rPr/>
      </w:pPr>
      <w:bookmarkStart w:id="89" w:name="Xe32f0992b52c637267e77d610dbcf51c13d97a1"/>
      <w:r>
        <w:rPr>
          <w:b/>
          <w:color w:val="3F827B"/>
          <w:sz w:val="25"/>
        </w:rPr>
        <w:t>E3 — Divergence Pattern at Rollout (Phase 5, Weeks 42–47)</w:t>
      </w:r>
    </w:p>
    <w:p>
      <w:pPr>
        <w:pStyle w:val="FirstParagraph"/>
        <w:rPr/>
      </w:pPr>
      <w:r>
        <w:rPr>
          <w:b/>
          <w:bCs/>
          <w:color w:val="3F827B"/>
          <w:sz w:val="22"/>
        </w:rPr>
        <w:t>Detailed description.</w:t>
      </w:r>
      <w:r>
        <w:rPr>
          <w:color w:val="3F827B"/>
          <w:sz w:val="22"/>
        </w:rPr>
        <w:t xml:space="preserve"> A Wave 2 cohort of Casablanca counterparts — staff with markedly less direct Tangier contact than the pilot teams or Wave 1 — showed ADKAR Knowledge and Ability both at 4 or above while Bridges still read exactly “Ending,” meeting journi’s own ALT-001 (Divergence Pattern Detected) condition precisely. The root cause: this cohort understood the values intellectually but had never had them tested against a real cross-site relationship.</w:t>
      </w:r>
    </w:p>
    <w:p>
      <w:pPr>
        <w:pStyle w:val="BodyText"/>
        <w:rPr/>
      </w:pPr>
      <w:r>
        <w:rPr>
          <w:b/>
          <w:bCs/>
          <w:color w:val="3F827B"/>
          <w:sz w:val="22"/>
        </w:rPr>
        <w:t>Trigger.</w:t>
      </w:r>
      <w:r>
        <w:rPr>
          <w:color w:val="3F827B"/>
          <w:sz w:val="22"/>
        </w:rPr>
        <w:t xml:space="preserve"> journi’s own ALT-001 condition: Knowledge ≥ 4 and Ability ≥ 4 while Bridges still reads exactly “Ending.”</w:t>
      </w:r>
    </w:p>
    <w:p>
      <w:pPr>
        <w:pStyle w:val="BodyText"/>
        <w:rPr/>
      </w:pPr>
      <w:r>
        <w:rPr>
          <w:b/>
          <w:bCs/>
          <w:color w:val="3F827B"/>
          <w:sz w:val="22"/>
        </w:rPr>
        <w:t>Timeline impact.</w:t>
      </w:r>
      <w:r>
        <w:rPr>
          <w:color w:val="3F827B"/>
          <w:sz w:val="22"/>
        </w:rPr>
        <w:t xml:space="preserve"> None to the Phase 5 gate date — resolution completed by Week 47, three weeks ahead of the Week 50 gate — but it produced the paired-exposure technique later formalized (Week 48) as a standing, reusable playbook for any future divergence signal.</w:t>
      </w:r>
    </w:p>
    <w:p>
      <w:pPr>
        <w:pStyle w:val="BodyText"/>
        <w:rPr/>
      </w:pPr>
      <w:r>
        <w:rPr>
          <w:b/>
          <w:bCs/>
          <w:color w:val="3F827B"/>
          <w:sz w:val="22"/>
        </w:rPr>
        <w:t>Recovery tasks.</w:t>
      </w:r>
      <w:r>
        <w:rPr>
          <w:color w:val="3F827B"/>
          <w:sz w:val="22"/>
        </w:rPr>
        <w:t xml:space="preserve"> Root-cause investigation distinguishing a genuine divergence from a data-quality artifact (Week 43); design of a structured paired-exposure intervention (Week 44); deployment to the flagged cohort (Week 45); a Bridges re-check confirming recovery to Neutral Zone (Week 47).</w:t>
      </w:r>
    </w:p>
    <w:p>
      <w:pPr>
        <w:pStyle w:val="BodyText"/>
        <w:rPr/>
      </w:pPr>
      <w:r>
        <w:rPr>
          <w:b/>
          <w:bCs/>
          <w:color w:val="3F827B"/>
          <w:sz w:val="22"/>
        </w:rPr>
        <w:t>Outputs.</w:t>
      </w:r>
      <w:r>
        <w:rPr>
          <w:color w:val="3F827B"/>
          <w:sz w:val="22"/>
        </w:rPr>
        <w:t xml:space="preserve"> M6 Bridges reading recovered to Neutral Zone for the flagged cohort; a documented, reusable systemic-pattern-response playbook.</w:t>
      </w:r>
    </w:p>
    <w:p>
      <w:pPr>
        <w:pStyle w:val="BodyText"/>
        <w:rPr/>
      </w:pPr>
      <w:r>
        <w:rPr>
          <w:b/>
          <w:bCs/>
          <w:color w:val="3F827B"/>
          <w:sz w:val="22"/>
        </w:rPr>
        <w:t>RACSI.</w:t>
      </w:r>
      <w:r>
        <w:rPr>
          <w:color w:val="3F827B"/>
          <w:sz w:val="22"/>
        </w:rPr>
        <w:t xml:space="preserve"> R = CM · A = CM · C = SUP, FPO · S = ITL · I = ES, EU</w:t>
      </w:r>
      <w:bookmarkEnd w:id="89"/>
    </w:p>
    <w:p>
      <w:pPr>
        <w:pStyle w:val="Heading4"/>
        <w:rPr/>
      </w:pPr>
      <w:bookmarkStart w:id="90" w:name="X5bca52d2955f3950de7c3aeba22153585eaf731"/>
      <w:r>
        <w:rPr>
          <w:b/>
          <w:color w:val="3F827B"/>
          <w:sz w:val="25"/>
        </w:rPr>
        <w:t>E4 — Premature “Integration Complete” Declaration (Phase 6, Weeks 56–60)</w:t>
      </w:r>
    </w:p>
    <w:p>
      <w:pPr>
        <w:pStyle w:val="FirstParagraph"/>
        <w:rPr/>
      </w:pPr>
      <w:r>
        <w:rPr>
          <w:b/>
          <w:bCs/>
          <w:color w:val="3F827B"/>
          <w:sz w:val="22"/>
        </w:rPr>
        <w:t>Detailed description.</w:t>
      </w:r>
      <w:r>
        <w:rPr>
          <w:color w:val="3F827B"/>
          <w:sz w:val="22"/>
        </w:rPr>
        <w:t xml:space="preserve"> Bouregreg Group’s Board issued a public “One Bouregreg — Integration Complete” statement timed to the fiscal year-end, while journi’s own Lewin reading remained “Change,” not Refreeze. This is this program’s own version of a two-clock problem: a real, positive corporate and brand milestone is not the same clock as journi’s own evidence-based Refreeze call, and left unaddressed, the gap between them risks staff reading the announcement as either premature spin or license to stop the reinforcement work already in progress.</w:t>
      </w:r>
    </w:p>
    <w:p>
      <w:pPr>
        <w:pStyle w:val="BodyText"/>
        <w:rPr/>
      </w:pPr>
      <w:r>
        <w:rPr>
          <w:b/>
          <w:bCs/>
          <w:color w:val="3F827B"/>
          <w:sz w:val="22"/>
        </w:rPr>
        <w:t>Trigger.</w:t>
      </w:r>
      <w:r>
        <w:rPr>
          <w:color w:val="3F827B"/>
          <w:sz w:val="22"/>
        </w:rPr>
        <w:t xml:space="preserve"> A corporate or external milestone announcement that outpaces the program’s own logged evidence.</w:t>
      </w:r>
    </w:p>
    <w:p>
      <w:pPr>
        <w:pStyle w:val="BodyText"/>
        <w:rPr/>
      </w:pPr>
      <w:r>
        <w:rPr>
          <w:b/>
          <w:bCs/>
          <w:color w:val="3F827B"/>
          <w:sz w:val="22"/>
        </w:rPr>
        <w:t>Timeline impact.</w:t>
      </w:r>
      <w:r>
        <w:rPr>
          <w:color w:val="3F827B"/>
          <w:sz w:val="22"/>
        </w:rPr>
        <w:t xml:space="preserve"> No phase-gate delay — the response was purely communicative — but it forced an explicit “Change → Refreeze (provisional)” annotation on M3 sixteen weeks before the eventual, evidence-based confirmed Refreeze at Week 76, which itself becomes a directly citable fact in that final justification.</w:t>
      </w:r>
    </w:p>
    <w:p>
      <w:pPr>
        <w:pStyle w:val="BodyText"/>
        <w:rPr/>
      </w:pPr>
      <w:r>
        <w:rPr>
          <w:b/>
          <w:bCs/>
          <w:color w:val="3F827B"/>
          <w:sz w:val="22"/>
        </w:rPr>
        <w:t>Recovery tasks.</w:t>
      </w:r>
      <w:r>
        <w:rPr>
          <w:color w:val="3F827B"/>
          <w:sz w:val="22"/>
        </w:rPr>
        <w:t xml:space="preserve"> Flag the gap immediately (Week 56); draft and deliver a clarifying internal communication distinguishing the two milestones (Weeks 57–58); monitor the cynicism pulse for any resulting spike (Week 59); formally annotate Lewin as provisional rather than leave the state ambiguous (Week 60).</w:t>
      </w:r>
    </w:p>
    <w:p>
      <w:pPr>
        <w:pStyle w:val="BodyText"/>
        <w:rPr/>
      </w:pPr>
      <w:r>
        <w:rPr>
          <w:b/>
          <w:bCs/>
          <w:color w:val="3F827B"/>
          <w:sz w:val="22"/>
        </w:rPr>
        <w:t>Outputs.</w:t>
      </w:r>
      <w:r>
        <w:rPr>
          <w:color w:val="3F827B"/>
          <w:sz w:val="22"/>
        </w:rPr>
        <w:t xml:space="preserve"> A clarifying communication delivered to all 400 staff; M3’s Lewin state explicitly marked provisional; confirmation that no material cynicism spike resulted.</w:t>
      </w:r>
    </w:p>
    <w:p>
      <w:pPr>
        <w:pStyle w:val="BodyText"/>
        <w:rPr/>
      </w:pPr>
      <w:r>
        <w:rPr>
          <w:b/>
          <w:bCs/>
          <w:color w:val="3F827B"/>
          <w:sz w:val="22"/>
        </w:rPr>
        <w:t>RACSI.</w:t>
      </w:r>
      <w:r>
        <w:rPr>
          <w:color w:val="3F827B"/>
          <w:sz w:val="22"/>
        </w:rPr>
        <w:t xml:space="preserve"> R = CM · A = ES · C = PM · S = FPO · I = SUP, EU</w:t>
      </w:r>
      <w:bookmarkEnd w:id="90"/>
    </w:p>
    <w:p>
      <w:pPr>
        <w:pStyle w:val="Heading4"/>
        <w:rPr/>
      </w:pPr>
      <w:bookmarkStart w:id="91" w:name="Xe4fc53401ab8fa342d92bb9aa13ad7f18dbcf65"/>
      <w:r>
        <w:rPr>
          <w:b/>
          <w:color w:val="3F827B"/>
          <w:sz w:val="25"/>
        </w:rPr>
        <w:t>E5 — Sentiment Regression (Phase 6, Weeks 65–68)</w:t>
      </w:r>
    </w:p>
    <w:p>
      <w:pPr>
        <w:pStyle w:val="FirstParagraph"/>
        <w:rPr/>
      </w:pPr>
      <w:r>
        <w:rPr>
          <w:b/>
          <w:bCs/>
          <w:color w:val="3F827B"/>
          <w:sz w:val="22"/>
        </w:rPr>
        <w:t>Detailed description.</w:t>
      </w:r>
      <w:r>
        <w:rPr>
          <w:color w:val="3F827B"/>
          <w:sz w:val="22"/>
        </w:rPr>
        <w:t xml:space="preserve"> A newly created “combined regional” role passed over a tenured Tangier candidate in favor of a less-tenured Bouregreg-side candidate, and Tangier’s Kübler-Ross sentiment regressed sharply from Exploration back toward Resistance/Anger — read, specifically and directly, as evidence that “Equal Standing” was not real in practice. The transparent review that followed found a genuine procedural gap (the role was never posted at Tangier before the decision was made), not necessarily deliberate bias — but the effect on trust was identical either way, which is the finding this guide states plainly rather than use the procedural explanation to minimize the impact.</w:t>
      </w:r>
    </w:p>
    <w:p>
      <w:pPr>
        <w:pStyle w:val="BodyText"/>
        <w:rPr/>
      </w:pPr>
      <w:r>
        <w:rPr>
          <w:b/>
          <w:bCs/>
          <w:color w:val="3F827B"/>
          <w:sz w:val="22"/>
        </w:rPr>
        <w:t>Trigger.</w:t>
      </w:r>
      <w:r>
        <w:rPr>
          <w:color w:val="3F827B"/>
          <w:sz w:val="22"/>
        </w:rPr>
        <w:t xml:space="preserve"> A specific, named incident perceived as violating a target value, producing a measurable Kübler-Ross regression in the affected cohort.</w:t>
      </w:r>
    </w:p>
    <w:p>
      <w:pPr>
        <w:pStyle w:val="BodyText"/>
        <w:rPr/>
      </w:pPr>
      <w:r>
        <w:rPr>
          <w:b/>
          <w:bCs/>
          <w:color w:val="3F827B"/>
          <w:sz w:val="22"/>
        </w:rPr>
        <w:t>Timeline impact.</w:t>
      </w:r>
      <w:r>
        <w:rPr>
          <w:color w:val="3F827B"/>
          <w:sz w:val="22"/>
        </w:rPr>
        <w:t xml:space="preserve"> A deliberate one-week pause in unrelated HR-policy communications (Weeks 65–66), to avoid compounding the incident with unconnected news, absorbed inside Phase 7’s already-planned overlap window without moving the Phase 6 gate date.</w:t>
      </w:r>
    </w:p>
    <w:p>
      <w:pPr>
        <w:pStyle w:val="BodyText"/>
        <w:rPr/>
      </w:pPr>
      <w:r>
        <w:rPr>
          <w:b/>
          <w:bCs/>
          <w:color w:val="3F827B"/>
          <w:sz w:val="22"/>
        </w:rPr>
        <w:t>Recovery tasks.</w:t>
      </w:r>
      <w:r>
        <w:rPr>
          <w:color w:val="3F827B"/>
          <w:sz w:val="22"/>
        </w:rPr>
        <w:t xml:space="preserve"> A transparent review of the actual decision criteria and process (Week 66); the procedural finding logged regardless of how it reflected on the decision (Week 66); a structural policy fix — mandatory cross-site posting for all combined roles going forward, not only a correction to the one case (Week 67); transparent communication of the fix (Week 67).</w:t>
      </w:r>
    </w:p>
    <w:p>
      <w:pPr>
        <w:pStyle w:val="BodyText"/>
        <w:rPr/>
      </w:pPr>
      <w:r>
        <w:rPr>
          <w:b/>
          <w:bCs/>
          <w:color w:val="3F827B"/>
          <w:sz w:val="22"/>
        </w:rPr>
        <w:t>Outputs.</w:t>
      </w:r>
      <w:r>
        <w:rPr>
          <w:color w:val="3F827B"/>
          <w:sz w:val="22"/>
        </w:rPr>
        <w:t xml:space="preserve"> The specific role reopened with proper cross-site posting; a new standing policy for all future combined roles; Tangier’s Kübler-Ross reading trending back toward Exploration by the Phase 6 gate.</w:t>
      </w:r>
    </w:p>
    <w:p>
      <w:pPr>
        <w:pStyle w:val="BodyText"/>
        <w:rPr/>
      </w:pPr>
      <w:r>
        <w:rPr>
          <w:b/>
          <w:bCs/>
          <w:color w:val="3F827B"/>
          <w:sz w:val="22"/>
        </w:rPr>
        <w:t>RACSI.</w:t>
      </w:r>
      <w:r>
        <w:rPr>
          <w:color w:val="3F827B"/>
          <w:sz w:val="22"/>
        </w:rPr>
        <w:t xml:space="preserve"> R = FPO, ES · A = ES · C = CM · S = SUP · I = EU</w:t>
      </w:r>
      <w:bookmarkEnd w:id="91"/>
    </w:p>
    <w:p>
      <w:pPr>
        <w:pStyle w:val="Heading4"/>
        <w:rPr/>
      </w:pPr>
      <w:bookmarkStart w:id="92" w:name="Xfd3a6420ca3471624a0229fcd798ccd97ee299a"/>
      <w:r>
        <w:rPr>
          <w:b/>
          <w:color w:val="3F827B"/>
          <w:sz w:val="25"/>
        </w:rPr>
        <w:t>E6 — Cross-Site Cohort Divergence (Cross-Cutting, Phases 4–7)</w:t>
      </w:r>
    </w:p>
    <w:p>
      <w:pPr>
        <w:pStyle w:val="FirstParagraph"/>
        <w:rPr/>
      </w:pPr>
      <w:r>
        <w:rPr>
          <w:b/>
          <w:bCs/>
          <w:color w:val="3F827B"/>
          <w:sz w:val="22"/>
        </w:rPr>
        <w:t>Detailed description.</w:t>
      </w:r>
      <w:r>
        <w:rPr>
          <w:color w:val="3F827B"/>
          <w:sz w:val="22"/>
        </w:rPr>
        <w:t xml:space="preserve"> Across three consecutive Composite Readiness Index readings, Tangier’s cohort score consistently trailed the Casablanca-counterpart cohort by a real, non-noise margin — a slower-moving, structural pattern rather than a single-week trigger, tracing back to Tangier’s later program-relative start and the deeper trust deficit named from Section 1.1 onward. This is the one exception in this guide that is cross-cutting by nature: it is visible as early as the pilot (Phase 4) and is not formally addressed until Phase 6, and its trend is still being tracked as Phase 7 closes.</w:t>
      </w:r>
    </w:p>
    <w:p>
      <w:pPr>
        <w:pStyle w:val="BodyText"/>
        <w:rPr/>
      </w:pPr>
      <w:r>
        <w:rPr>
          <w:b/>
          <w:bCs/>
          <w:color w:val="3F827B"/>
          <w:sz w:val="22"/>
        </w:rPr>
        <w:t>Trigger.</w:t>
      </w:r>
      <w:r>
        <w:rPr>
          <w:color w:val="3F827B"/>
          <w:sz w:val="22"/>
        </w:rPr>
        <w:t xml:space="preserve"> A sustained Composite Readiness Index gap between the two site cohorts across three or more consecutive readings.</w:t>
      </w:r>
    </w:p>
    <w:p>
      <w:pPr>
        <w:pStyle w:val="BodyText"/>
        <w:rPr/>
      </w:pPr>
      <w:r>
        <w:rPr>
          <w:b/>
          <w:bCs/>
          <w:color w:val="3F827B"/>
          <w:sz w:val="22"/>
        </w:rPr>
        <w:t>Timeline impact.</w:t>
      </w:r>
      <w:r>
        <w:rPr>
          <w:color w:val="3F827B"/>
          <w:sz w:val="22"/>
        </w:rPr>
        <w:t xml:space="preserve"> No single phase-gate delay, but it justified a dedicated, ongoing targeted-reinforcement effort that ran in parallel with E5’s resolution (Weeks 65–68) and continued into Phase 7’s evidentiary compilation, where its narrowing — not closing — trend became one of the specific facts cited in the Week 73 Refreeze justification draft.</w:t>
      </w:r>
    </w:p>
    <w:p>
      <w:pPr>
        <w:pStyle w:val="BodyText"/>
        <w:rPr/>
      </w:pPr>
      <w:r>
        <w:rPr>
          <w:b/>
          <w:bCs/>
          <w:color w:val="3F827B"/>
          <w:sz w:val="22"/>
        </w:rPr>
        <w:t>Recovery tasks.</w:t>
      </w:r>
      <w:r>
        <w:rPr>
          <w:color w:val="3F827B"/>
          <w:sz w:val="22"/>
        </w:rPr>
        <w:t xml:space="preserve"> Confirm the gap is real, not a measurement artifact (Week 61); root-cause it to program-start timing and the acquisition’s structural trust deficit rather than treat it as a new failure (Weeks 62–63); design and deploy additional Tangier-specific champion capacity and a dedicated listening session (Week 64); track the gap’s trend through Phase 7 rather than declare it closed on a single favorable reading (Week 71).</w:t>
      </w:r>
    </w:p>
    <w:p>
      <w:pPr>
        <w:pStyle w:val="BodyText"/>
        <w:rPr/>
      </w:pPr>
      <w:r>
        <w:rPr>
          <w:b/>
          <w:bCs/>
          <w:color w:val="3F827B"/>
          <w:sz w:val="22"/>
        </w:rPr>
        <w:t>Outputs.</w:t>
      </w:r>
      <w:r>
        <w:rPr>
          <w:color w:val="3F827B"/>
          <w:sz w:val="22"/>
        </w:rPr>
        <w:t xml:space="preserve"> A documented root-cause finding; a targeted Tangier reinforcement plan; a confirmed, sustained narrowing trend cited directly in the final Refreeze justification.</w:t>
      </w:r>
    </w:p>
    <w:p>
      <w:pPr>
        <w:pStyle w:val="BodyText"/>
        <w:rPr/>
      </w:pPr>
      <w:r>
        <w:rPr>
          <w:b/>
          <w:bCs/>
          <w:color w:val="3F827B"/>
          <w:sz w:val="22"/>
        </w:rPr>
        <w:t>RACSI.</w:t>
      </w:r>
      <w:r>
        <w:rPr>
          <w:color w:val="3F827B"/>
          <w:sz w:val="22"/>
        </w:rPr>
        <w:t xml:space="preserve"> R = CM, SUP · A = CM · C = FPO, PM · S = ITL · I = ES, EU</w:t>
      </w:r>
      <w:bookmarkEnd w:id="61"/>
      <w:bookmarkEnd w:id="86"/>
      <w:bookmarkEnd w:id="92"/>
    </w:p>
    <w:p>
      <w:pPr>
        <w:pStyle w:val="Heading2"/>
        <w:rPr/>
      </w:pPr>
      <w:bookmarkStart w:id="93" w:name="__RefHeading___Toc13031_4275001085"/>
      <w:bookmarkStart w:id="94" w:name="Xd2550e695c6f9ca6a8ccac9faed3d8056c79686"/>
      <w:bookmarkEnd w:id="93"/>
      <w:r>
        <w:rPr>
          <w:b/>
          <w:color w:val="1F4B45"/>
          <w:sz w:val="38"/>
        </w:rPr>
        <w:t>Part 5 — Training Program: Strategic, Operational, and Frontline Tiers</w:t>
      </w:r>
    </w:p>
    <w:p>
      <w:pPr>
        <w:pStyle w:val="Heading3"/>
        <w:rPr/>
      </w:pPr>
      <w:bookmarkStart w:id="95" w:name="__RefHeading___Toc13033_4275001085"/>
      <w:bookmarkStart w:id="96" w:name="X2b4b4d8c2ebc5280ada9e2eef4f006626bb3e67"/>
      <w:bookmarkEnd w:id="95"/>
      <w:r>
        <w:rPr>
          <w:b/>
          <w:color w:val="275650"/>
          <w:sz w:val="29"/>
        </w:rPr>
        <w:t>5.1 Why Training Appears Here, and What It Is Not</w:t>
      </w:r>
    </w:p>
    <w:p>
      <w:pPr>
        <w:pStyle w:val="FirstParagraph"/>
        <w:rPr/>
      </w:pPr>
      <w:r>
        <w:rPr>
          <w:sz w:val="22"/>
        </w:rPr>
        <w:t>Part 2.2 states plainly that MP-05 (Training &amp; Capability Enablement) does not appear in journi’s E2E-CULT chain, and that claim stands: nothing in this Part is an attempt to train anyone into believing Equal Standing, One Way of Working, Shared Ownership, or Speak Plainly Across Sites. Those four values are built the way Part 4 builds them — modeling, reinforcement, paired exposure, and evidence — not a curriculum.</w:t>
      </w:r>
    </w:p>
    <w:p>
      <w:pPr>
        <w:pStyle w:val="BodyText"/>
        <w:rPr/>
      </w:pPr>
      <w:r>
        <w:rPr>
          <w:sz w:val="22"/>
        </w:rPr>
        <w:t>What this Part covers is different in kind: the acquisition itself creates real operational and functional knowledge gaps that have nothing to do with belief. Tangier’s staff genuinely do not yet know Bouregreg’s shared systems. Bouregreg’s own People Managers genuinely have not previously supervised a newly-merged team. The Steering Committee genuinely has not previously governed a two-Organization Change Management Project inside journi. These are capability gaps, not values gaps, and journi’s M9 (Training) module — a standing platform module, independent of any one archetype’s registered template — is the right place to track closing them. This Part runs as a parallel track alongside Part 4, not inside the E2E-CULT chain or the TPL-CULT-7 template, and this guide states that distinction here rather than let the two tracks blur together.</w:t>
      </w:r>
    </w:p>
    <w:p>
      <w:pPr>
        <w:pStyle w:val="BodyText"/>
        <w:rPr/>
      </w:pPr>
      <w:bookmarkStart w:id="97" w:name="X2b4b4d8c2ebc5280ada9e2eef4f006626bb3e67"/>
      <w:r>
        <w:rPr>
          <w:sz w:val="22"/>
        </w:rPr>
        <w:t>Three tiers are covered, matched to the three points in Part 4’s timeline where a real capability gap becomes operationally urgent: Strategic Management, ahead of the Steering Committee’s active governance work; Operational Management, ahead of Phase 3’s manager coaching circles; and Frontline Operations, aligned with Phase 5’s two rollout waves.</w:t>
      </w:r>
      <w:bookmarkEnd w:id="97"/>
    </w:p>
    <w:p>
      <w:pPr>
        <w:pStyle w:val="Heading3"/>
        <w:rPr/>
      </w:pPr>
      <w:bookmarkStart w:id="98" w:name="__RefHeading___Toc13035_4275001085"/>
      <w:bookmarkEnd w:id="98"/>
      <w:r>
        <w:rPr>
          <w:b/>
          <w:color w:val="275650"/>
          <w:sz w:val="29"/>
        </w:rPr>
        <w:t>5.2 Tier 1 — Strategic Management (Weeks 10–14)</w:t>
      </w:r>
    </w:p>
    <w:p>
      <w:pPr>
        <w:pStyle w:val="FirstParagraph"/>
        <w:rPr/>
      </w:pPr>
      <w:r>
        <w:rPr>
          <w:b/>
          <w:bCs/>
          <w:sz w:val="22"/>
        </w:rPr>
        <w:t>Cohort.</w:t>
      </w:r>
      <w:r>
        <w:rPr>
          <w:sz w:val="22"/>
        </w:rPr>
        <w:t xml:space="preserve"> The Steering Committee: Karim Fassi, Nadia Chraibi, Youssef Idrissi, Meryem Sabri, Laila Mernissi (5 people).</w:t>
      </w:r>
    </w:p>
    <w:p>
      <w:pPr>
        <w:pStyle w:val="BodyText"/>
        <w:rPr/>
      </w:pPr>
      <w:r>
        <w:rPr>
          <w:b/>
          <w:bCs/>
          <w:sz w:val="22"/>
        </w:rPr>
        <w:t>Why this window.</w:t>
      </w:r>
      <w:r>
        <w:rPr>
          <w:sz w:val="22"/>
        </w:rPr>
        <w:t xml:space="preserve"> The Steering Committee is formally seated at Week 10 (Section 4.1, Phase 2) and takes its first real governance decisions from Week 12 onward (Phase 3’s leadership modeling begins). This curriculum runs in the two-week gap between seating and first real decision, so the Committee is equipped before it is tested, not while it is already mid-decision.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Leading a Two-Culture Organization</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Governing an integration where neither culture is the default — avoiding acquirer/acquired language even unintentionally, reading Bridges and Kübler-Ross as leadership signals, not just Change Manager reporting.</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10–11</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“Leading a Two-Culture Organization” · Cohort: “Steering Committee” · Completion: track per member.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12</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Governance for Multi-Organization Programs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Reading a Stakeholder Map, Composite Readiness Index, and Phase Gate record that span two Organizations under one Group, rather than the single-Organization view most Steering Committee members are used to.</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11–12</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“journi Governance for Multi-Organization Programs” · Cohort: “Steering Committee.”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12</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Communicating Through an Acquisition</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media, investor, and internal-communication discipline for an active integration — directly informed by, and delivered ahead of, the Two-Clock Problem this program later hits at Week 56 (Exception E4, Section 4.4).</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13–14</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“Communicating Through an Acquisition” · Cohort: “Steering Committee.”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15</w:t>
            </w:r>
            <w:bookmarkStart w:id="99" w:name="tier-1-strategic-management-weeks-1014"/>
            <w:bookmarkEnd w:id="99"/>
          </w:p>
        </w:tc>
      </w:tr>
    </w:tbl>
    <w:p>
      <w:pPr>
        <w:pStyle w:val="Heading3"/>
        <w:rPr/>
      </w:pPr>
      <w:bookmarkStart w:id="100" w:name="__RefHeading___Toc13037_4275001085"/>
      <w:bookmarkEnd w:id="100"/>
      <w:r>
        <w:rPr>
          <w:b/>
          <w:color w:val="275650"/>
          <w:sz w:val="29"/>
        </w:rPr>
        <w:t>5.3 Tier 2 — Operational Management (Weeks 18–24)</w:t>
      </w:r>
    </w:p>
    <w:p>
      <w:pPr>
        <w:pStyle w:val="FirstParagraph"/>
        <w:rPr/>
      </w:pPr>
      <w:r>
        <w:rPr>
          <w:b/>
          <w:bCs/>
          <w:sz w:val="22"/>
        </w:rPr>
        <w:t>Cohort.</w:t>
      </w:r>
      <w:r>
        <w:rPr>
          <w:sz w:val="22"/>
        </w:rPr>
        <w:t xml:space="preserve"> People Managers across both Organizations, twelve in total, including Fatima-Zahra Idrissi (Tangier) and Rachid Amrani (Casablanca counterparts).</w:t>
      </w:r>
    </w:p>
    <w:p>
      <w:pPr>
        <w:pStyle w:val="BodyText"/>
        <w:rPr/>
      </w:pPr>
      <w:r>
        <w:rPr>
          <w:b/>
          <w:bCs/>
          <w:sz w:val="22"/>
        </w:rPr>
        <w:t>Why this window.</w:t>
      </w:r>
      <w:r>
        <w:rPr>
          <w:sz w:val="22"/>
        </w:rPr>
        <w:t xml:space="preserve"> Phase 3’s manager coaching circles (Section 4.1, Task 3.3) begin at Week 22. This curriculum runs immediately before and alongside that start, so People Managers arrive at their first coaching circle with real supervisory and procedural grounding, not just the cultural coaching content Part 4 itself provides.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Managing a Newly-Merged Team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supervisory skills specific to managing staff from the other company’s original workforce — distinct from, and a prerequisite to, Part 4’s cultural coaching circles.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18–20</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“Managing a Newly-Merged Team” · Cohort: “People Managers, both sites.”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22</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Unified Operating Procedures — Distribution &amp; Logistics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actual functional/systems training: harmonized standard operating procedures between Tangier’s distribution operation and Bouregreg’s own logistics-adjacent processes, so managers can supervise a mixed team on one shared procedure, not two.</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19–22</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“Unified Operating Procedures — Distribution &amp; Logistics” · Cohort: “People Managers, both sites.”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23</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Coaching Fundamentals for People Managers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General supervisory coaching skill-building, feeding directly into M11 (Manager as Coach)’s team-scoped heatmap once managers begin using it in Phase 3.</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22–24</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“Coaching Fundamentals for People Managers” · Cohort: “People Managers, both sites.”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25</w:t>
            </w:r>
          </w:p>
        </w:tc>
      </w:tr>
    </w:tbl>
    <w:p>
      <w:pPr>
        <w:pStyle w:val="Heading3"/>
        <w:rPr/>
      </w:pPr>
      <w:bookmarkStart w:id="101" w:name="__RefHeading___Toc13039_4275001085"/>
      <w:bookmarkEnd w:id="101"/>
      <w:r>
        <w:rPr>
          <w:b/>
          <w:color w:val="275650"/>
          <w:sz w:val="29"/>
        </w:rPr>
        <w:t>5.4 Tier 3 — Operations (Frontline) (Weeks 35–47)</w:t>
      </w:r>
    </w:p>
    <w:p>
      <w:pPr>
        <w:pStyle w:val="FirstParagraph"/>
        <w:rPr/>
      </w:pPr>
      <w:r>
        <w:rPr>
          <w:b/>
          <w:bCs/>
          <w:sz w:val="22"/>
        </w:rPr>
        <w:t>Cohort.</w:t>
      </w:r>
      <w:r>
        <w:rPr>
          <w:sz w:val="22"/>
        </w:rPr>
        <w:t xml:space="preserve"> All 400 target staff, split by Phase 5’s two rollout waves (Section 4.1): Wave 1 (Weeks 35–39), Wave 2 (Weeks 40–47).</w:t>
      </w:r>
    </w:p>
    <w:p>
      <w:pPr>
        <w:pStyle w:val="BodyText"/>
        <w:rPr/>
      </w:pPr>
      <w:r>
        <w:rPr>
          <w:b/>
          <w:bCs/>
          <w:sz w:val="22"/>
        </w:rPr>
        <w:t>Why this window.</w:t>
      </w:r>
      <w:r>
        <w:rPr>
          <w:sz w:val="22"/>
        </w:rPr>
        <w:t xml:space="preserve"> Aligning operational training with each rollout wave, rather than running it all at once before Week 32, means staff receive the practical systems knowledge right when the values program itself reaches them — not months in advance, where it would be forgotten, and not after, where staff would be asked to work under new values with systems they haven’t yet been shown.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Bouregreg Shared Systems &amp; Tools Orientation</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onboarding to the shared operational systems the acquisition brings — order tracking, shared dispatch tooling, and the reporting/escalation tools introduced in Part 4 (Task 3.2).</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35–46 (per wave)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“Bouregreg Shared Systems &amp; Tools Orientation” · Cohort: “Wave 1” / “Wave 2.”</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within 2 weeks of each wave’s launch</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Unified Safety &amp; Quality Procedures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Harmonized safety and quality standards across both sites’ operations — a genuine compliance-adjacent need, independent of whether staff have adopted the four target values yet.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36–47 (per wave)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“Unified Safety &amp; Quality Procedures” · Cohort: “Wave 1” / “Wave 2.”</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within 2 weeks of each wave’s launch</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Customer Commitment Standards — One Bouregreg</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Unified customer-facing service standards, directly supporting the “one set of customer commitments” business driver named in Section 1.2.</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37–47 (per wave)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“Customer Commitment Standards — One Bouregreg” · Cohort: “Wave 1” / “Wave 2.”</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within 2 weeks of each wave’s launch</w:t>
            </w:r>
          </w:p>
        </w:tc>
      </w:tr>
    </w:tbl>
    <w:p>
      <w:pPr>
        <w:pStyle w:val="Heading3"/>
        <w:rPr/>
      </w:pPr>
      <w:bookmarkStart w:id="102" w:name="__RefHeading___Toc13041_4275001085"/>
      <w:bookmarkEnd w:id="102"/>
      <w:r>
        <w:rPr>
          <w:b/>
          <w:color w:val="275650"/>
          <w:sz w:val="29"/>
        </w:rPr>
        <w:t>5.5 Training Completion Tracking and the Composite Readiness Index</w:t>
      </w:r>
    </w:p>
    <w:p>
      <w:pPr>
        <w:pStyle w:val="FirstParagraph"/>
        <w:spacing w:before="180" w:after="180"/>
        <w:rPr/>
      </w:pPr>
      <w:bookmarkStart w:id="103" w:name="Xd2550e695c6f9ca6a8ccac9faed3d8056c79686"/>
      <w:r>
        <w:rPr>
          <w:sz w:val="22"/>
        </w:rPr>
        <w:t>Each curriculum entry above is logged on M9 (Training) with a completion percentage and, once a cohort demonstrates real capability rather than attendance alone, the Certified toggle — the same trained-versus-capable distinction journi’s ERP program uses. From the point each tier’s curricula are substantially complete, the Composite Readiness Index’s training-completion term (Section 2.3) begins reflecting real numbers rather than sitting near zero. This guide is deliberate about what that does and does not mean: a high training-completion reading confirms Tangier and Casablanca staff can use the shared systems and follow the unified procedures. It does not, on its own, confirm the four values have taken hold — that evidence still comes from Bridges, Kübler-Ross, and the specific mechanisms Part 4 builds, not from a completed curriculum. A Change Manager reading the Composite Readiness Index from Week 35 onward should expect its training term to rise well ahead of its Bridges/Kübler-Ross-driven cultural terms, and should not read that gap as a problem — it is exactly the pattern this two-track design predicts.</w:t>
      </w:r>
      <w:bookmarkEnd w:id="103"/>
    </w:p>
    <w:sectPr>
      <w:headerReference w:type="default" r:id="rId12"/>
      <w:headerReference w:type="first" r:id="rId13"/>
      <w:footerReference w:type="default" r:id="rId14"/>
      <w:footerReference w:type="first" r:id="rId15"/>
      <w:type w:val="nextPage"/>
      <w:pgSz w:w="12240" w:h="15840"/>
      <w:pgMar w:left="864" w:right="864"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70</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Leading a Cultural &amp; Values Transformation (One Bouregreg)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Leading a Cultural &amp; Values Transformation (One Bouregreg)</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Leading a Cultural &amp; Values Transformation (One Bouregreg)</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Leading a Cultural &amp; Values Transformation (One Bouregreg)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5"/>
    <w:lvlOverride w:ilvl="0">
      <w:startOverride w:val="1"/>
    </w:lvlOverride>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5"/>
    <w:lvlOverride w:ilvl="0">
      <w:startOverride w:val="1"/>
    </w:lvlOverride>
  </w:num>
  <w:num w:numId="35">
    <w:abstractNumId w:val="1"/>
  </w:num>
  <w:num w:numId="36">
    <w:abstractNumId w:val="1"/>
  </w:num>
  <w:num w:numId="37">
    <w:abstractNumId w:val="1"/>
  </w:num>
  <w:num w:numId="38">
    <w:abstractNumId w:val="1"/>
  </w:num>
  <w:num w:numId="39">
    <w:abstractNumId w:val="1"/>
  </w:num>
  <w:num w:numId="40">
    <w:abstractNumId w:val="1"/>
  </w:num>
  <w:num w:numId="41">
    <w:abstractNumId w:val="5"/>
  </w:num>
  <w:num w:numId="42">
    <w:abstractNumId w:val="5"/>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2"/>
    </w:rPr>
  </w:style>
  <w:style w:type="paragraph" w:styleId="Compact" w:customStyle="1">
    <w:name w:val="Compact"/>
    <w:basedOn w:val="BodyText"/>
    <w:qFormat/>
    <w:pPr>
      <w:spacing w:before="36" w:after="36"/>
    </w:pPr>
    <w:rPr>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10229" w:leader="dot"/>
      </w:tabs>
      <w:ind w:hanging="0" w:left="283"/>
    </w:pPr>
    <w:rPr/>
  </w:style>
  <w:style w:type="paragraph" w:styleId="TOC3">
    <w:name w:val="TOC 3"/>
    <w:basedOn w:val="Index"/>
    <w:pPr>
      <w:tabs>
        <w:tab w:val="clear" w:pos="720"/>
        <w:tab w:val="right" w:pos="99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70</Pages>
  <Words>15456</Words>
  <Characters>90251</Characters>
  <CharactersWithSpaces>104350</CharactersWithSpaces>
  <Paragraphs>1854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2026-09-03T21:08:09Z</dcterms:created>
  <dc:creator/>
  <dc:description/>
  <dc:language>en-US</dc:language>
  <cp:lastModifiedBy/>
  <dcterms:modified xsi:type="dcterms:W3CDTF">2026-09-03T21:08:20Z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