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E07B00"/>
          <w:sz w:val="22"/>
          <w:szCs w:val="22"/>
        </w:rPr>
        <w:t xml:space="preserve">POWERACT CONSULTING</w:t>
      </w:r>
    </w:p>
    <w:p>
      <w:pPr>
        <w:spacing w:before="300"/>
        <w:jc w:val="center"/>
      </w:pPr>
      <w:r>
        <w:rPr>
          <w:rFonts w:ascii="Times New Roman" w:cs="Times New Roman" w:eastAsia="Times New Roman" w:hAnsi="Times New Roman"/>
          <w:b/>
          <w:bCs/>
          <w:color w:val="3A3A3C"/>
          <w:sz w:val="52"/>
          <w:szCs w:val="52"/>
        </w:rPr>
        <w:t xml:space="preserve">Running an ERP Implementation on journi</w:t>
      </w:r>
    </w:p>
    <w:p>
      <w:pPr>
        <w:spacing w:before="150"/>
        <w:jc w:val="center"/>
      </w:pPr>
      <w:r>
        <w:rPr>
          <w:rFonts w:ascii="Times New Roman" w:cs="Times New Roman" w:eastAsia="Times New Roman" w:hAnsi="Times New Roman"/>
          <w:b/>
          <w:bCs/>
          <w:color w:val="E07B00"/>
          <w:sz w:val="32"/>
          <w:szCs w:val="32"/>
        </w:rPr>
        <w:t xml:space="preserve">A Practical User Guide</w:t>
      </w:r>
    </w:p>
    <w:p>
      <w:pPr>
        <w:spacing w:before="400"/>
        <w:jc w:val="center"/>
      </w:pPr>
      <w:r>
        <w:rPr>
          <w:rFonts w:ascii="Times New Roman" w:cs="Times New Roman" w:eastAsia="Times New Roman" w:hAnsi="Times New Roman"/>
          <w:i/>
          <w:iCs/>
          <w:color w:val="58595B"/>
          <w:sz w:val="22"/>
          <w:szCs w:val="22"/>
        </w:rPr>
        <w:t xml:space="preserve">Executive Summary · Process Map · Week-by-Week Playbook</w:t>
      </w:r>
    </w:p>
    <w:p>
      <w:pPr>
        <w:spacing w:before="60"/>
        <w:jc w:val="center"/>
      </w:pPr>
      <w:r>
        <w:rPr>
          <w:rFonts w:ascii="Times New Roman" w:cs="Times New Roman" w:eastAsia="Times New Roman" w:hAnsi="Times New Roman"/>
          <w:i/>
          <w:iCs/>
          <w:color w:val="58595B"/>
          <w:sz w:val="22"/>
          <w:szCs w:val="22"/>
        </w:rPr>
        <w:t xml:space="preserve">SIPOC, Techniques &amp; RACSI per Task and Step · Tracking Dashboard · Simulated Data Walkthrough</w:t>
      </w:r>
    </w:p>
    <w:p>
      <w:pPr>
        <w:spacing w:before="60"/>
        <w:jc w:val="center"/>
      </w:pPr>
      <w:r>
        <w:rPr>
          <w:rFonts w:ascii="Times New Roman" w:cs="Times New Roman" w:eastAsia="Times New Roman" w:hAnsi="Times New Roman"/>
          <w:i/>
          <w:iCs/>
          <w:color w:val="58595B"/>
          <w:sz w:val="22"/>
          <w:szCs w:val="22"/>
        </w:rPr>
        <w:t xml:space="preserve">Applied to a 12-Month, Vendor-Agnostic ERP Program</w:t>
      </w:r>
    </w:p>
    <w:p>
      <w:pPr>
        <w:spacing w:before="1200"/>
        <w:jc w:val="center"/>
      </w:pPr>
      <w:r>
        <w:rPr>
          <w:rFonts w:ascii="Times New Roman" w:cs="Times New Roman" w:eastAsia="Times New Roman" w:hAnsi="Times New Roman"/>
          <w:color w:val="808184"/>
          <w:sz w:val="20"/>
          <w:szCs w:val="20"/>
        </w:rPr>
        <w:t xml:space="preserve">Built on journi's Framework Interaction Map v2.1</w:t>
      </w:r>
    </w:p>
    <w:p>
      <w:pPr>
        <w:spacing w:before="100"/>
        <w:jc w:val="center"/>
      </w:pPr>
      <w:r>
        <w:rPr>
          <w:rFonts w:ascii="Times New Roman" w:cs="Times New Roman" w:eastAsia="Times New Roman" w:hAnsi="Times New Roman"/>
          <w:color w:val="808184"/>
          <w:sz w:val="20"/>
          <w:szCs w:val="20"/>
        </w:rPr>
        <w:t xml:space="preserve">Lewin · Prosci ADKAR · Bridges' Transition Model · Kübler-Ross Change Curve</w:t>
      </w:r>
    </w:p>
    <w:p>
      <w:pPr>
        <w:spacing w:before="1400"/>
        <w:jc w:val="center"/>
      </w:pPr>
      <w:r>
        <w:rPr>
          <w:rFonts w:ascii="Times New Roman" w:cs="Times New Roman" w:eastAsia="Times New Roman" w:hAnsi="Times New Roman"/>
          <w:color w:val="808184"/>
          <w:sz w:val="18"/>
          <w:szCs w:val="18"/>
        </w:rPr>
        <w:t xml:space="preserve">Version 2.0 · August 2026 · Confidential</w:t>
      </w:r>
    </w:p>
    <w:p>
      <w:r>
        <w:br w:type="page"/>
      </w:r>
    </w:p>
    <w:p>
      <w:pPr>
        <w:pBdr>
          <w:bottom w:val="single" w:color="E07B00" w:sz="6" w:space="4"/>
        </w:pBdr>
        <w:spacing w:after="200" w:before="400"/>
      </w:pPr>
      <w:r>
        <w:rPr>
          <w:rFonts w:ascii="Times New Roman" w:cs="Times New Roman" w:eastAsia="Times New Roman" w:hAnsi="Times New Roman"/>
          <w:b/>
          <w:bCs/>
          <w:color w:val="E07B00"/>
          <w:sz w:val="34"/>
          <w:szCs w:val="34"/>
        </w:rPr>
        <w:t xml:space="preserve">Table of Contents</w:t>
      </w:r>
    </w:p>
    <w:p>
      <w:pPr>
        <w:spacing w:after="40" w:before="140"/>
        <w:ind w:left="0"/>
      </w:pPr>
      <w:r>
        <w:rPr>
          <w:rFonts w:ascii="Times New Roman" w:cs="Times New Roman" w:eastAsia="Times New Roman" w:hAnsi="Times New Roman"/>
          <w:b/>
          <w:bCs/>
          <w:color w:val="E07B00"/>
          <w:sz w:val="22"/>
          <w:szCs w:val="22"/>
        </w:rPr>
        <w:t xml:space="preserve">Executive Summary</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4</w:t>
      </w:r>
    </w:p>
    <w:p>
      <w:pPr>
        <w:spacing w:after="20" w:before="20"/>
        <w:ind w:left="360"/>
      </w:pPr>
      <w:r>
        <w:rPr>
          <w:rFonts w:ascii="Times New Roman" w:cs="Times New Roman" w:eastAsia="Times New Roman" w:hAnsi="Times New Roman"/>
          <w:b w:val="false"/>
          <w:bCs w:val="false"/>
          <w:color w:val="3A3A3C"/>
          <w:sz w:val="20"/>
          <w:szCs w:val="20"/>
        </w:rPr>
        <w:t xml:space="preserve">What This Guide Contains</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4</w:t>
      </w:r>
    </w:p>
    <w:p>
      <w:pPr>
        <w:spacing w:after="20" w:before="20"/>
        <w:ind w:left="360"/>
      </w:pPr>
      <w:r>
        <w:rPr>
          <w:rFonts w:ascii="Times New Roman" w:cs="Times New Roman" w:eastAsia="Times New Roman" w:hAnsi="Times New Roman"/>
          <w:b w:val="false"/>
          <w:bCs w:val="false"/>
          <w:color w:val="3A3A3C"/>
          <w:sz w:val="20"/>
          <w:szCs w:val="20"/>
        </w:rPr>
        <w:t xml:space="preserve">How to Use It</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4</w:t>
      </w:r>
    </w:p>
    <w:p>
      <w:pPr>
        <w:spacing w:after="40" w:before="140"/>
        <w:ind w:left="0"/>
      </w:pPr>
      <w:r>
        <w:rPr>
          <w:rFonts w:ascii="Times New Roman" w:cs="Times New Roman" w:eastAsia="Times New Roman" w:hAnsi="Times New Roman"/>
          <w:b/>
          <w:bCs/>
          <w:color w:val="E07B00"/>
          <w:sz w:val="22"/>
          <w:szCs w:val="22"/>
        </w:rPr>
        <w:t xml:space="preserve">1. Introduction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5</w:t>
      </w:r>
    </w:p>
    <w:p>
      <w:pPr>
        <w:spacing w:after="20" w:before="20"/>
        <w:ind w:left="360"/>
      </w:pPr>
      <w:r>
        <w:rPr>
          <w:rFonts w:ascii="Times New Roman" w:cs="Times New Roman" w:eastAsia="Times New Roman" w:hAnsi="Times New Roman"/>
          <w:b w:val="false"/>
          <w:bCs w:val="false"/>
          <w:color w:val="3A3A3C"/>
          <w:sz w:val="20"/>
          <w:szCs w:val="20"/>
        </w:rPr>
        <w:t xml:space="preserve">1.1 Purpose of This Guide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5</w:t>
      </w:r>
    </w:p>
    <w:p>
      <w:pPr>
        <w:spacing w:after="20" w:before="20"/>
        <w:ind w:left="360"/>
      </w:pPr>
      <w:r>
        <w:rPr>
          <w:rFonts w:ascii="Times New Roman" w:cs="Times New Roman" w:eastAsia="Times New Roman" w:hAnsi="Times New Roman"/>
          <w:b w:val="false"/>
          <w:bCs w:val="false"/>
          <w:color w:val="3A3A3C"/>
          <w:sz w:val="20"/>
          <w:szCs w:val="20"/>
        </w:rPr>
        <w:t xml:space="preserve">1.2 Who This Guide Is For</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5</w:t>
      </w:r>
    </w:p>
    <w:p>
      <w:pPr>
        <w:spacing w:after="20" w:before="20"/>
        <w:ind w:left="360"/>
      </w:pPr>
      <w:r>
        <w:rPr>
          <w:rFonts w:ascii="Times New Roman" w:cs="Times New Roman" w:eastAsia="Times New Roman" w:hAnsi="Times New Roman"/>
          <w:b w:val="false"/>
          <w:bCs w:val="false"/>
          <w:color w:val="3A3A3C"/>
          <w:sz w:val="20"/>
          <w:szCs w:val="20"/>
        </w:rPr>
        <w:t xml:space="preserve">1.3 How the Eight journi Phases Map to a 12-Month Calendar</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5</w:t>
      </w:r>
    </w:p>
    <w:p>
      <w:pPr>
        <w:spacing w:after="40" w:before="140"/>
        <w:ind w:left="0"/>
      </w:pPr>
      <w:r>
        <w:rPr>
          <w:rFonts w:ascii="Times New Roman" w:cs="Times New Roman" w:eastAsia="Times New Roman" w:hAnsi="Times New Roman"/>
          <w:b/>
          <w:bCs/>
          <w:color w:val="E07B00"/>
          <w:sz w:val="22"/>
          <w:szCs w:val="22"/>
        </w:rPr>
        <w:t xml:space="preserve">2. Getting Started in journi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7</w:t>
      </w:r>
    </w:p>
    <w:p>
      <w:pPr>
        <w:spacing w:after="20" w:before="20"/>
        <w:ind w:left="360"/>
      </w:pPr>
      <w:r>
        <w:rPr>
          <w:rFonts w:ascii="Times New Roman" w:cs="Times New Roman" w:eastAsia="Times New Roman" w:hAnsi="Times New Roman"/>
          <w:b w:val="false"/>
          <w:bCs w:val="false"/>
          <w:color w:val="3A3A3C"/>
          <w:sz w:val="20"/>
          <w:szCs w:val="20"/>
        </w:rPr>
        <w:t xml:space="preserve">2.1 Core Modules Referenced Throughout This Guide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w:t>
      </w:r>
    </w:p>
    <w:p>
      <w:pPr>
        <w:spacing w:after="20" w:before="20"/>
        <w:ind w:left="360"/>
      </w:pPr>
      <w:r>
        <w:rPr>
          <w:rFonts w:ascii="Times New Roman" w:cs="Times New Roman" w:eastAsia="Times New Roman" w:hAnsi="Times New Roman"/>
          <w:b w:val="false"/>
          <w:bCs w:val="false"/>
          <w:color w:val="3A3A3C"/>
          <w:sz w:val="20"/>
          <w:szCs w:val="20"/>
        </w:rPr>
        <w:t xml:space="preserve">2.2 One Rule Before You Start Logging Anything</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w:t>
      </w:r>
    </w:p>
    <w:p>
      <w:pPr>
        <w:spacing w:after="20" w:before="20"/>
        <w:ind w:left="360"/>
      </w:pPr>
      <w:r>
        <w:rPr>
          <w:rFonts w:ascii="Times New Roman" w:cs="Times New Roman" w:eastAsia="Times New Roman" w:hAnsi="Times New Roman"/>
          <w:b w:val="false"/>
          <w:bCs w:val="false"/>
          <w:color w:val="3A3A3C"/>
          <w:sz w:val="20"/>
          <w:szCs w:val="20"/>
        </w:rPr>
        <w:t xml:space="preserve">2.3 journi's Two Computed Metrics (the only automated calls journi makes)</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w:t>
      </w:r>
    </w:p>
    <w:p>
      <w:pPr>
        <w:spacing w:after="20" w:before="20"/>
        <w:ind w:left="360"/>
      </w:pPr>
      <w:r>
        <w:rPr>
          <w:rFonts w:ascii="Times New Roman" w:cs="Times New Roman" w:eastAsia="Times New Roman" w:hAnsi="Times New Roman"/>
          <w:b w:val="false"/>
          <w:bCs w:val="false"/>
          <w:color w:val="3A3A3C"/>
          <w:sz w:val="20"/>
          <w:szCs w:val="20"/>
        </w:rPr>
        <w:t xml:space="preserve">2.4 Where to Find journi Cross-References in This Guide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w:t>
      </w:r>
    </w:p>
    <w:p>
      <w:pPr>
        <w:spacing w:after="40" w:before="140"/>
        <w:ind w:left="0"/>
      </w:pPr>
      <w:r>
        <w:rPr>
          <w:rFonts w:ascii="Times New Roman" w:cs="Times New Roman" w:eastAsia="Times New Roman" w:hAnsi="Times New Roman"/>
          <w:b/>
          <w:bCs/>
          <w:color w:val="E07B00"/>
          <w:sz w:val="22"/>
          <w:szCs w:val="22"/>
        </w:rPr>
        <w:t xml:space="preserve">3. The Four Frameworks — Quick Primer and Signal Catalogue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8</w:t>
      </w:r>
    </w:p>
    <w:p>
      <w:pPr>
        <w:spacing w:after="20" w:before="20"/>
        <w:ind w:left="360"/>
      </w:pPr>
      <w:r>
        <w:rPr>
          <w:rFonts w:ascii="Times New Roman" w:cs="Times New Roman" w:eastAsia="Times New Roman" w:hAnsi="Times New Roman"/>
          <w:b w:val="false"/>
          <w:bCs w:val="false"/>
          <w:color w:val="3A3A3C"/>
          <w:sz w:val="20"/>
          <w:szCs w:val="20"/>
        </w:rPr>
        <w:t xml:space="preserve">3.1 Lewin's Unfreeze – Change – Refreeze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8</w:t>
      </w:r>
    </w:p>
    <w:p>
      <w:pPr>
        <w:spacing w:after="20" w:before="20"/>
        <w:ind w:left="360"/>
      </w:pPr>
      <w:r>
        <w:rPr>
          <w:rFonts w:ascii="Times New Roman" w:cs="Times New Roman" w:eastAsia="Times New Roman" w:hAnsi="Times New Roman"/>
          <w:b w:val="false"/>
          <w:bCs w:val="false"/>
          <w:color w:val="3A3A3C"/>
          <w:sz w:val="20"/>
          <w:szCs w:val="20"/>
        </w:rPr>
        <w:t xml:space="preserve">3.2 Prosci ADKAR</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8</w:t>
      </w:r>
    </w:p>
    <w:p>
      <w:pPr>
        <w:spacing w:after="20" w:before="20"/>
        <w:ind w:left="360"/>
      </w:pPr>
      <w:r>
        <w:rPr>
          <w:rFonts w:ascii="Times New Roman" w:cs="Times New Roman" w:eastAsia="Times New Roman" w:hAnsi="Times New Roman"/>
          <w:b w:val="false"/>
          <w:bCs w:val="false"/>
          <w:color w:val="3A3A3C"/>
          <w:sz w:val="20"/>
          <w:szCs w:val="20"/>
        </w:rPr>
        <w:t xml:space="preserve">3.3 Bridges' Transition Model</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9</w:t>
      </w:r>
    </w:p>
    <w:p>
      <w:pPr>
        <w:spacing w:after="20" w:before="20"/>
        <w:ind w:left="360"/>
      </w:pPr>
      <w:r>
        <w:rPr>
          <w:rFonts w:ascii="Times New Roman" w:cs="Times New Roman" w:eastAsia="Times New Roman" w:hAnsi="Times New Roman"/>
          <w:b w:val="false"/>
          <w:bCs w:val="false"/>
          <w:color w:val="3A3A3C"/>
          <w:sz w:val="20"/>
          <w:szCs w:val="20"/>
        </w:rPr>
        <w:t xml:space="preserve">3.4 Kübler-Ross Change Curve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9</w:t>
      </w:r>
    </w:p>
    <w:p>
      <w:pPr>
        <w:spacing w:after="20" w:before="20"/>
        <w:ind w:left="360"/>
      </w:pPr>
      <w:r>
        <w:rPr>
          <w:rFonts w:ascii="Times New Roman" w:cs="Times New Roman" w:eastAsia="Times New Roman" w:hAnsi="Times New Roman"/>
          <w:b w:val="false"/>
          <w:bCs w:val="false"/>
          <w:color w:val="3A3A3C"/>
          <w:sz w:val="20"/>
          <w:szCs w:val="20"/>
        </w:rPr>
        <w:t xml:space="preserve">3.5 The Project / Change / Joint Tag</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9</w:t>
      </w:r>
    </w:p>
    <w:p>
      <w:pPr>
        <w:spacing w:after="40" w:before="140"/>
        <w:ind w:left="0"/>
      </w:pPr>
      <w:r>
        <w:rPr>
          <w:rFonts w:ascii="Times New Roman" w:cs="Times New Roman" w:eastAsia="Times New Roman" w:hAnsi="Times New Roman"/>
          <w:b/>
          <w:bCs/>
          <w:color w:val="E07B00"/>
          <w:sz w:val="22"/>
          <w:szCs w:val="22"/>
        </w:rPr>
        <w:t xml:space="preserve">4. Process Map — Macro Process, Tasks &amp; Nature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10</w:t>
      </w:r>
    </w:p>
    <w:p>
      <w:pPr>
        <w:spacing w:after="20" w:before="20"/>
        <w:ind w:left="360"/>
      </w:pPr>
      <w:r>
        <w:rPr>
          <w:rFonts w:ascii="Times New Roman" w:cs="Times New Roman" w:eastAsia="Times New Roman" w:hAnsi="Times New Roman"/>
          <w:b w:val="false"/>
          <w:bCs w:val="false"/>
          <w:color w:val="3A3A3C"/>
          <w:sz w:val="20"/>
          <w:szCs w:val="20"/>
        </w:rPr>
        <w:t xml:space="preserve">4.1 Macro Process — Task — Nature Reference Table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w:t>
      </w:r>
    </w:p>
    <w:p>
      <w:pPr>
        <w:spacing w:after="40" w:before="140"/>
        <w:ind w:left="0"/>
      </w:pPr>
      <w:r>
        <w:rPr>
          <w:rFonts w:ascii="Times New Roman" w:cs="Times New Roman" w:eastAsia="Times New Roman" w:hAnsi="Times New Roman"/>
          <w:b/>
          <w:bCs/>
          <w:color w:val="E07B00"/>
          <w:sz w:val="22"/>
          <w:szCs w:val="22"/>
        </w:rPr>
        <w:t xml:space="preserve">5. Week-by-Week Implementation Timeline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13</w:t>
      </w:r>
    </w:p>
    <w:p>
      <w:pPr>
        <w:spacing w:after="20" w:before="20"/>
        <w:ind w:left="360"/>
      </w:pPr>
      <w:r>
        <w:rPr>
          <w:rFonts w:ascii="Times New Roman" w:cs="Times New Roman" w:eastAsia="Times New Roman" w:hAnsi="Times New Roman"/>
          <w:b w:val="false"/>
          <w:bCs w:val="false"/>
          <w:color w:val="3A3A3C"/>
          <w:sz w:val="20"/>
          <w:szCs w:val="20"/>
        </w:rPr>
        <w:t xml:space="preserve">5.1 Phase 1 — Discovery &amp; Design (Weeks 1–12)</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13</w:t>
      </w:r>
    </w:p>
    <w:p>
      <w:pPr>
        <w:spacing w:after="20" w:before="20"/>
        <w:ind w:left="360"/>
      </w:pPr>
      <w:r>
        <w:rPr>
          <w:rFonts w:ascii="Times New Roman" w:cs="Times New Roman" w:eastAsia="Times New Roman" w:hAnsi="Times New Roman"/>
          <w:b w:val="false"/>
          <w:bCs w:val="false"/>
          <w:color w:val="3A3A3C"/>
          <w:sz w:val="20"/>
          <w:szCs w:val="20"/>
        </w:rPr>
        <w:t xml:space="preserve">5.2 Phase 2 — Build &amp; Configuration (Weeks 5–24 (overlaps Phase 1 close and Phase 3 start))</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13</w:t>
      </w:r>
    </w:p>
    <w:p>
      <w:pPr>
        <w:spacing w:after="20" w:before="20"/>
        <w:ind w:left="360"/>
      </w:pPr>
      <w:r>
        <w:rPr>
          <w:rFonts w:ascii="Times New Roman" w:cs="Times New Roman" w:eastAsia="Times New Roman" w:hAnsi="Times New Roman"/>
          <w:b w:val="false"/>
          <w:bCs w:val="false"/>
          <w:color w:val="3A3A3C"/>
          <w:sz w:val="20"/>
          <w:szCs w:val="20"/>
        </w:rPr>
        <w:t xml:space="preserve">5.3 Phase 3 — Data Migration &amp; Integration (Weeks 13–28 (runs alongside Phase 2))</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14</w:t>
      </w:r>
    </w:p>
    <w:p>
      <w:pPr>
        <w:spacing w:after="20" w:before="20"/>
        <w:ind w:left="360"/>
      </w:pPr>
      <w:r>
        <w:rPr>
          <w:rFonts w:ascii="Times New Roman" w:cs="Times New Roman" w:eastAsia="Times New Roman" w:hAnsi="Times New Roman"/>
          <w:b w:val="false"/>
          <w:bCs w:val="false"/>
          <w:color w:val="3A3A3C"/>
          <w:sz w:val="20"/>
          <w:szCs w:val="20"/>
        </w:rPr>
        <w:t xml:space="preserve">5.4 Phase 4 — Testing (SIT / UAT) (Weeks 25–32 (overlaps Phase 3 close and Phase 5))</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14</w:t>
      </w:r>
    </w:p>
    <w:p>
      <w:pPr>
        <w:spacing w:after="20" w:before="20"/>
        <w:ind w:left="360"/>
      </w:pPr>
      <w:r>
        <w:rPr>
          <w:rFonts w:ascii="Times New Roman" w:cs="Times New Roman" w:eastAsia="Times New Roman" w:hAnsi="Times New Roman"/>
          <w:b w:val="false"/>
          <w:bCs w:val="false"/>
          <w:color w:val="3A3A3C"/>
          <w:sz w:val="20"/>
          <w:szCs w:val="20"/>
        </w:rPr>
        <w:t xml:space="preserve">5.5 Phase 5 — Training &amp; Change Readiness (Weeks 25–36 (overlaps Testing))</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15</w:t>
      </w:r>
    </w:p>
    <w:p>
      <w:pPr>
        <w:spacing w:after="20" w:before="20"/>
        <w:ind w:left="360"/>
      </w:pPr>
      <w:r>
        <w:rPr>
          <w:rFonts w:ascii="Times New Roman" w:cs="Times New Roman" w:eastAsia="Times New Roman" w:hAnsi="Times New Roman"/>
          <w:b w:val="false"/>
          <w:bCs w:val="false"/>
          <w:color w:val="3A3A3C"/>
          <w:sz w:val="20"/>
          <w:szCs w:val="20"/>
        </w:rPr>
        <w:t xml:space="preserve">5.6 Phase 6 — Cutover &amp; Go-Live (Week 37 (short, discrete event))</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15</w:t>
      </w:r>
    </w:p>
    <w:p>
      <w:pPr>
        <w:spacing w:after="20" w:before="20"/>
        <w:ind w:left="360"/>
      </w:pPr>
      <w:r>
        <w:rPr>
          <w:rFonts w:ascii="Times New Roman" w:cs="Times New Roman" w:eastAsia="Times New Roman" w:hAnsi="Times New Roman"/>
          <w:b w:val="false"/>
          <w:bCs w:val="false"/>
          <w:color w:val="3A3A3C"/>
          <w:sz w:val="20"/>
          <w:szCs w:val="20"/>
        </w:rPr>
        <w:t xml:space="preserve">5.7 Phase 7 — Hypercare &amp; Stabilization (Weeks 37–48)</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16</w:t>
      </w:r>
    </w:p>
    <w:p>
      <w:pPr>
        <w:spacing w:after="20" w:before="20"/>
        <w:ind w:left="360"/>
      </w:pPr>
      <w:r>
        <w:rPr>
          <w:rFonts w:ascii="Times New Roman" w:cs="Times New Roman" w:eastAsia="Times New Roman" w:hAnsi="Times New Roman"/>
          <w:b w:val="false"/>
          <w:bCs w:val="false"/>
          <w:color w:val="3A3A3C"/>
          <w:sz w:val="20"/>
          <w:szCs w:val="20"/>
        </w:rPr>
        <w:t xml:space="preserve">5.8 Phase 8 — Sustainment &amp; Closure (Weeks 45–52+)</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16</w:t>
      </w:r>
    </w:p>
    <w:p>
      <w:pPr>
        <w:spacing w:after="40" w:before="140"/>
        <w:ind w:left="0"/>
      </w:pPr>
      <w:r>
        <w:rPr>
          <w:rFonts w:ascii="Times New Roman" w:cs="Times New Roman" w:eastAsia="Times New Roman" w:hAnsi="Times New Roman"/>
          <w:b/>
          <w:bCs/>
          <w:color w:val="E07B00"/>
          <w:sz w:val="22"/>
          <w:szCs w:val="22"/>
        </w:rPr>
        <w:t xml:space="preserve">6. Detailed Phase Playbooks — SIPOC, Timeline, Tasks, Steps &amp; RACSI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17</w:t>
      </w:r>
    </w:p>
    <w:p>
      <w:pPr>
        <w:spacing w:after="20" w:before="20"/>
        <w:ind w:left="360"/>
      </w:pPr>
      <w:r>
        <w:rPr>
          <w:rFonts w:ascii="Times New Roman" w:cs="Times New Roman" w:eastAsia="Times New Roman" w:hAnsi="Times New Roman"/>
          <w:b w:val="false"/>
          <w:bCs w:val="false"/>
          <w:color w:val="3A3A3C"/>
          <w:sz w:val="20"/>
          <w:szCs w:val="20"/>
        </w:rPr>
        <w:t xml:space="preserve">6.1 Phase 1 — Discovery &amp; Design (Weeks 1–12)</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18</w:t>
      </w:r>
    </w:p>
    <w:p>
      <w:pPr>
        <w:spacing w:after="20" w:before="20"/>
        <w:ind w:left="360"/>
      </w:pPr>
      <w:r>
        <w:rPr>
          <w:rFonts w:ascii="Times New Roman" w:cs="Times New Roman" w:eastAsia="Times New Roman" w:hAnsi="Times New Roman"/>
          <w:b w:val="false"/>
          <w:bCs w:val="false"/>
          <w:color w:val="3A3A3C"/>
          <w:sz w:val="20"/>
          <w:szCs w:val="20"/>
        </w:rPr>
        <w:t xml:space="preserve">6.2 Phase 2 — Build &amp; Configuration (Weeks 5–24)</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25</w:t>
      </w:r>
    </w:p>
    <w:p>
      <w:pPr>
        <w:spacing w:after="20" w:before="20"/>
        <w:ind w:left="360"/>
      </w:pPr>
      <w:r>
        <w:rPr>
          <w:rFonts w:ascii="Times New Roman" w:cs="Times New Roman" w:eastAsia="Times New Roman" w:hAnsi="Times New Roman"/>
          <w:b w:val="false"/>
          <w:bCs w:val="false"/>
          <w:color w:val="3A3A3C"/>
          <w:sz w:val="20"/>
          <w:szCs w:val="20"/>
        </w:rPr>
        <w:t xml:space="preserve">6.3 Phase 3 — Data Migration &amp; Integration (Weeks 13–28)</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32</w:t>
      </w:r>
    </w:p>
    <w:p>
      <w:pPr>
        <w:spacing w:after="20" w:before="20"/>
        <w:ind w:left="360"/>
      </w:pPr>
      <w:r>
        <w:rPr>
          <w:rFonts w:ascii="Times New Roman" w:cs="Times New Roman" w:eastAsia="Times New Roman" w:hAnsi="Times New Roman"/>
          <w:b w:val="false"/>
          <w:bCs w:val="false"/>
          <w:color w:val="3A3A3C"/>
          <w:sz w:val="20"/>
          <w:szCs w:val="20"/>
        </w:rPr>
        <w:t xml:space="preserve">6.4 Phase 4 — Testing (SIT / UAT) (Weeks 25–32)</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39</w:t>
      </w:r>
    </w:p>
    <w:p>
      <w:pPr>
        <w:spacing w:after="20" w:before="20"/>
        <w:ind w:left="360"/>
      </w:pPr>
      <w:r>
        <w:rPr>
          <w:rFonts w:ascii="Times New Roman" w:cs="Times New Roman" w:eastAsia="Times New Roman" w:hAnsi="Times New Roman"/>
          <w:b w:val="false"/>
          <w:bCs w:val="false"/>
          <w:color w:val="3A3A3C"/>
          <w:sz w:val="20"/>
          <w:szCs w:val="20"/>
        </w:rPr>
        <w:t xml:space="preserve">6.5 Phase 5 — Training &amp; Change Readiness (Weeks 25–36)</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45</w:t>
      </w:r>
    </w:p>
    <w:p>
      <w:pPr>
        <w:spacing w:after="20" w:before="20"/>
        <w:ind w:left="360"/>
      </w:pPr>
      <w:r>
        <w:rPr>
          <w:rFonts w:ascii="Times New Roman" w:cs="Times New Roman" w:eastAsia="Times New Roman" w:hAnsi="Times New Roman"/>
          <w:b w:val="false"/>
          <w:bCs w:val="false"/>
          <w:color w:val="3A3A3C"/>
          <w:sz w:val="20"/>
          <w:szCs w:val="20"/>
        </w:rPr>
        <w:t xml:space="preserve">6.6 Phase 6 — Cutover &amp; Go-Live (Week 37)</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52</w:t>
      </w:r>
    </w:p>
    <w:p>
      <w:pPr>
        <w:spacing w:after="20" w:before="20"/>
        <w:ind w:left="360"/>
      </w:pPr>
      <w:r>
        <w:rPr>
          <w:rFonts w:ascii="Times New Roman" w:cs="Times New Roman" w:eastAsia="Times New Roman" w:hAnsi="Times New Roman"/>
          <w:b w:val="false"/>
          <w:bCs w:val="false"/>
          <w:color w:val="3A3A3C"/>
          <w:sz w:val="20"/>
          <w:szCs w:val="20"/>
        </w:rPr>
        <w:t xml:space="preserve">6.7 Phase 7 — Hypercare &amp; Stabilization (Weeks 37–48)</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58</w:t>
      </w:r>
    </w:p>
    <w:p>
      <w:pPr>
        <w:spacing w:after="20" w:before="20"/>
        <w:ind w:left="360"/>
      </w:pPr>
      <w:r>
        <w:rPr>
          <w:rFonts w:ascii="Times New Roman" w:cs="Times New Roman" w:eastAsia="Times New Roman" w:hAnsi="Times New Roman"/>
          <w:b w:val="false"/>
          <w:bCs w:val="false"/>
          <w:color w:val="3A3A3C"/>
          <w:sz w:val="20"/>
          <w:szCs w:val="20"/>
        </w:rPr>
        <w:t xml:space="preserve">6.8 Phase 8 — Sustainment &amp; Closure (Weeks 45–52+)</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65</w:t>
      </w:r>
    </w:p>
    <w:p>
      <w:pPr>
        <w:spacing w:after="40" w:before="140"/>
        <w:ind w:left="0"/>
      </w:pPr>
      <w:r>
        <w:rPr>
          <w:rFonts w:ascii="Times New Roman" w:cs="Times New Roman" w:eastAsia="Times New Roman" w:hAnsi="Times New Roman"/>
          <w:b/>
          <w:bCs/>
          <w:color w:val="E07B00"/>
          <w:sz w:val="22"/>
          <w:szCs w:val="22"/>
        </w:rPr>
        <w:t xml:space="preserve">7. What to Track — By Cadence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72</w:t>
      </w:r>
    </w:p>
    <w:p>
      <w:pPr>
        <w:spacing w:after="20" w:before="20"/>
        <w:ind w:left="360"/>
      </w:pPr>
      <w:r>
        <w:rPr>
          <w:rFonts w:ascii="Times New Roman" w:cs="Times New Roman" w:eastAsia="Times New Roman" w:hAnsi="Times New Roman"/>
          <w:b w:val="false"/>
          <w:bCs w:val="false"/>
          <w:color w:val="3A3A3C"/>
          <w:sz w:val="20"/>
          <w:szCs w:val="20"/>
        </w:rPr>
        <w:t xml:space="preserve">7.1 Daily</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72</w:t>
      </w:r>
    </w:p>
    <w:p>
      <w:pPr>
        <w:spacing w:after="20" w:before="20"/>
        <w:ind w:left="360"/>
      </w:pPr>
      <w:r>
        <w:rPr>
          <w:rFonts w:ascii="Times New Roman" w:cs="Times New Roman" w:eastAsia="Times New Roman" w:hAnsi="Times New Roman"/>
          <w:b w:val="false"/>
          <w:bCs w:val="false"/>
          <w:color w:val="3A3A3C"/>
          <w:sz w:val="20"/>
          <w:szCs w:val="20"/>
        </w:rPr>
        <w:t xml:space="preserve">7.2 Weekly</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72</w:t>
      </w:r>
    </w:p>
    <w:p>
      <w:pPr>
        <w:spacing w:after="20" w:before="20"/>
        <w:ind w:left="360"/>
      </w:pPr>
      <w:r>
        <w:rPr>
          <w:rFonts w:ascii="Times New Roman" w:cs="Times New Roman" w:eastAsia="Times New Roman" w:hAnsi="Times New Roman"/>
          <w:b w:val="false"/>
          <w:bCs w:val="false"/>
          <w:color w:val="3A3A3C"/>
          <w:sz w:val="20"/>
          <w:szCs w:val="20"/>
        </w:rPr>
        <w:t xml:space="preserve">7.3 Bi-Weekly</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72</w:t>
      </w:r>
    </w:p>
    <w:p>
      <w:pPr>
        <w:spacing w:after="20" w:before="20"/>
        <w:ind w:left="360"/>
      </w:pPr>
      <w:r>
        <w:rPr>
          <w:rFonts w:ascii="Times New Roman" w:cs="Times New Roman" w:eastAsia="Times New Roman" w:hAnsi="Times New Roman"/>
          <w:b w:val="false"/>
          <w:bCs w:val="false"/>
          <w:color w:val="3A3A3C"/>
          <w:sz w:val="20"/>
          <w:szCs w:val="20"/>
        </w:rPr>
        <w:t xml:space="preserve">7.4 Monthly</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72</w:t>
      </w:r>
    </w:p>
    <w:p>
      <w:pPr>
        <w:spacing w:after="20" w:before="20"/>
        <w:ind w:left="360"/>
      </w:pPr>
      <w:r>
        <w:rPr>
          <w:rFonts w:ascii="Times New Roman" w:cs="Times New Roman" w:eastAsia="Times New Roman" w:hAnsi="Times New Roman"/>
          <w:b w:val="false"/>
          <w:bCs w:val="false"/>
          <w:color w:val="3A3A3C"/>
          <w:sz w:val="20"/>
          <w:szCs w:val="20"/>
        </w:rPr>
        <w:t xml:space="preserve">7.5 Escalation Thresholds</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73</w:t>
      </w:r>
    </w:p>
    <w:p>
      <w:pPr>
        <w:spacing w:after="20" w:before="20"/>
        <w:ind w:left="360"/>
      </w:pPr>
      <w:r>
        <w:rPr>
          <w:rFonts w:ascii="Times New Roman" w:cs="Times New Roman" w:eastAsia="Times New Roman" w:hAnsi="Times New Roman"/>
          <w:b w:val="false"/>
          <w:bCs w:val="false"/>
          <w:color w:val="3A3A3C"/>
          <w:sz w:val="20"/>
          <w:szCs w:val="20"/>
        </w:rPr>
        <w:t xml:space="preserve">7.6 Weekly Dashboard — What a Healthy Week Looks Like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73</w:t>
      </w:r>
    </w:p>
    <w:p>
      <w:pPr>
        <w:spacing w:after="40" w:before="140"/>
        <w:ind w:left="0"/>
      </w:pPr>
      <w:r>
        <w:rPr>
          <w:rFonts w:ascii="Times New Roman" w:cs="Times New Roman" w:eastAsia="Times New Roman" w:hAnsi="Times New Roman"/>
          <w:b/>
          <w:bCs/>
          <w:color w:val="E07B00"/>
          <w:sz w:val="22"/>
          <w:szCs w:val="22"/>
        </w:rPr>
        <w:t xml:space="preserve">8. Simulated Data Walkthrough — Project Meridian</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74</w:t>
      </w:r>
    </w:p>
    <w:p>
      <w:pPr>
        <w:spacing w:after="20" w:before="20"/>
        <w:ind w:left="360"/>
      </w:pPr>
      <w:r>
        <w:rPr>
          <w:rFonts w:ascii="Times New Roman" w:cs="Times New Roman" w:eastAsia="Times New Roman" w:hAnsi="Times New Roman"/>
          <w:b w:val="false"/>
          <w:bCs w:val="false"/>
          <w:color w:val="3A3A3C"/>
          <w:sz w:val="20"/>
          <w:szCs w:val="20"/>
        </w:rPr>
        <w:t xml:space="preserve">8.1 Reading the Simulation</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75</w:t>
      </w:r>
    </w:p>
    <w:p>
      <w:pPr>
        <w:spacing w:after="40" w:before="140"/>
        <w:ind w:left="0"/>
      </w:pPr>
      <w:r>
        <w:rPr>
          <w:rFonts w:ascii="Times New Roman" w:cs="Times New Roman" w:eastAsia="Times New Roman" w:hAnsi="Times New Roman"/>
          <w:b/>
          <w:bCs/>
          <w:color w:val="E07B00"/>
          <w:sz w:val="22"/>
          <w:szCs w:val="22"/>
        </w:rPr>
        <w:t xml:space="preserve">9. Exception Playbook — Detailed SIPOC, Tasks, Steps &amp; RACSI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76</w:t>
      </w:r>
    </w:p>
    <w:p>
      <w:pPr>
        <w:spacing w:after="20" w:before="20"/>
        <w:ind w:left="360"/>
      </w:pPr>
      <w:r>
        <w:rPr>
          <w:rFonts w:ascii="Times New Roman" w:cs="Times New Roman" w:eastAsia="Times New Roman" w:hAnsi="Times New Roman"/>
          <w:b w:val="false"/>
          <w:bCs w:val="false"/>
          <w:color w:val="3A3A3C"/>
          <w:sz w:val="20"/>
          <w:szCs w:val="20"/>
        </w:rPr>
        <w:t xml:space="preserve">9.1 E1 — Desire Stall During Data Migration &amp; Integration</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77</w:t>
      </w:r>
    </w:p>
    <w:p>
      <w:pPr>
        <w:spacing w:after="20" w:before="20"/>
        <w:ind w:left="360"/>
      </w:pPr>
      <w:r>
        <w:rPr>
          <w:rFonts w:ascii="Times New Roman" w:cs="Times New Roman" w:eastAsia="Times New Roman" w:hAnsi="Times New Roman"/>
          <w:b w:val="false"/>
          <w:bCs w:val="false"/>
          <w:color w:val="3A3A3C"/>
          <w:sz w:val="20"/>
          <w:szCs w:val="20"/>
        </w:rPr>
        <w:t xml:space="preserve">9.2 E2 — Divergence Pattern Detected During Testing / Training</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81</w:t>
      </w:r>
    </w:p>
    <w:p>
      <w:pPr>
        <w:spacing w:after="20" w:before="20"/>
        <w:ind w:left="360"/>
      </w:pPr>
      <w:r>
        <w:rPr>
          <w:rFonts w:ascii="Times New Roman" w:cs="Times New Roman" w:eastAsia="Times New Roman" w:hAnsi="Times New Roman"/>
          <w:b w:val="false"/>
          <w:bCs w:val="false"/>
          <w:color w:val="3A3A3C"/>
          <w:sz w:val="20"/>
          <w:szCs w:val="20"/>
        </w:rPr>
        <w:t xml:space="preserve">9.3 E3 — Two-Clock Problem at Cutover &amp; Go-Live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85</w:t>
      </w:r>
    </w:p>
    <w:p>
      <w:pPr>
        <w:spacing w:after="20" w:before="20"/>
        <w:ind w:left="360"/>
      </w:pPr>
      <w:r>
        <w:rPr>
          <w:rFonts w:ascii="Times New Roman" w:cs="Times New Roman" w:eastAsia="Times New Roman" w:hAnsi="Times New Roman"/>
          <w:b w:val="false"/>
          <w:bCs w:val="false"/>
          <w:color w:val="3A3A3C"/>
          <w:sz w:val="20"/>
          <w:szCs w:val="20"/>
        </w:rPr>
        <w:t xml:space="preserve">9.4 E4 — Sentiment Regression During Hypercare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90</w:t>
      </w:r>
    </w:p>
    <w:p>
      <w:pPr>
        <w:spacing w:after="20" w:before="20"/>
        <w:ind w:left="360"/>
      </w:pPr>
      <w:r>
        <w:rPr>
          <w:rFonts w:ascii="Times New Roman" w:cs="Times New Roman" w:eastAsia="Times New Roman" w:hAnsi="Times New Roman"/>
          <w:b w:val="false"/>
          <w:bCs w:val="false"/>
          <w:color w:val="3A3A3C"/>
          <w:sz w:val="20"/>
          <w:szCs w:val="20"/>
        </w:rPr>
        <w:t xml:space="preserve">9.5 E5 — Reinforcement Gap at Sustainment &amp; Closure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94</w:t>
      </w:r>
    </w:p>
    <w:p>
      <w:pPr>
        <w:spacing w:after="20" w:before="20"/>
        <w:ind w:left="360"/>
      </w:pPr>
      <w:r>
        <w:rPr>
          <w:rFonts w:ascii="Times New Roman" w:cs="Times New Roman" w:eastAsia="Times New Roman" w:hAnsi="Times New Roman"/>
          <w:b w:val="false"/>
          <w:bCs w:val="false"/>
          <w:color w:val="3A3A3C"/>
          <w:sz w:val="20"/>
          <w:szCs w:val="20"/>
        </w:rPr>
        <w:t xml:space="preserve">9.6 E6 — Cohort Divergence Across Sites or Departments</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98</w:t>
      </w:r>
    </w:p>
    <w:p>
      <w:pPr>
        <w:spacing w:after="40" w:before="140"/>
        <w:ind w:left="0"/>
      </w:pPr>
      <w:r>
        <w:rPr>
          <w:rFonts w:ascii="Times New Roman" w:cs="Times New Roman" w:eastAsia="Times New Roman" w:hAnsi="Times New Roman"/>
          <w:b/>
          <w:bCs/>
          <w:color w:val="E07B00"/>
          <w:sz w:val="22"/>
          <w:szCs w:val="22"/>
        </w:rPr>
        <w:t xml:space="preserve">10. Governance &amp; Reporting Cadence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103</w:t>
      </w:r>
    </w:p>
    <w:p>
      <w:pPr>
        <w:spacing w:after="40" w:before="140"/>
        <w:ind w:left="0"/>
      </w:pPr>
      <w:r>
        <w:rPr>
          <w:rFonts w:ascii="Times New Roman" w:cs="Times New Roman" w:eastAsia="Times New Roman" w:hAnsi="Times New Roman"/>
          <w:b/>
          <w:bCs/>
          <w:color w:val="E07B00"/>
          <w:sz w:val="22"/>
          <w:szCs w:val="22"/>
        </w:rPr>
        <w:t xml:space="preserve">Appendix — Quick Reference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color w:val="808184"/>
          <w:sz w:val="22"/>
          <w:szCs w:val="22"/>
        </w:rPr>
        <w:t xml:space="preserve">104</w:t>
      </w:r>
    </w:p>
    <w:p>
      <w:pPr>
        <w:spacing w:after="20" w:before="20"/>
        <w:ind w:left="360"/>
      </w:pPr>
      <w:r>
        <w:rPr>
          <w:rFonts w:ascii="Times New Roman" w:cs="Times New Roman" w:eastAsia="Times New Roman" w:hAnsi="Times New Roman"/>
          <w:b w:val="false"/>
          <w:bCs w:val="false"/>
          <w:color w:val="3A3A3C"/>
          <w:sz w:val="20"/>
          <w:szCs w:val="20"/>
        </w:rPr>
        <w:t xml:space="preserve">A.1 Role Legend</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104</w:t>
      </w:r>
    </w:p>
    <w:p>
      <w:pPr>
        <w:spacing w:after="20" w:before="20"/>
        <w:ind w:left="360"/>
      </w:pPr>
      <w:r>
        <w:rPr>
          <w:rFonts w:ascii="Times New Roman" w:cs="Times New Roman" w:eastAsia="Times New Roman" w:hAnsi="Times New Roman"/>
          <w:b w:val="false"/>
          <w:bCs w:val="false"/>
          <w:color w:val="3A3A3C"/>
          <w:sz w:val="20"/>
          <w:szCs w:val="20"/>
        </w:rPr>
        <w:t xml:space="preserve">A.2 RACSI Legend</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104</w:t>
      </w:r>
    </w:p>
    <w:p>
      <w:pPr>
        <w:spacing w:after="20" w:before="20"/>
        <w:ind w:left="360"/>
      </w:pPr>
      <w:r>
        <w:rPr>
          <w:rFonts w:ascii="Times New Roman" w:cs="Times New Roman" w:eastAsia="Times New Roman" w:hAnsi="Times New Roman"/>
          <w:b w:val="false"/>
          <w:bCs w:val="false"/>
          <w:color w:val="3A3A3C"/>
          <w:sz w:val="20"/>
          <w:szCs w:val="20"/>
        </w:rPr>
        <w:t xml:space="preserve">A.3 Project / Change Tag Legend</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104</w:t>
      </w:r>
    </w:p>
    <w:p>
      <w:pPr>
        <w:spacing w:after="20" w:before="20"/>
        <w:ind w:left="360"/>
      </w:pPr>
      <w:r>
        <w:rPr>
          <w:rFonts w:ascii="Times New Roman" w:cs="Times New Roman" w:eastAsia="Times New Roman" w:hAnsi="Times New Roman"/>
          <w:b w:val="false"/>
          <w:bCs w:val="false"/>
          <w:color w:val="3A3A3C"/>
          <w:sz w:val="20"/>
          <w:szCs w:val="20"/>
        </w:rPr>
        <w:t xml:space="preserve">A.4 Blank Weekly Tracker Template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104</w:t>
      </w:r>
    </w:p>
    <w:p>
      <w:pPr>
        <w:spacing w:after="20" w:before="20"/>
        <w:ind w:left="360"/>
      </w:pPr>
      <w:r>
        <w:rPr>
          <w:rFonts w:ascii="Times New Roman" w:cs="Times New Roman" w:eastAsia="Times New Roman" w:hAnsi="Times New Roman"/>
          <w:b w:val="false"/>
          <w:bCs w:val="false"/>
          <w:color w:val="3A3A3C"/>
          <w:sz w:val="20"/>
          <w:szCs w:val="20"/>
        </w:rPr>
        <w:t xml:space="preserve">A.5 Consolidated Open-Source Tool Reference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105</w:t>
      </w:r>
    </w:p>
    <w:p>
      <w:pPr>
        <w:spacing w:after="20" w:before="20"/>
        <w:ind w:left="360"/>
      </w:pPr>
      <w:r>
        <w:rPr>
          <w:rFonts w:ascii="Times New Roman" w:cs="Times New Roman" w:eastAsia="Times New Roman" w:hAnsi="Times New Roman"/>
          <w:b w:val="false"/>
          <w:bCs w:val="false"/>
          <w:color w:val="3A3A3C"/>
          <w:sz w:val="20"/>
          <w:szCs w:val="20"/>
        </w:rPr>
        <w:t xml:space="preserve">A.6 Recommended Reading Order by Role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106</w:t>
      </w:r>
    </w:p>
    <w:p>
      <w:pPr>
        <w:spacing w:after="20" w:before="20"/>
        <w:ind w:left="360"/>
      </w:pPr>
      <w:r>
        <w:rPr>
          <w:rFonts w:ascii="Times New Roman" w:cs="Times New Roman" w:eastAsia="Times New Roman" w:hAnsi="Times New Roman"/>
          <w:b w:val="false"/>
          <w:bCs w:val="false"/>
          <w:color w:val="3A3A3C"/>
          <w:sz w:val="20"/>
          <w:szCs w:val="20"/>
        </w:rPr>
        <w:t xml:space="preserve">A.7 Frequently Asked Questions</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106</w:t>
      </w:r>
    </w:p>
    <w:p>
      <w:pPr>
        <w:spacing w:after="20" w:before="20"/>
        <w:ind w:left="360"/>
      </w:pPr>
      <w:r>
        <w:rPr>
          <w:rFonts w:ascii="Times New Roman" w:cs="Times New Roman" w:eastAsia="Times New Roman" w:hAnsi="Times New Roman"/>
          <w:b w:val="false"/>
          <w:bCs w:val="false"/>
          <w:color w:val="3A3A3C"/>
          <w:sz w:val="20"/>
          <w:szCs w:val="20"/>
        </w:rPr>
        <w:t xml:space="preserve">A.8 Glossary</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107</w:t>
      </w:r>
    </w:p>
    <w:p>
      <w:pPr>
        <w:spacing w:after="20" w:before="20"/>
        <w:ind w:left="360"/>
      </w:pPr>
      <w:r>
        <w:rPr>
          <w:rFonts w:ascii="Times New Roman" w:cs="Times New Roman" w:eastAsia="Times New Roman" w:hAnsi="Times New Roman"/>
          <w:b w:val="false"/>
          <w:bCs w:val="false"/>
          <w:color w:val="3A3A3C"/>
          <w:sz w:val="20"/>
          <w:szCs w:val="20"/>
        </w:rPr>
        <w:t xml:space="preserve">A.9 Technique Reference</w:t>
      </w:r>
      <w:r>
        <w:rPr>
          <w:rFonts w:ascii="Times New Roman" w:cs="Times New Roman" w:eastAsia="Times New Roman" w:hAnsi="Times New Roman"/>
          <w:sz w:val="20"/>
          <w:szCs w:val="20"/>
        </w:rPr>
        <w:ptab w:alignment="right" w:relativeTo="margin" w:leader="dot"/>
      </w:r>
      <w:r>
        <w:rPr>
          <w:rFonts w:ascii="Times New Roman" w:cs="Times New Roman" w:eastAsia="Times New Roman" w:hAnsi="Times New Roman"/>
          <w:color w:val="808184"/>
          <w:sz w:val="20"/>
          <w:szCs w:val="20"/>
        </w:rPr>
        <w:t xml:space="preserve">107</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Executive Summary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guide operationalizes journi's Framework Interaction Map for a 12-month, vendor-agnostic ERP implementation. It is built for day-to-day use: a Change Manager, Project Manager, Executive Sponsor or Frontline Supervisor should be able to open any page and know exactly what to do that week, which journi module to update, and what evidence to log.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guide covers 8 implementation phases, broken into 40 Tasks (15 Project Management, 16 Change Management, 9 Joint), each broken further into 80 individually specified Steps — every Step naming a facilitation or analysis technique, its goal, a working description of how to run it, and a recommended open-source tool. Six recurring exception patterns (E1–E6), covering a further 30 recovery Tasks, tell the Change Manager exactly what to do when the normal flow breaks down in one of its typical, recognizable ways.</w:t>
      </w:r>
    </w:p>
    <w:p>
      <w:pPr>
        <w:pStyle w:val="Heading2"/>
        <w:spacing w:after="150" w:before="300"/>
      </w:pPr>
      <w:r>
        <w:rPr>
          <w:rFonts w:ascii="Times New Roman" w:cs="Times New Roman" w:eastAsia="Times New Roman" w:hAnsi="Times New Roman"/>
          <w:b/>
          <w:bCs/>
          <w:color w:val="3A3A3C"/>
          <w:sz w:val="27"/>
          <w:szCs w:val="27"/>
        </w:rPr>
        <w:t xml:space="preserve">What This Guide Contains</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A visual Process Map of all 8 phases and every Task, colored by nature (Project Management, Change Management, or Joint), so the two disciplines' contributions are visible at a glance (Section 4).</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A week-by-week timeline across the full 12-month program, phase by phase (Section 5).</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A full operational playbook for every phase: SIPOC, timeline, and every Task broken into Steps with technique, goal, execution detail, recommended open-source tool, journi module cross-references, and RACSI (Section 6).</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A cadence-based tracking model — daily, weekly, bi-weekly, monthly — with explicit escalation thresholds (Section 7).</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A fully simulated 12-month program, “Project Meridian,” showing what the framework readings and journi's alerts actually look like month over month (Section 8).</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The same SIPOC / Task / Step / RACSI detail applied to all six exception patterns (Section 9).</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Standing governance cadence, a consolidated open-source tool reference, a role-based reading guide, an FAQ, and a glossary (Section 10 and Appendix).</w:t>
      </w:r>
    </w:p>
    <w:p>
      <w:pPr>
        <w:pStyle w:val="Heading2"/>
        <w:spacing w:after="150" w:before="300"/>
      </w:pPr>
      <w:r>
        <w:rPr>
          <w:rFonts w:ascii="Times New Roman" w:cs="Times New Roman" w:eastAsia="Times New Roman" w:hAnsi="Times New Roman"/>
          <w:b/>
          <w:bCs/>
          <w:color w:val="3A3A3C"/>
          <w:sz w:val="27"/>
          <w:szCs w:val="27"/>
        </w:rPr>
        <w:t xml:space="preserve">How to Use It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Read Sections 1–3 once, at the start of the program, to establish shared vocabulary. From there, use the guide as a reference: Section 5 for “what happens this week,” Section 6 for “exactly how do I run this Task,” Section 7 for “what should I be checking right now,” and Section 9 the moment something looks like it's going off the expected path. Appendix A.6 gives a role-specific reading order if you don't want to read linearly.</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1. Introduction</w:t>
      </w:r>
    </w:p>
    <w:p>
      <w:pPr>
        <w:pStyle w:val="Heading2"/>
        <w:spacing w:after="150" w:before="300"/>
      </w:pPr>
      <w:r>
        <w:rPr>
          <w:rFonts w:ascii="Times New Roman" w:cs="Times New Roman" w:eastAsia="Times New Roman" w:hAnsi="Times New Roman"/>
          <w:b/>
          <w:bCs/>
          <w:color w:val="3A3A3C"/>
          <w:sz w:val="27"/>
          <w:szCs w:val="27"/>
        </w:rPr>
        <w:t xml:space="preserve">1.1 Purpose of This Guide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a practitioner's how-to guide, not a framework reference. It tells a Change Manager, Project Manager, Sponsor and Frontline Supervisor what to do, week by week, over the course of a 12-month ERP implementation running on journi — and exactly what to track, when, and why. It assumes the reader already understands the four frameworks journi tracks (Lewin, Prosci ADKAR, Bridges' Transition Model and the Kübler-Ross Change Curve) at a conceptual level; Section 3 provides a condensed refresher with the observable signs behind every stage.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Section 6 breaks every phase down to its full operational detail — every Task's SIPOC, every Step within it with a named technique, goal, execution detail and recommended open-source tool, and a RACSI assignment (allowing more than one Responsible role, but exactly one Accountable role). Section 8 then walks through a fully simulated program — “Project Meridian” — so the reader can see what the framework readings, the Composite Readiness Index, and journi's exception alerts actually look like month over month, rather than only reading about them in the abstract.</w:t>
      </w:r>
    </w:p>
    <w:p>
      <w:pPr>
        <w:pStyle w:val="Heading2"/>
        <w:spacing w:after="150" w:before="300"/>
      </w:pPr>
      <w:r>
        <w:rPr>
          <w:rFonts w:ascii="Times New Roman" w:cs="Times New Roman" w:eastAsia="Times New Roman" w:hAnsi="Times New Roman"/>
          <w:b/>
          <w:bCs/>
          <w:color w:val="3A3A3C"/>
          <w:sz w:val="27"/>
          <w:szCs w:val="27"/>
        </w:rPr>
        <w:t xml:space="preserve">1.2 Who This Guide Is For</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Change Manager (CM) — the primary user of this guide; owns the four framework readings and the adoption plan.</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Program / Project Manager (PM) — owns scope, schedule, budget and delivery milestones.</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Executive Sponsor (ES) — owns the business case, delivers high-stakes messages, and clears organizational barriers.</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Frontline Supervisors (SUP) — coach the cohort day to day and are the first line of defense against regression.</w:t>
      </w:r>
    </w:p>
    <w:p>
      <w:pPr>
        <w:pStyle w:val="Heading2"/>
        <w:spacing w:after="150" w:before="300"/>
      </w:pPr>
      <w:r>
        <w:rPr>
          <w:rFonts w:ascii="Times New Roman" w:cs="Times New Roman" w:eastAsia="Times New Roman" w:hAnsi="Times New Roman"/>
          <w:b/>
          <w:bCs/>
          <w:color w:val="3A3A3C"/>
          <w:sz w:val="27"/>
          <w:szCs w:val="27"/>
        </w:rPr>
        <w:t xml:space="preserve">1.3 How the Eight journi Phases Map to a 12-Month Calendar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journi's applied interaction map defines eight implementation phases. This guide converts those phase-level month ranges into a week-by-week calendar (Weeks 1–52+) so that day-to-day action items are unambiguous. Because real ERP programs run phases in parallel — Build &amp; Configuration overlaps Data Migration, which overlaps Testing — several week ranges below appear in more than one phase table. That overlap is intentional: it reflects the two workstreams (Project Management and Change Management) running concurrently, not a scheduling error.</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0"/>
        <w:gridCol w:w="3800"/>
        <w:gridCol w:w="4250"/>
      </w:tblGrid>
      <w:tr>
        <w:trPr>
          <w:tblHeader/>
        </w:trPr>
        <w:tc>
          <w:tcPr>
            <w:tcW w:type="dxa" w:w="130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Phase</w:t>
            </w:r>
          </w:p>
        </w:tc>
        <w:tc>
          <w:tcPr>
            <w:tcW w:type="dxa" w:w="380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Title</w:t>
            </w:r>
          </w:p>
        </w:tc>
        <w:tc>
          <w:tcPr>
            <w:tcW w:type="dxa" w:w="425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Weeks</w:t>
            </w:r>
          </w:p>
        </w:tc>
      </w:tr>
      <w:tr>
        <w:tc>
          <w:tcPr>
            <w:tcW w:type="dxa" w:w="13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1</w:t>
            </w:r>
          </w:p>
        </w:tc>
        <w:tc>
          <w:tcPr>
            <w:tcW w:type="dxa" w:w="38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Discovery &amp; Design</w:t>
            </w:r>
          </w:p>
        </w:tc>
        <w:tc>
          <w:tcPr>
            <w:tcW w:type="dxa" w:w="425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1–12</w:t>
            </w:r>
          </w:p>
        </w:tc>
      </w:tr>
      <w:tr>
        <w:tc>
          <w:tcPr>
            <w:tcW w:type="dxa" w:w="13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2</w:t>
            </w:r>
          </w:p>
        </w:tc>
        <w:tc>
          <w:tcPr>
            <w:tcW w:type="dxa" w:w="38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&amp; Configuration</w:t>
            </w:r>
          </w:p>
        </w:tc>
        <w:tc>
          <w:tcPr>
            <w:tcW w:type="dxa" w:w="425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5–24 (overlaps Phase 1 close and Phase 3 start)</w:t>
            </w:r>
          </w:p>
        </w:tc>
      </w:tr>
      <w:tr>
        <w:tc>
          <w:tcPr>
            <w:tcW w:type="dxa" w:w="13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3</w:t>
            </w:r>
          </w:p>
        </w:tc>
        <w:tc>
          <w:tcPr>
            <w:tcW w:type="dxa" w:w="38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Migration &amp; Integration</w:t>
            </w:r>
          </w:p>
        </w:tc>
        <w:tc>
          <w:tcPr>
            <w:tcW w:type="dxa" w:w="425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13–28 (runs alongside Phase 2)</w:t>
            </w:r>
          </w:p>
        </w:tc>
      </w:tr>
      <w:tr>
        <w:tc>
          <w:tcPr>
            <w:tcW w:type="dxa" w:w="13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4</w:t>
            </w:r>
          </w:p>
        </w:tc>
        <w:tc>
          <w:tcPr>
            <w:tcW w:type="dxa" w:w="38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(SIT / UAT)</w:t>
            </w:r>
          </w:p>
        </w:tc>
        <w:tc>
          <w:tcPr>
            <w:tcW w:type="dxa" w:w="425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25–32 (overlaps Phase 3 close and Phase 5)</w:t>
            </w:r>
          </w:p>
        </w:tc>
      </w:tr>
      <w:tr>
        <w:tc>
          <w:tcPr>
            <w:tcW w:type="dxa" w:w="13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5</w:t>
            </w:r>
          </w:p>
        </w:tc>
        <w:tc>
          <w:tcPr>
            <w:tcW w:type="dxa" w:w="38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&amp; Change Readiness</w:t>
            </w:r>
          </w:p>
        </w:tc>
        <w:tc>
          <w:tcPr>
            <w:tcW w:type="dxa" w:w="425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25–36 (overlaps Testing)</w:t>
            </w:r>
          </w:p>
        </w:tc>
      </w:tr>
      <w:tr>
        <w:tc>
          <w:tcPr>
            <w:tcW w:type="dxa" w:w="13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6</w:t>
            </w:r>
          </w:p>
        </w:tc>
        <w:tc>
          <w:tcPr>
            <w:tcW w:type="dxa" w:w="38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&amp; Go-Live</w:t>
            </w:r>
          </w:p>
        </w:tc>
        <w:tc>
          <w:tcPr>
            <w:tcW w:type="dxa" w:w="425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 37 (short, discrete event)</w:t>
            </w:r>
          </w:p>
        </w:tc>
      </w:tr>
      <w:tr>
        <w:tc>
          <w:tcPr>
            <w:tcW w:type="dxa" w:w="13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7</w:t>
            </w:r>
          </w:p>
        </w:tc>
        <w:tc>
          <w:tcPr>
            <w:tcW w:type="dxa" w:w="380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&amp; Stabilization</w:t>
            </w:r>
          </w:p>
        </w:tc>
        <w:tc>
          <w:tcPr>
            <w:tcW w:type="dxa" w:w="425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37–48</w:t>
            </w:r>
          </w:p>
        </w:tc>
      </w:tr>
      <w:tr>
        <w:tc>
          <w:tcPr>
            <w:tcW w:type="dxa" w:w="13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E07B00"/>
                <w:sz w:val="19"/>
                <w:szCs w:val="19"/>
              </w:rPr>
              <w:t xml:space="preserve">Phase 8</w:t>
            </w:r>
          </w:p>
        </w:tc>
        <w:tc>
          <w:tcPr>
            <w:tcW w:type="dxa" w:w="380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Sustainment &amp; Closure</w:t>
            </w:r>
          </w:p>
        </w:tc>
        <w:tc>
          <w:tcPr>
            <w:tcW w:type="dxa" w:w="425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Weeks 45–52+</w:t>
            </w:r>
          </w:p>
        </w:tc>
      </w:tr>
    </w:tbl>
    <w:p>
      <w:pPr>
        <w:spacing w:after="200" w:before="60"/>
        <w:jc w:val="left"/>
      </w:pPr>
      <w:r>
        <w:rPr>
          <w:rFonts w:ascii="Times New Roman" w:cs="Times New Roman" w:eastAsia="Times New Roman" w:hAnsi="Times New Roman"/>
          <w:i/>
          <w:iCs/>
          <w:color w:val="58595B"/>
          <w:sz w:val="19"/>
          <w:szCs w:val="19"/>
        </w:rPr>
        <w:t xml:space="preserve">Table 1.1 — The eight journi phases and their week ranges across the 12-month program.</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2. Getting Started in journi</w:t>
      </w:r>
    </w:p>
    <w:p>
      <w:pPr>
        <w:pStyle w:val="Heading2"/>
        <w:spacing w:after="150" w:before="300"/>
      </w:pPr>
      <w:r>
        <w:rPr>
          <w:rFonts w:ascii="Times New Roman" w:cs="Times New Roman" w:eastAsia="Times New Roman" w:hAnsi="Times New Roman"/>
          <w:b/>
          <w:bCs/>
          <w:color w:val="3A3A3C"/>
          <w:sz w:val="27"/>
          <w:szCs w:val="27"/>
        </w:rPr>
        <w:t xml:space="preserve">2.1 Core Modules Referenced Throughout This Guide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Module 4 — Initiative Registry: single-select Lewin phase; drives the Benchmarking reference band in Module 15.</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Module 5 — Stakeholder Map: cohort, site and department structure used for disaggregated readiness views.</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Module 6 — ADKAR Engine: five 1–5 block scores plus mandatory barrier-reason notes for any score ≤ 2 (auto-escalated).</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Module 7 — Emotional &amp; Transition Layer: Bridges and Kübler-Ross, single-select or inferred from free text; feeds the Divergence Pattern Detector and the Composite Readiness Index.</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Module 15 — Benchmarking: reference bands used at every go/no-go checkpoint.</w:t>
      </w:r>
    </w:p>
    <w:p>
      <w:pPr>
        <w:pStyle w:val="Heading2"/>
        <w:spacing w:after="150" w:before="300"/>
      </w:pPr>
      <w:r>
        <w:rPr>
          <w:rFonts w:ascii="Times New Roman" w:cs="Times New Roman" w:eastAsia="Times New Roman" w:hAnsi="Times New Roman"/>
          <w:b/>
          <w:bCs/>
          <w:color w:val="3A3A3C"/>
          <w:sz w:val="27"/>
          <w:szCs w:val="27"/>
        </w:rPr>
        <w:t xml:space="preserve">2.2 One Rule Before You Start Logging Anything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 entry into journi should be backed by an observed signal — something a person said, something a person did, or something the data shows — not a gut-feel estimate. Section 3 catalogues the specific signals behind every stage of all four frameworks; Section 7 tells you which cadence to check them on. A score with no signal behind it is a guess wearing a number.</w:t>
      </w:r>
    </w:p>
    <w:p>
      <w:pPr>
        <w:pStyle w:val="Heading2"/>
        <w:spacing w:after="150" w:before="300"/>
      </w:pPr>
      <w:r>
        <w:rPr>
          <w:rFonts w:ascii="Times New Roman" w:cs="Times New Roman" w:eastAsia="Times New Roman" w:hAnsi="Times New Roman"/>
          <w:b/>
          <w:bCs/>
          <w:color w:val="3A3A3C"/>
          <w:sz w:val="27"/>
          <w:szCs w:val="27"/>
        </w:rPr>
        <w:t xml:space="preserve">2.3 journi's Two Computed Metrics (the only automated calls journi makes)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journi deliberately never auto-computes a Lewin, Bridges or Kübler-Ross reading — these remain Change Manager judgment calls. Two narrow exceptions are fully automated:</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Composite Readiness Index — blends ADKAR (50%), Kübler-Ross sentiment (25%) and training completion (25%). Recalculate at least monthly (Section 7).</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Divergence Pattern Detector — a boolean alert: fires when Knowledge ≥ 3 and Ability ≥ 3 while Bridges reads exactly “Ending.” See Exception E2 in Section 9.</w:t>
      </w:r>
    </w:p>
    <w:p>
      <w:pPr>
        <w:pStyle w:val="Heading2"/>
        <w:spacing w:after="150" w:before="300"/>
      </w:pPr>
      <w:r>
        <w:rPr>
          <w:rFonts w:ascii="Times New Roman" w:cs="Times New Roman" w:eastAsia="Times New Roman" w:hAnsi="Times New Roman"/>
          <w:b/>
          <w:bCs/>
          <w:color w:val="3A3A3C"/>
          <w:sz w:val="27"/>
          <w:szCs w:val="27"/>
        </w:rPr>
        <w:t xml:space="preserve">2.4 Where to Find journi Cross-References in This Guide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Throughout Sections 6 and 9, any Task or Step that involves entering or updating data in journi carries a short “journi:” note naming the specific module. Steps with no such note are executed outside journi (a workshop, a document, an external tool) even though their output may later inform a journi entry.</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3. The Four Frameworks — Quick Primer and Signal Catalogue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Each framework operates at a different altitude and answers a different question. None of the four can substitute for the others; journi requires all four so that no single blind spot is possible. The tables below condense each framework's stages together with the concrete, observable signals — what people say, what people do, and what the data shows — that tell a Change Manager which stage is actually in play.</w:t>
      </w:r>
    </w:p>
    <w:p>
      <w:pPr>
        <w:pStyle w:val="Heading2"/>
        <w:spacing w:after="150" w:before="300"/>
      </w:pPr>
      <w:r>
        <w:rPr>
          <w:rFonts w:ascii="Times New Roman" w:cs="Times New Roman" w:eastAsia="Times New Roman" w:hAnsi="Times New Roman"/>
          <w:b/>
          <w:bCs/>
          <w:color w:val="3A3A3C"/>
          <w:sz w:val="27"/>
          <w:szCs w:val="27"/>
        </w:rPr>
        <w:t xml:space="preserve">3.1 Lewin's Unfreeze – Change – Refreeze</w:t>
      </w:r>
    </w:p>
    <w:p>
      <w:pPr>
        <w:spacing w:after="160" w:line="276"/>
        <w:jc w:val="both"/>
      </w:pPr>
      <w:r>
        <w:rPr>
          <w:rFonts w:ascii="Times New Roman" w:cs="Times New Roman" w:eastAsia="Times New Roman" w:hAnsi="Times New Roman"/>
          <w:b w:val="false"/>
          <w:bCs w:val="false"/>
          <w:i/>
          <w:iCs/>
          <w:color w:val="58595B"/>
          <w:sz w:val="24"/>
          <w:szCs w:val="24"/>
        </w:rPr>
        <w:t xml:space="preserve">Kurt Lewin, 1947 · Altitude: organizational / systemic.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2805"/>
        <w:gridCol w:w="5236"/>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Stage</w:t>
            </w:r>
          </w:p>
        </w:tc>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c>
          <w:tcPr>
            <w:tcW w:type="dxa" w:w="523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Signs It Is Active</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Unfreeze</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Building the case for change and loosening attachment to the status quo.</w:t>
            </w:r>
          </w:p>
        </w:tc>
        <w:tc>
          <w:tcPr>
            <w:tcW w:type="dxa" w:w="523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Leadership publicly questions “the way we've always done it”; hallway/chat chatter rises; people ask “why now?”; requests for job-security reassurance increase; early skepticism (“we tried this before”).</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transition itself — old patterns released, new ones not yet habitual.</w:t>
            </w:r>
          </w:p>
        </w:tc>
        <w:tc>
          <w:tcPr>
            <w:tcW w:type="dxa" w:w="523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Old-process usage falls and new-process usage rises in system data; help-desk tickets spike; workarounds appear; supervisors coach more on the floor; a temporary productivity dip; informal peer champions emerge.</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Refreeze</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new state is deliberately stabilized until it is simply “how things are done.”</w:t>
            </w:r>
          </w:p>
        </w:tc>
        <w:tc>
          <w:tcPr>
            <w:tcW w:type="dxa" w:w="523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new process is cited without qualification; onboarding materials updated; old system access retired; KPIs stable across multiple cycles; the change survives a manager turnover.</w:t>
            </w:r>
          </w:p>
        </w:tc>
      </w:tr>
    </w:tbl>
    <w:p>
      <w:pPr>
        <w:spacing w:after="200" w:before="60"/>
        <w:jc w:val="left"/>
      </w:pPr>
      <w:r>
        <w:rPr>
          <w:rFonts w:ascii="Times New Roman" w:cs="Times New Roman" w:eastAsia="Times New Roman" w:hAnsi="Times New Roman"/>
          <w:i/>
          <w:iCs/>
          <w:color w:val="58595B"/>
          <w:sz w:val="19"/>
          <w:szCs w:val="19"/>
        </w:rPr>
        <w:t xml:space="preserve">Signal catalogue — 3.1 Lewin's Unfreeze – Change – Refreeze: what to watch for, drawn from verbal, behavioral and data signals.</w:t>
      </w:r>
    </w:p>
    <w:p>
      <w:pPr>
        <w:pStyle w:val="Heading2"/>
        <w:spacing w:after="150" w:before="300"/>
      </w:pPr>
      <w:r>
        <w:rPr>
          <w:rFonts w:ascii="Times New Roman" w:cs="Times New Roman" w:eastAsia="Times New Roman" w:hAnsi="Times New Roman"/>
          <w:b/>
          <w:bCs/>
          <w:color w:val="3A3A3C"/>
          <w:sz w:val="27"/>
          <w:szCs w:val="27"/>
        </w:rPr>
        <w:t xml:space="preserve">3.2 Prosci ADKAR</w:t>
      </w:r>
    </w:p>
    <w:p>
      <w:pPr>
        <w:spacing w:after="160" w:line="276"/>
        <w:jc w:val="both"/>
      </w:pPr>
      <w:r>
        <w:rPr>
          <w:rFonts w:ascii="Times New Roman" w:cs="Times New Roman" w:eastAsia="Times New Roman" w:hAnsi="Times New Roman"/>
          <w:b w:val="false"/>
          <w:bCs w:val="false"/>
          <w:i/>
          <w:iCs/>
          <w:color w:val="58595B"/>
          <w:sz w:val="24"/>
          <w:szCs w:val="24"/>
        </w:rPr>
        <w:t xml:space="preserve">Prosci · Altitude: individual / cohort · strictly sequential.</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122"/>
        <w:gridCol w:w="2431"/>
        <w:gridCol w:w="2899"/>
        <w:gridCol w:w="2899"/>
      </w:tblGrid>
      <w:tr>
        <w:trPr>
          <w:tblHeader/>
        </w:trPr>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Block</w:t>
            </w:r>
          </w:p>
        </w:tc>
        <w:tc>
          <w:tcPr>
            <w:tcW w:type="dxa" w:w="2431"/>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c>
          <w:tcPr>
            <w:tcW w:type="dxa" w:w="289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Signs the Block Is in Place</w:t>
            </w:r>
          </w:p>
        </w:tc>
        <w:tc>
          <w:tcPr>
            <w:tcW w:type="dxa" w:w="289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Signs of a Gap (barrier-reason territory)</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Awareness</w:t>
            </w:r>
          </w:p>
        </w:tc>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Understands why the change is happening.</w:t>
            </w:r>
          </w:p>
        </w:tc>
        <w:tc>
          <w:tcPr>
            <w:tcW w:type="dxa" w:w="289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Restates the business case unprompted; fewer “why are we doing this” questions.</w:t>
            </w:r>
          </w:p>
        </w:tc>
        <w:tc>
          <w:tcPr>
            <w:tcW w:type="dxa" w:w="289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Rumor replaces official messaging; “nobody told me” comments; “yet another initiative” cynicism.</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Desire</w:t>
            </w:r>
          </w:p>
        </w:tc>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Personally wants to participate, not just understand.</w:t>
            </w:r>
          </w:p>
        </w:tc>
        <w:tc>
          <w:tcPr>
            <w:tcW w:type="dxa" w:w="289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Volunteers for pilots; asks how to prepare; advocates to peers unprompted.</w:t>
            </w:r>
          </w:p>
        </w:tc>
        <w:tc>
          <w:tcPr>
            <w:tcW w:type="dxa" w:w="289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“I'll do it because I have to” language; low turnout at optional sessions; no clear WIIFM.</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Knowledge</w:t>
            </w:r>
          </w:p>
        </w:tc>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Knows the specific steps to operate in the future state.</w:t>
            </w:r>
          </w:p>
        </w:tc>
        <w:tc>
          <w:tcPr>
            <w:tcW w:type="dxa" w:w="289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Describes new-process steps accurately; seeks extra training unprompted.</w:t>
            </w:r>
          </w:p>
        </w:tc>
        <w:tc>
          <w:tcPr>
            <w:tcW w:type="dxa" w:w="289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Vague answers under light questioning; avoids hands-on practice; keeps relying on cheat-sheets.</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Ability</w:t>
            </w:r>
          </w:p>
        </w:tc>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Can demonstrate the new skills under real conditions.</w:t>
            </w:r>
          </w:p>
        </w:tc>
        <w:tc>
          <w:tcPr>
            <w:tcW w:type="dxa" w:w="289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Consistent accurate completion without escalation; coaches peers unprompted.</w:t>
            </w:r>
          </w:p>
        </w:tc>
        <w:tc>
          <w:tcPr>
            <w:tcW w:type="dxa" w:w="289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Repeated errors on the same step; manual workarounds; rising help-desk escalations.</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w:t>
            </w:r>
          </w:p>
        </w:tc>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Mechanisms exist to make the change durable.</w:t>
            </w:r>
          </w:p>
        </w:tc>
        <w:tc>
          <w:tcPr>
            <w:tcW w:type="dxa" w:w="289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Recognition is visible; new metrics in performance conversations; check-ins actually happen.</w:t>
            </w:r>
          </w:p>
        </w:tc>
        <w:tc>
          <w:tcPr>
            <w:tcW w:type="dxa" w:w="289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No follow-up cadence after go-live; backslide when unsupervised; champion network quietly dissolves.</w:t>
            </w:r>
          </w:p>
        </w:tc>
      </w:tr>
    </w:tbl>
    <w:p>
      <w:pPr>
        <w:spacing w:after="200" w:before="60"/>
        <w:jc w:val="left"/>
      </w:pPr>
      <w:r>
        <w:rPr>
          <w:rFonts w:ascii="Times New Roman" w:cs="Times New Roman" w:eastAsia="Times New Roman" w:hAnsi="Times New Roman"/>
          <w:i/>
          <w:iCs/>
          <w:color w:val="58595B"/>
          <w:sz w:val="19"/>
          <w:szCs w:val="19"/>
        </w:rPr>
        <w:t xml:space="preserve">Signal catalogue — 3.2 Prosci ADKAR: what to watch for, drawn from verbal, behavioral and data signals.</w:t>
      </w:r>
    </w:p>
    <w:p>
      <w:pPr>
        <w:pStyle w:val="Heading2"/>
        <w:spacing w:after="150" w:before="300"/>
      </w:pPr>
      <w:r>
        <w:rPr>
          <w:rFonts w:ascii="Times New Roman" w:cs="Times New Roman" w:eastAsia="Times New Roman" w:hAnsi="Times New Roman"/>
          <w:b/>
          <w:bCs/>
          <w:color w:val="3A3A3C"/>
          <w:sz w:val="27"/>
          <w:szCs w:val="27"/>
        </w:rPr>
        <w:t xml:space="preserve">3.3 Bridges' Transition Model</w:t>
      </w:r>
    </w:p>
    <w:p>
      <w:pPr>
        <w:spacing w:after="160" w:line="276"/>
        <w:jc w:val="both"/>
      </w:pPr>
      <w:r>
        <w:rPr>
          <w:rFonts w:ascii="Times New Roman" w:cs="Times New Roman" w:eastAsia="Times New Roman" w:hAnsi="Times New Roman"/>
          <w:b w:val="false"/>
          <w:bCs w:val="false"/>
          <w:i/>
          <w:iCs/>
          <w:color w:val="58595B"/>
          <w:sz w:val="24"/>
          <w:szCs w:val="24"/>
        </w:rPr>
        <w:t xml:space="preserve">William Bridges, Managing Transitions, 1991 · Altitude: psychological / identity.</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496"/>
        <w:gridCol w:w="2992"/>
        <w:gridCol w:w="4862"/>
      </w:tblGrid>
      <w:tr>
        <w:trPr>
          <w:tblHeader/>
        </w:trPr>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Stage</w:t>
            </w:r>
          </w:p>
        </w:tc>
        <w:tc>
          <w:tcPr>
            <w:tcW w:type="dxa" w:w="299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c>
          <w:tcPr>
            <w:tcW w:type="dxa" w:w="486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Signs to Look For</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Letting go of the old identity, competence and relationships — often with real loss.</w:t>
            </w:r>
          </w:p>
        </w:tc>
        <w:tc>
          <w:tcPr>
            <w:tcW w:type="dxa" w:w="486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Spontaneous expressions of loss; “old days” storytelling; resistance to retiring old tools; denial statements; a dip in discretionary effort.</w:t>
            </w:r>
          </w:p>
        </w:tc>
      </w:tr>
      <w:tr>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Neutral Zone</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disorienting in-between — old ways gone, new ways not yet automatic.</w:t>
            </w:r>
          </w:p>
        </w:tc>
        <w:tc>
          <w:tcPr>
            <w:tcW w:type="dxa" w:w="486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Confusion about roles and “which rule applies now”; a temporary morale dip; ambiguity-driven errors; active rumor mill; requests for more structure.</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New Beginning</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Genuine buy-in and a new identity forming — ownership, not compliance.</w:t>
            </w:r>
          </w:p>
        </w:tc>
        <w:tc>
          <w:tcPr>
            <w:tcW w:type="dxa" w:w="486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New vocabulary (“we're a digital team now”); visible pride; teaching newcomers unprompted; forward-looking improvement suggestions.</w:t>
            </w:r>
          </w:p>
        </w:tc>
      </w:tr>
    </w:tbl>
    <w:p>
      <w:pPr>
        <w:spacing w:after="200" w:before="60"/>
        <w:jc w:val="left"/>
      </w:pPr>
      <w:r>
        <w:rPr>
          <w:rFonts w:ascii="Times New Roman" w:cs="Times New Roman" w:eastAsia="Times New Roman" w:hAnsi="Times New Roman"/>
          <w:i/>
          <w:iCs/>
          <w:color w:val="58595B"/>
          <w:sz w:val="19"/>
          <w:szCs w:val="19"/>
        </w:rPr>
        <w:t xml:space="preserve">Signal catalogue — 3.3 Bridges' Transition Model: what to watch for, drawn from verbal, behavioral and data signals.</w:t>
      </w:r>
    </w:p>
    <w:p>
      <w:pPr>
        <w:pStyle w:val="Heading2"/>
        <w:spacing w:after="150" w:before="300"/>
      </w:pPr>
      <w:r>
        <w:rPr>
          <w:rFonts w:ascii="Times New Roman" w:cs="Times New Roman" w:eastAsia="Times New Roman" w:hAnsi="Times New Roman"/>
          <w:b/>
          <w:bCs/>
          <w:color w:val="3A3A3C"/>
          <w:sz w:val="27"/>
          <w:szCs w:val="27"/>
        </w:rPr>
        <w:t xml:space="preserve">3.4 Kübler-Ross Change Curve</w:t>
      </w:r>
    </w:p>
    <w:p>
      <w:pPr>
        <w:spacing w:after="160" w:line="276"/>
        <w:jc w:val="both"/>
      </w:pPr>
      <w:r>
        <w:rPr>
          <w:rFonts w:ascii="Times New Roman" w:cs="Times New Roman" w:eastAsia="Times New Roman" w:hAnsi="Times New Roman"/>
          <w:b w:val="false"/>
          <w:bCs w:val="false"/>
          <w:i/>
          <w:iCs/>
          <w:color w:val="58595B"/>
          <w:sz w:val="24"/>
          <w:szCs w:val="24"/>
        </w:rPr>
        <w:t xml:space="preserve">Adapted from Elisabeth Kübler-Ross, 1969 · Altitude: emotional / moment-to-moment.</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496"/>
        <w:gridCol w:w="2805"/>
        <w:gridCol w:w="5049"/>
      </w:tblGrid>
      <w:tr>
        <w:trPr>
          <w:tblHeader/>
        </w:trPr>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Stage</w:t>
            </w:r>
          </w:p>
        </w:tc>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c>
          <w:tcPr>
            <w:tcW w:type="dxa" w:w="504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Signs to Look For</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Denial</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change is not yet accepted as real or personally relevant.</w:t>
            </w:r>
          </w:p>
        </w:tc>
        <w:tc>
          <w:tcPr>
            <w:tcW w:type="dxa" w:w="504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“This doesn't really apply to us”; unopened comms; business-as-usual behavior; minimal engagement at info sessions.</w:t>
            </w:r>
          </w:p>
        </w:tc>
      </w:tr>
      <w:tr>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Resistance / Anger</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Active, visible pushback — a normal, necessary phase, not pure negativity.</w:t>
            </w:r>
          </w:p>
        </w:tc>
        <w:tc>
          <w:tcPr>
            <w:tcW w:type="dxa" w:w="504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Vocal public complaints; blame-shifting; escalations to leadership; sarcasm; slow-walking tasks; rising interpersonal friction.</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Exploration</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Cautious engagement mixing curiosity with residual doubt.</w:t>
            </w:r>
          </w:p>
        </w:tc>
        <w:tc>
          <w:tcPr>
            <w:tcW w:type="dxa" w:w="504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Tentative questions rather than flat refusal; willingness to pilot; mixed sentiment in the same room; sandbox experimentation.</w:t>
            </w:r>
          </w:p>
        </w:tc>
      </w:tr>
      <w:tr>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Commitment</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Active, willing participation, sustained without being watched.</w:t>
            </w:r>
          </w:p>
        </w:tc>
        <w:tc>
          <w:tcPr>
            <w:tcW w:type="dxa" w:w="504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Proactive unprompted use in real work; peer advocacy; improvement suggestions rather than requests to revert.</w:t>
            </w:r>
          </w:p>
        </w:tc>
      </w:tr>
    </w:tbl>
    <w:p>
      <w:pPr>
        <w:spacing w:after="200" w:before="60"/>
        <w:jc w:val="left"/>
      </w:pPr>
      <w:r>
        <w:rPr>
          <w:rFonts w:ascii="Times New Roman" w:cs="Times New Roman" w:eastAsia="Times New Roman" w:hAnsi="Times New Roman"/>
          <w:i/>
          <w:iCs/>
          <w:color w:val="58595B"/>
          <w:sz w:val="19"/>
          <w:szCs w:val="19"/>
        </w:rPr>
        <w:t xml:space="preserve">Signal catalogue — 3.4 Kübler-Ross Change Curve: what to watch for, drawn from verbal, behavioral and data signals.</w:t>
      </w:r>
    </w:p>
    <w:p>
      <w:pPr>
        <w:pStyle w:val="Heading2"/>
        <w:spacing w:after="150" w:before="300"/>
      </w:pPr>
      <w:r>
        <w:rPr>
          <w:rFonts w:ascii="Times New Roman" w:cs="Times New Roman" w:eastAsia="Times New Roman" w:hAnsi="Times New Roman"/>
          <w:b/>
          <w:bCs/>
          <w:color w:val="3A3A3C"/>
          <w:sz w:val="27"/>
          <w:szCs w:val="27"/>
        </w:rPr>
        <w:t xml:space="preserve">3.5 The Project / Change / Joint Tag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 Task in Sections 6 and 9 is tagged so the two disciplines' contributions stay distinguishable: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[PROJECT] — scope, schedule, budget, technical build, data, delivery milestones. Owned by the PM and ITL.</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[CHANGE] — awareness, desire, capability adoption, identity/transition and sentiment work. Owned by the CM, ES and Supervisors.</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[JOINT] — Tasks where a delivery decision and a change activity are fused into one action (a go/no-go call, a champion-network handoff) — no single discipline can own these alone.</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4. Process Map — Macro Process, Tasks &amp; Nature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diagram below shows the full macro process — all 8 phases — with every Task placed in one of three lanes according to its nature: Project Management, Change Management, or Joint. Reading left to right shows how the balance of work shifts across the program: Project Management work concentrates in the early build and the technical cutover (Phases 1–3 and 6); Change Management work concentrates in the back half (Phases 7–8); Joint work clusters exactly where a delivery decision and an adoption decision cannot be separated (the go/no-go call in Phase 5, and the go-live communication and hypercare activation in Phase 6).</w:t>
      </w:r>
    </w:p>
    <w:p>
      <w:pPr>
        <w:spacing w:after="100" w:before="100"/>
        <w:jc w:val="center"/>
      </w:pPr>
      <w:r>
        <w:drawing>
          <wp:inline distT="0" distB="0" distL="0" distR="0">
            <wp:extent cx="6667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32422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8595B"/>
          <w:sz w:val="19"/>
          <w:szCs w:val="19"/>
        </w:rPr>
        <w:t xml:space="preserve">Figure 4.1 — Process map: 8 phases × all Tasks, colored by nature (Project Management / Change Management / Joint).</w:t>
      </w:r>
    </w:p>
    <w:p>
      <w:pPr>
        <w:pStyle w:val="Heading2"/>
        <w:spacing w:after="150" w:before="300"/>
      </w:pPr>
      <w:r>
        <w:rPr>
          <w:rFonts w:ascii="Times New Roman" w:cs="Times New Roman" w:eastAsia="Times New Roman" w:hAnsi="Times New Roman"/>
          <w:b/>
          <w:bCs/>
          <w:color w:val="3A3A3C"/>
          <w:sz w:val="27"/>
          <w:szCs w:val="27"/>
        </w:rPr>
        <w:t xml:space="preserve">4.1 Macro Process — Task — Nature Reference Table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same information as the diagram, in tabular form for accessibility and quick lookup.</w:t>
      </w:r>
    </w:p>
    <w:p>
      <w:pPr>
        <w:pStyle w:val="Heading3"/>
        <w:spacing w:after="120" w:before="220"/>
      </w:pPr>
      <w:r>
        <w:rPr>
          <w:rFonts w:ascii="Times New Roman" w:cs="Times New Roman" w:eastAsia="Times New Roman" w:hAnsi="Times New Roman"/>
          <w:b/>
          <w:bCs/>
          <w:color w:val="E07B00"/>
          <w:sz w:val="24"/>
          <w:szCs w:val="24"/>
        </w:rPr>
        <w:t xml:space="preserve">Phase 1 — Discovery &amp; Design</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current-state discovery workshops per impacted function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Quantify pain points and the cost of inaction</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Define future-state process scope and design principles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 the Change Management project; set the Lewin phase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baseline ADKAR / Bridges / Kübler-Ross pulse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bl>
    <w:p>
      <w:pPr>
        <w:pStyle w:val="Heading3"/>
        <w:spacing w:after="120" w:before="220"/>
      </w:pPr>
      <w:r>
        <w:rPr>
          <w:rFonts w:ascii="Times New Roman" w:cs="Times New Roman" w:eastAsia="Times New Roman" w:hAnsi="Times New Roman"/>
          <w:b/>
          <w:bCs/>
          <w:color w:val="E07B00"/>
          <w:sz w:val="24"/>
          <w:szCs w:val="24"/>
        </w:rPr>
        <w:t xml:space="preserve">Phase 2 — Build &amp; Configuration</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Configure the platform against the approved future-state design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design-review checkpoints with functional owners</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Launch Phase-1 communications and an FAQ channel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Recruit and brief the change champion network</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Re-run the ADKAR pulse (Awareness / early Desire)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bl>
    <w:p>
      <w:pPr>
        <w:pStyle w:val="Heading3"/>
        <w:spacing w:after="120" w:before="220"/>
      </w:pPr>
      <w:r>
        <w:rPr>
          <w:rFonts w:ascii="Times New Roman" w:cs="Times New Roman" w:eastAsia="Times New Roman" w:hAnsi="Times New Roman"/>
          <w:b/>
          <w:bCs/>
          <w:color w:val="E07B00"/>
          <w:sz w:val="24"/>
          <w:szCs w:val="24"/>
        </w:rPr>
        <w:t xml:space="preserve">Phase 3 — Data Migration &amp; Integration</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Cleanse and map legacy data to the future-state model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and test integrations with adjacent systems</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mock data-migration cycles and reconcile results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 Desire-block barrier reasons from low end-user visibility</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 the Composite Readiness Index ahead of Testing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bl>
    <w:p>
      <w:pPr>
        <w:pStyle w:val="Heading3"/>
        <w:spacing w:after="120" w:before="220"/>
      </w:pPr>
      <w:r>
        <w:rPr>
          <w:rFonts w:ascii="Times New Roman" w:cs="Times New Roman" w:eastAsia="Times New Roman" w:hAnsi="Times New Roman"/>
          <w:b/>
          <w:bCs/>
          <w:color w:val="E07B00"/>
          <w:sz w:val="24"/>
          <w:szCs w:val="24"/>
        </w:rPr>
        <w:t xml:space="preserve">Phase 4 — Testing (SIT / UAT)</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system integration testing (SIT)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Recruit a representative cohort for user acceptance testing (UAT)</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UAT sessions and log defects and usability friction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Cross-check Knowledge / Ability against Bridges (Divergence Pattern check)</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Triage and remediate defects before sign-off</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bl>
    <w:p>
      <w:pPr>
        <w:pStyle w:val="Heading3"/>
        <w:spacing w:after="120" w:before="220"/>
      </w:pPr>
      <w:r>
        <w:rPr>
          <w:rFonts w:ascii="Times New Roman" w:cs="Times New Roman" w:eastAsia="Times New Roman" w:hAnsi="Times New Roman"/>
          <w:b/>
          <w:bCs/>
          <w:color w:val="E07B00"/>
          <w:sz w:val="24"/>
          <w:szCs w:val="24"/>
        </w:rPr>
        <w:t xml:space="preserve">Phase 5 — Training &amp; Change Readiness</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 role-based training to all impacted cohorts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Deploy job aids and a sandbox practice environment</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readiness assessments per cohort (Knowledge / Ability scoring)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 supervisors on real-time floor-coaching expectations for go-live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go/no-go readiness by cohort against benchmarking bands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bl>
    <w:p>
      <w:pPr>
        <w:pStyle w:val="Heading3"/>
        <w:spacing w:after="120" w:before="220"/>
      </w:pPr>
      <w:r>
        <w:rPr>
          <w:rFonts w:ascii="Times New Roman" w:cs="Times New Roman" w:eastAsia="Times New Roman" w:hAnsi="Times New Roman"/>
          <w:b/>
          <w:bCs/>
          <w:color w:val="E07B00"/>
          <w:sz w:val="24"/>
          <w:szCs w:val="24"/>
        </w:rPr>
        <w:t xml:space="preserve">Phase 6 — Cutover &amp; Go-Live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data freeze and final migration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cutover runbook and technical validation checks</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Decommission or lock access to the legacy system per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Communicate go-live confirmation to all cohorts</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Activate the hypercare support model on Day 1</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bl>
    <w:p>
      <w:pPr>
        <w:pStyle w:val="Heading3"/>
        <w:spacing w:after="120" w:before="220"/>
      </w:pPr>
      <w:r>
        <w:rPr>
          <w:rFonts w:ascii="Times New Roman" w:cs="Times New Roman" w:eastAsia="Times New Roman" w:hAnsi="Times New Roman"/>
          <w:b/>
          <w:bCs/>
          <w:color w:val="E07B00"/>
          <w:sz w:val="24"/>
          <w:szCs w:val="24"/>
        </w:rPr>
        <w:t xml:space="preserve">Phase 7 — Hypercare &amp; Stabilization</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Staff an elevated support desk for the first weeks post-go-live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Track adoption metrics daily and triage defects by severity</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a Kübler-Ross / Bridges re-pulse at 2 and 4 weeks post-go-live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Coach any cohort showing regression</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Taper support toward standard service levels as metrics stabilize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bl>
    <w:p>
      <w:pPr>
        <w:pStyle w:val="Heading3"/>
        <w:spacing w:after="120" w:before="220"/>
      </w:pPr>
      <w:r>
        <w:rPr>
          <w:rFonts w:ascii="Times New Roman" w:cs="Times New Roman" w:eastAsia="Times New Roman" w:hAnsi="Times New Roman"/>
          <w:b/>
          <w:bCs/>
          <w:color w:val="E07B00"/>
          <w:sz w:val="24"/>
          <w:szCs w:val="24"/>
        </w:rPr>
        <w:t xml:space="preserve">Phase 8 — Sustainment &amp; Closure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6545"/>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w:t>
            </w:r>
          </w:p>
        </w:tc>
        <w:tc>
          <w:tcPr>
            <w:tcW w:type="dxa" w:w="654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Task Name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Nature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T1</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Embed new-process metrics into standard performance management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T2</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Reinforcement mechanisms are active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T3</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60-day and 90-day checkpoint reviews against benchmarking bands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T4</w:t>
            </w:r>
          </w:p>
        </w:tc>
        <w:tc>
          <w:tcPr>
            <w:tcW w:type="dxa" w:w="654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Call Refreeze formally once checkpoint evidence, not the calendar, supports it</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T5</w:t>
            </w:r>
          </w:p>
        </w:tc>
        <w:tc>
          <w:tcPr>
            <w:tcW w:type="dxa" w:w="654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 the Change Management project and hand off ongoing ownership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r>
    </w:tbl>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5. Week-by-Week Implementation Timeline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Each phase below lists the concrete weekly actions, the journi module to update (if any), and who is primarily involved. Owner codes: ES = Executive Sponsor, CM = Change Manager, PM = Program/Project Manager, FPO = Functional Process Owner, ITL = IT/Technical Lead, SUP = Frontline Supervisor, EU = End User cohort. Section 6 gives the full Task/Step/technique detail behind each of these weekly actions.</w:t>
      </w:r>
    </w:p>
    <w:p>
      <w:pPr>
        <w:pStyle w:val="Heading2"/>
        <w:spacing w:after="150" w:before="300"/>
      </w:pPr>
      <w:r>
        <w:rPr>
          <w:rFonts w:ascii="Times New Roman" w:cs="Times New Roman" w:eastAsia="Times New Roman" w:hAnsi="Times New Roman"/>
          <w:b/>
          <w:bCs/>
          <w:color w:val="3A3A3C"/>
          <w:sz w:val="27"/>
          <w:szCs w:val="27"/>
        </w:rPr>
        <w:t xml:space="preserve">5.1 Phase 1 — Discovery &amp; Design (Weeks 1–12)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Establishes the business case, opens the journi project, and captures the Month-0 baseline across all four frameworks before any visible change has happened.</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Kickoff; confirm Executive Sponsor; open the Initiative Registry and set Lewin = Unfreeze.</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W2–W3</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current-state discovery workshops per impacted function.</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Quantify pain points and the cost of inaction; build the Stakeholder Map.</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W5–W6</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Draft and review future-state process scope and design principles.</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 ITL</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W7</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Formally open the Change Management project; brief the CM team on Modules 6–7.</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W8</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baseline ADKAR / Bridges / Kübler-Ross pulse (Month-0 reading).</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W9</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baseline pulse with the Steering Committee; confirm the risk register.</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W10</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 the future-state design; close the Phase 1 SIPOC sign-off.</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W11</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Buffer / catch-up; finalize the RAID log.</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W12</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1 gate review — confirm the Unfreeze reading against the evidence, not the calendar.</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bl>
    <w:p>
      <w:pPr>
        <w:spacing w:after="200" w:before="60"/>
        <w:jc w:val="left"/>
      </w:pPr>
      <w:r>
        <w:rPr>
          <w:rFonts w:ascii="Times New Roman" w:cs="Times New Roman" w:eastAsia="Times New Roman" w:hAnsi="Times New Roman"/>
          <w:i/>
          <w:iCs/>
          <w:color w:val="58595B"/>
          <w:sz w:val="19"/>
          <w:szCs w:val="19"/>
        </w:rPr>
        <w:t xml:space="preserve">Table 5.1 — Weekly action plan for Discovery &amp; Design.</w:t>
      </w:r>
    </w:p>
    <w:p>
      <w:pPr>
        <w:pStyle w:val="Heading2"/>
        <w:spacing w:after="150" w:before="300"/>
      </w:pPr>
      <w:r>
        <w:rPr>
          <w:rFonts w:ascii="Times New Roman" w:cs="Times New Roman" w:eastAsia="Times New Roman" w:hAnsi="Times New Roman"/>
          <w:b/>
          <w:bCs/>
          <w:color w:val="3A3A3C"/>
          <w:sz w:val="27"/>
          <w:szCs w:val="27"/>
        </w:rPr>
        <w:t xml:space="preserve">5.2 Phase 2 — Build &amp; Configuration (Weeks 5–24 (overlaps Phase 1 close and Phase 3 start))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Technical configuration proceeds in parallel with the first communications wave and the recruitment of the change champion network.</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W5–W6</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Stand up the configuration environment; begin platform configuration against the approved design.</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W7–W8</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Continue configuration; begin design-review checkpoints with functional owners.</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FPO</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W9–W10</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Recruit change champion network nominees.</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W11–W12</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Launch Phase-1 communications (why / what / when) and an FAQ channel.</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W13–W14</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 and activate the champion network.</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W15–W16</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Re-run the ADKAR pulse (Awareness / early Desire).</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W17–W18</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Continue design-review checkpoints; resolve open build decisions.</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W19–W20</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Configuration checkpoint review; confirm build readiness ahead of migration.</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W21–W22</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Finalize the configuration decision log.</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W23–W24</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2 gate review — confirm the Awareness → Desire trend with the Steering Committee.</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PM</w:t>
            </w:r>
          </w:p>
        </w:tc>
      </w:tr>
    </w:tbl>
    <w:p>
      <w:pPr>
        <w:spacing w:after="200" w:before="60"/>
        <w:jc w:val="left"/>
      </w:pPr>
      <w:r>
        <w:rPr>
          <w:rFonts w:ascii="Times New Roman" w:cs="Times New Roman" w:eastAsia="Times New Roman" w:hAnsi="Times New Roman"/>
          <w:i/>
          <w:iCs/>
          <w:color w:val="58595B"/>
          <w:sz w:val="19"/>
          <w:szCs w:val="19"/>
        </w:rPr>
        <w:t xml:space="preserve">Table 5.2 — Weekly action plan for Build &amp; Configuration.</w:t>
      </w:r>
    </w:p>
    <w:p>
      <w:pPr>
        <w:pStyle w:val="Heading2"/>
        <w:spacing w:after="150" w:before="300"/>
      </w:pPr>
      <w:r>
        <w:rPr>
          <w:rFonts w:ascii="Times New Roman" w:cs="Times New Roman" w:eastAsia="Times New Roman" w:hAnsi="Times New Roman"/>
          <w:b/>
          <w:bCs/>
          <w:color w:val="3A3A3C"/>
          <w:sz w:val="27"/>
          <w:szCs w:val="27"/>
        </w:rPr>
        <w:t xml:space="preserve">5.3 Phase 3 — Data Migration &amp; Integration (Weeks 13–28 (runs alongside Phase 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highest-risk, least-visible phase — exactly where journi's own data shows a Desire stall is most likely (Exception E1).</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W13–W14</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Cleanse and map legacy data to the future-state model.</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W15–W16</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integrations with adjacent systems.</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W17–W18</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integrations; log defects.</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W19–W20</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first mock migration cycle and reconcile results.</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W21–W22</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Watch for Desire-stall signals from low end-user visibility; log a barrier reason if Desire ≤ 2.</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W23–W24</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second mock migration cycle; prepare data-quality sign-off.</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W25–W26</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 the Composite Readiness Index ahead of the Testing entry gate.</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W27–W28</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Data-quality sign-off; Phase 3 gate review.</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ES</w:t>
            </w:r>
          </w:p>
        </w:tc>
      </w:tr>
    </w:tbl>
    <w:p>
      <w:pPr>
        <w:spacing w:after="200" w:before="60"/>
        <w:jc w:val="left"/>
      </w:pPr>
      <w:r>
        <w:rPr>
          <w:rFonts w:ascii="Times New Roman" w:cs="Times New Roman" w:eastAsia="Times New Roman" w:hAnsi="Times New Roman"/>
          <w:i/>
          <w:iCs/>
          <w:color w:val="58595B"/>
          <w:sz w:val="19"/>
          <w:szCs w:val="19"/>
        </w:rPr>
        <w:t xml:space="preserve">Table 5.3 — Weekly action plan for Data Migration &amp; Integration.</w:t>
      </w:r>
    </w:p>
    <w:p>
      <w:pPr>
        <w:pStyle w:val="Heading2"/>
        <w:spacing w:after="150" w:before="300"/>
      </w:pPr>
      <w:r>
        <w:rPr>
          <w:rFonts w:ascii="Times New Roman" w:cs="Times New Roman" w:eastAsia="Times New Roman" w:hAnsi="Times New Roman"/>
          <w:b/>
          <w:bCs/>
          <w:color w:val="3A3A3C"/>
          <w:sz w:val="27"/>
          <w:szCs w:val="27"/>
        </w:rPr>
        <w:t xml:space="preserve">5.4 Phase 4 — Testing (SIT / UAT) (Weeks 25–32 (overlaps Phase 3 close and Phase 5))</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first point where a representative slice of end users gets real hands-on exposure — and the first honest opportunity to run the Divergence Pattern check (Exception E2).</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W25–W26</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system integration testing (SIT).</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W27</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Recruit a representative UAT cohort.</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FPO</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W28–W29</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UAT sessions; log defects and usability friction.</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EU</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W30</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Cross-check Knowledge / Ability scores against the Bridges reading — run the Divergence Pattern check.</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W31</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Triage and remediate defects before sign-off.</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W32</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SIT / UAT sign-off; Phase 4 gate review.</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ES</w:t>
            </w:r>
          </w:p>
        </w:tc>
      </w:tr>
    </w:tbl>
    <w:p>
      <w:pPr>
        <w:spacing w:after="200" w:before="60"/>
        <w:jc w:val="left"/>
      </w:pPr>
      <w:r>
        <w:rPr>
          <w:rFonts w:ascii="Times New Roman" w:cs="Times New Roman" w:eastAsia="Times New Roman" w:hAnsi="Times New Roman"/>
          <w:i/>
          <w:iCs/>
          <w:color w:val="58595B"/>
          <w:sz w:val="19"/>
          <w:szCs w:val="19"/>
        </w:rPr>
        <w:t xml:space="preserve">Table 5.4 — Weekly action plan for Testing (SIT / UAT).</w:t>
      </w:r>
    </w:p>
    <w:p>
      <w:pPr>
        <w:pStyle w:val="Heading2"/>
        <w:spacing w:after="150" w:before="300"/>
      </w:pPr>
      <w:r>
        <w:rPr>
          <w:rFonts w:ascii="Times New Roman" w:cs="Times New Roman" w:eastAsia="Times New Roman" w:hAnsi="Times New Roman"/>
          <w:b/>
          <w:bCs/>
          <w:color w:val="3A3A3C"/>
          <w:sz w:val="27"/>
          <w:szCs w:val="27"/>
        </w:rPr>
        <w:t xml:space="preserve">5.5 Phase 5 — Training &amp; Change Readiness (Weeks 25–36 (overlaps Testing))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Knowledge becomes Ability under increasingly realistic conditions, while Bridges settles into the Neutral Zone.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W25–W27</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Finalize the training curriculum and job aids.</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(training lead)</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W28–W30</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 role-based training, wave 1.</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W31–W32</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Deploy the sandbox practice environment; deliver training wave 2.</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W33–W34</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readiness assessments per cohort (Knowledge / Ability scoring).</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W35</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 supervisors on real-time floor-coaching expectations for go-live.</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W36</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cohort-level go / no-go readiness against the benchmarking bands.</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15</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CM, PM</w:t>
            </w:r>
          </w:p>
        </w:tc>
      </w:tr>
    </w:tbl>
    <w:p>
      <w:pPr>
        <w:spacing w:after="200" w:before="60"/>
        <w:jc w:val="left"/>
      </w:pPr>
      <w:r>
        <w:rPr>
          <w:rFonts w:ascii="Times New Roman" w:cs="Times New Roman" w:eastAsia="Times New Roman" w:hAnsi="Times New Roman"/>
          <w:i/>
          <w:iCs/>
          <w:color w:val="58595B"/>
          <w:sz w:val="19"/>
          <w:szCs w:val="19"/>
        </w:rPr>
        <w:t xml:space="preserve">Table 5.5 — Weekly action plan for Training &amp; Change Readiness.</w:t>
      </w:r>
    </w:p>
    <w:p>
      <w:pPr>
        <w:pStyle w:val="Heading2"/>
        <w:spacing w:after="150" w:before="300"/>
      </w:pPr>
      <w:r>
        <w:rPr>
          <w:rFonts w:ascii="Times New Roman" w:cs="Times New Roman" w:eastAsia="Times New Roman" w:hAnsi="Times New Roman"/>
          <w:b/>
          <w:bCs/>
          <w:color w:val="3A3A3C"/>
          <w:sz w:val="27"/>
          <w:szCs w:val="27"/>
        </w:rPr>
        <w:t xml:space="preserve">5.6 Phase 6 — Cutover &amp; Go-Live (Week 37 (short, discrete event))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sharpest instance of the two-clock problem: a single-day organizational milestone layered on an emotional clock that does not move that fast (Exception E3).</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data freeze and final migration; run the cutover runbook.</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Decommission or lock legacy system access per plan.</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Communicate go-live confirmation to all cohorts.</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Activate the hypercare support model; mark Lewin as “Change → Refreeze (provisional)”.</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bl>
    <w:p>
      <w:pPr>
        <w:spacing w:after="200" w:before="60"/>
        <w:jc w:val="left"/>
      </w:pPr>
      <w:r>
        <w:rPr>
          <w:rFonts w:ascii="Times New Roman" w:cs="Times New Roman" w:eastAsia="Times New Roman" w:hAnsi="Times New Roman"/>
          <w:i/>
          <w:iCs/>
          <w:color w:val="58595B"/>
          <w:sz w:val="19"/>
          <w:szCs w:val="19"/>
        </w:rPr>
        <w:t xml:space="preserve">Table 5.6 — Weekly action plan for Cutover &amp; Go-Live.</w:t>
      </w:r>
    </w:p>
    <w:p>
      <w:pPr>
        <w:pStyle w:val="Heading2"/>
        <w:spacing w:after="150" w:before="300"/>
      </w:pPr>
      <w:r>
        <w:rPr>
          <w:rFonts w:ascii="Times New Roman" w:cs="Times New Roman" w:eastAsia="Times New Roman" w:hAnsi="Times New Roman"/>
          <w:b/>
          <w:bCs/>
          <w:color w:val="3A3A3C"/>
          <w:sz w:val="27"/>
          <w:szCs w:val="27"/>
        </w:rPr>
        <w:t xml:space="preserve">5.7 Phase 7 — Hypercare &amp; Stabilization (Weeks 37–48)</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last mile of adoption is won or lost here — and regression is normal, expected behavior, not a data error (Exception E4).</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W38</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Staff the elevated support desk; begin daily adoption-metric tracking.</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W39–W40</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First Kübler-Ross / Bridges re-pulse (2-week mark).</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W41–W42</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Coach any cohort showing regression; continue daily metric triage.</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W43–W44</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Second re-pulse (4-week mark); compare against the provisional Lewin call.</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W45–W46</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Begin tapering support toward standard service levels where metrics have stabilized.</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W47–W48</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or extend hypercare for lagging cohorts; Phase 7 gate review.</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bl>
    <w:p>
      <w:pPr>
        <w:spacing w:after="200" w:before="60"/>
        <w:jc w:val="left"/>
      </w:pPr>
      <w:r>
        <w:rPr>
          <w:rFonts w:ascii="Times New Roman" w:cs="Times New Roman" w:eastAsia="Times New Roman" w:hAnsi="Times New Roman"/>
          <w:i/>
          <w:iCs/>
          <w:color w:val="58595B"/>
          <w:sz w:val="19"/>
          <w:szCs w:val="19"/>
        </w:rPr>
        <w:t xml:space="preserve">Table 5.7 — Weekly action plan for Hypercare &amp; Stabilization.</w:t>
      </w:r>
    </w:p>
    <w:p>
      <w:pPr>
        <w:pStyle w:val="Heading2"/>
        <w:spacing w:after="150" w:before="300"/>
      </w:pPr>
      <w:r>
        <w:rPr>
          <w:rFonts w:ascii="Times New Roman" w:cs="Times New Roman" w:eastAsia="Times New Roman" w:hAnsi="Times New Roman"/>
          <w:b/>
          <w:bCs/>
          <w:color w:val="3A3A3C"/>
          <w:sz w:val="27"/>
          <w:szCs w:val="27"/>
        </w:rPr>
        <w:t xml:space="preserve">5.8 Phase 8 — Sustainment &amp; Closure (Weeks 45–52+)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Refreeze is called from checkpoint evidence, never the calendar — the discipline that protects against a Reinforcement gap (Exception E5).</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5143"/>
        <w:gridCol w:w="1403"/>
        <w:gridCol w:w="1870"/>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14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Primary Owner(s)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W45–W46</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Embed new-process metrics into standard performance management, with HR support.</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W47–W48</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Reinforcement mechanisms are active (recognition, manager check-ins, revoked legacy access).</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W49–W50</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60-day checkpoint review against the benchmarking bands.</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15</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W51–W52</w:t>
            </w:r>
          </w:p>
        </w:tc>
        <w:tc>
          <w:tcPr>
            <w:tcW w:type="dxa" w:w="514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90-day checkpoint review; call Refreeze formally once evidence supports it.</w:t>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87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W52+</w:t>
            </w:r>
          </w:p>
        </w:tc>
        <w:tc>
          <w:tcPr>
            <w:tcW w:type="dxa" w:w="514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 the Change Management project; hand off ownership to the business; log lessons learned.</w:t>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bl>
    <w:p>
      <w:pPr>
        <w:spacing w:after="200" w:before="60"/>
        <w:jc w:val="left"/>
      </w:pPr>
      <w:r>
        <w:rPr>
          <w:rFonts w:ascii="Times New Roman" w:cs="Times New Roman" w:eastAsia="Times New Roman" w:hAnsi="Times New Roman"/>
          <w:i/>
          <w:iCs/>
          <w:color w:val="58595B"/>
          <w:sz w:val="19"/>
          <w:szCs w:val="19"/>
        </w:rPr>
        <w:t xml:space="preserve">Table 5.8 — Weekly action plan for Sustainment &amp; Closure.</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6. Detailed Phase Playbooks — SIPOC, Timeline, Tasks, Steps &amp; RACSI</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section takes each of the eight phases down to full operational detail. For every phase you will find: a week-by-week timeline; a phase-level SIPOC (Suppliers – Inputs – Process – Outputs – Customers), with the Process column listing the phase's five Tasks by number and name; each Task, tagged [PROJECT], [CHANGE] or [JOINT]; every Task broken into its Steps, each with its own SIPOC, a named technique, the technique's goal, a working description of how to execute it, and a recommended open-source tool; a journi cross-reference wherever a Task or Step touches a specific module; and a RACSI assignment per Task, where more than one role can be Responsible but exactly one role is Accountable.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Role codes used throughout: ES = Executive Sponsor, CM = Change Manager, PM = Program/Project Manager, FPO = Functional Process Owner, ITL = IT/Technical Lead, SUP = Frontline Supervisor, EU = End User cohort. Recommended tools are open-source options illustrative of the technique — substitute your organization's approved equivalents where policy requires.</w:t>
      </w:r>
    </w:p>
    <w:p>
      <w:r>
        <w:br w:type="page"/>
      </w:r>
    </w:p>
    <w:p>
      <w:pPr>
        <w:pStyle w:val="Heading2"/>
        <w:spacing w:after="150" w:before="300"/>
      </w:pPr>
      <w:r>
        <w:rPr>
          <w:rFonts w:ascii="Times New Roman" w:cs="Times New Roman" w:eastAsia="Times New Roman" w:hAnsi="Times New Roman"/>
          <w:b/>
          <w:bCs/>
          <w:color w:val="3A3A3C"/>
          <w:sz w:val="27"/>
          <w:szCs w:val="27"/>
        </w:rPr>
        <w:t xml:space="preserve">6.1 Phase 1 — Discovery &amp; Design (Weeks 1–12)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Establishes the business case, opens the journi project, and captures the Month-0 baseline across all four frameworks before any visible change has happened.</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Kickoff; confirm Executive Sponsor; open the Initiative Registry and set Lewin = Unfreeze.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W2–W3</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current-state discovery workshops per impacted function.</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Quantify pain points and the cost of inaction; build the Stakeholder Map.</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W5–W6</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Draft and review future-state process scope and design principles.</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 ITL</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W7</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Formally open the Change Management project; brief the CM team on Modules 6–7.</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W8</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baseline ADKAR / Bridges / Kübler-Ross pulse (Month-0 reading).</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W9</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baseline pulse with the Steering Committee; confirm the risk register.</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W10</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 the future-state design; close the Phase 1 SIPOC sign-off.</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W11</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Buffer / catch-up; finalize the RAID log.</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W12</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1 gate review — confirm the Unfreeze reading against the evidence, not the calendar.</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1 — Discovery &amp; Design.</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Steering Committee; Functional Process Owners; Enterprise architecture / IT strategy; External advisory (if engaged).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Strategic mandate and budget approval; current-state process documentation; pain-point interview notes; org chart and stakeholder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Run current-state discovery workshops per impacted function</w:t>
            </w:r>
          </w:p>
          <w:p>
            <w:pPr>
              <w:jc w:val="left"/>
            </w:pPr>
            <w:r>
              <w:rPr>
                <w:rFonts w:ascii="Times New Roman" w:cs="Times New Roman" w:eastAsia="Times New Roman" w:hAnsi="Times New Roman"/>
                <w:b w:val="false"/>
                <w:bCs w:val="false"/>
                <w:color w:val="58595B"/>
                <w:sz w:val="19"/>
                <w:szCs w:val="19"/>
              </w:rPr>
              <w:t xml:space="preserve">2. Quantify pain points and the cost of inaction</w:t>
            </w:r>
          </w:p>
          <w:p>
            <w:pPr>
              <w:jc w:val="left"/>
            </w:pPr>
            <w:r>
              <w:rPr>
                <w:rFonts w:ascii="Times New Roman" w:cs="Times New Roman" w:eastAsia="Times New Roman" w:hAnsi="Times New Roman"/>
                <w:b w:val="false"/>
                <w:bCs w:val="false"/>
                <w:color w:val="58595B"/>
                <w:sz w:val="19"/>
                <w:szCs w:val="19"/>
              </w:rPr>
              <w:t xml:space="preserve">3. Define future-state process scope and design principles</w:t>
            </w:r>
          </w:p>
          <w:p>
            <w:pPr>
              <w:jc w:val="left"/>
            </w:pPr>
            <w:r>
              <w:rPr>
                <w:rFonts w:ascii="Times New Roman" w:cs="Times New Roman" w:eastAsia="Times New Roman" w:hAnsi="Times New Roman"/>
                <w:b w:val="false"/>
                <w:bCs w:val="false"/>
                <w:color w:val="58595B"/>
                <w:sz w:val="19"/>
                <w:szCs w:val="19"/>
              </w:rPr>
              <w:t xml:space="preserve">4. Open the Change Management project; set the Lewin phase</w:t>
            </w:r>
          </w:p>
          <w:p>
            <w:pPr>
              <w:jc w:val="left"/>
            </w:pPr>
            <w:r>
              <w:rPr>
                <w:rFonts w:ascii="Times New Roman" w:cs="Times New Roman" w:eastAsia="Times New Roman" w:hAnsi="Times New Roman"/>
                <w:b w:val="false"/>
                <w:bCs w:val="false"/>
                <w:color w:val="58595B"/>
                <w:sz w:val="19"/>
                <w:szCs w:val="19"/>
              </w:rPr>
              <w:t xml:space="preserve">5. Run the baseline ADKAR / Bridges / Kübler-Ross pulse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RAID log; Stakeholder Map; baseline framework readings.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Functional leaders; Program Manager; Change Manager.</w:t>
            </w:r>
          </w:p>
        </w:tc>
      </w:tr>
    </w:tbl>
    <w:p>
      <w:pPr>
        <w:spacing w:after="200" w:before="60"/>
        <w:jc w:val="left"/>
      </w:pPr>
      <w:r>
        <w:rPr>
          <w:rFonts w:ascii="Times New Roman" w:cs="Times New Roman" w:eastAsia="Times New Roman" w:hAnsi="Times New Roman"/>
          <w:i/>
          <w:iCs/>
          <w:color w:val="58595B"/>
          <w:sz w:val="19"/>
          <w:szCs w:val="19"/>
        </w:rPr>
        <w:t xml:space="preserve">SIPOC for Phase 1 — Discovery &amp; Design.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Run current-state discovery workshops per impacted function</w:t>
      </w:r>
    </w:p>
    <w:p>
      <w:pPr>
        <w:spacing w:after="90" w:before="180"/>
      </w:pPr>
      <w:r>
        <w:rPr>
          <w:rFonts w:ascii="Times New Roman" w:cs="Times New Roman" w:eastAsia="Times New Roman" w:hAnsi="Times New Roman"/>
          <w:b/>
          <w:bCs/>
          <w:color w:val="E07B00"/>
          <w:sz w:val="22"/>
          <w:szCs w:val="22"/>
        </w:rPr>
        <w:t xml:space="preserve">Step 1 — Facilitate the discovery workshop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first substantive contact with the business since the program was announced, so how it is run sets the tone for every workshop that follows — the FPO should leave feeling heard, not interrogated.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Steering Committee; Functional Process Owners; Enterprise architecture / IT strategy; External advisory (if engaged).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Strategic mandate and budget approval; current-state process documentation; pain-point interview notes; org chart and stakeholder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As-is process map, function by function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(Structured interview)</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Capture as-is process steps and pain points directly from SMEs.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a 90-minute session per function with the FPO and 3–5 SMEs; walk the process end to end on a shared board and capture every pain point as a sticky note.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BPMN.io</w:t>
            </w:r>
          </w:p>
        </w:tc>
      </w:tr>
    </w:tbl>
    <w:p>
      <w:pPr>
        <w:spacing w:after="90" w:before="180"/>
      </w:pPr>
      <w:r>
        <w:rPr>
          <w:rFonts w:ascii="Times New Roman" w:cs="Times New Roman" w:eastAsia="Times New Roman" w:hAnsi="Times New Roman"/>
          <w:b/>
          <w:bCs/>
          <w:color w:val="E07B00"/>
          <w:sz w:val="22"/>
          <w:szCs w:val="22"/>
        </w:rPr>
        <w:t xml:space="preserve">Step 2 — Interview individual contributors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Group workshops tend to surface the loudest opinions in the room; a handful of 1:1s catches the quieter, more specific frustrations that group dynamics suppress.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(Facilitated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As-is process map, function by function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Structured interview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Coded interview notes by theme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Functional leaders; Program Manager;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Structured interview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Probe individual pain points beyond what surfaces in the group setting.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30-minute 1:1s with a cross-section of individual contributors, using a fixed question guide, recorded and coded for themes.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Taguette</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PM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Quantify pain points and the cost of inaction</w:t>
      </w:r>
    </w:p>
    <w:p>
      <w:pPr>
        <w:spacing w:after="90" w:before="180"/>
      </w:pPr>
      <w:r>
        <w:rPr>
          <w:rFonts w:ascii="Times New Roman" w:cs="Times New Roman" w:eastAsia="Times New Roman" w:hAnsi="Times New Roman"/>
          <w:b/>
          <w:bCs/>
          <w:color w:val="E07B00"/>
          <w:sz w:val="22"/>
          <w:szCs w:val="22"/>
        </w:rPr>
        <w:t xml:space="preserve">Step 1 — Profile current-state transaction data</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Turning workshop anecdotes into hard numbers is what makes the business case defensible in front of Finance and the Steering Committee later in this phase.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Steering Committee; Functional Process Owners; Enterprise architecture / IT strategy; External advisory (if engaged).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Strategic mandate and budget approval; current-state process documentation; pain-point interview notes; org chart and stakeholder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profiling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Current-state metrics baseline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(Cost-of-inaction workshop)</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profiling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Quantify current-state error rates and cycle times from source systems.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Extract a 90-day sample of transactions from the legacy system and profile it for error rate, rework rate and average cycle time.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OpenRefine</w:t>
            </w:r>
          </w:p>
        </w:tc>
      </w:tr>
    </w:tbl>
    <w:p>
      <w:pPr>
        <w:spacing w:after="90" w:before="180"/>
      </w:pPr>
      <w:r>
        <w:rPr>
          <w:rFonts w:ascii="Times New Roman" w:cs="Times New Roman" w:eastAsia="Times New Roman" w:hAnsi="Times New Roman"/>
          <w:b/>
          <w:bCs/>
          <w:color w:val="E07B00"/>
          <w:sz w:val="22"/>
          <w:szCs w:val="22"/>
        </w:rPr>
        <w:t xml:space="preserve">Step 2 — Build the cost-of-inaction case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dollar figure travels further in a Steering Committee meeting than a list of complaints does; this session is where the two get joined together.</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(Data profiling)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Current-state metrics baseline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Cost-of-inaction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Cost-of-inaction business case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Functional leaders; Program Manager;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Cost-of-inaction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Translate pain points into a business-case narrative leadership can act 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 a 2-hour session with FPOs and Finance to convert the quantified pain points into an annualized cost-of-inaction figure.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Calc</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PM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Define future-state process scope and design principles</w:t>
      </w:r>
    </w:p>
    <w:p>
      <w:pPr>
        <w:spacing w:after="90" w:before="180"/>
      </w:pPr>
      <w:r>
        <w:rPr>
          <w:rFonts w:ascii="Times New Roman" w:cs="Times New Roman" w:eastAsia="Times New Roman" w:hAnsi="Times New Roman"/>
          <w:b/>
          <w:bCs/>
          <w:color w:val="E07B00"/>
          <w:sz w:val="22"/>
          <w:szCs w:val="22"/>
        </w:rPr>
        <w:t xml:space="preserve">Step 1 — Map the future-state process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map becomes the single reference every later configuration decision is checked against, so it needs to be validated against real operating constraints, not just aspiration.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Steering Committee; Functional Process Owners; Enterprise architecture / IT strategy; External advisory (if engaged).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Strategic mandate and budget approval; current-state process documentation; pain-point interview notes; org chart and stakeholder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Future-state process mapping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Future-state process map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(Design-principles workshop)</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Future-state process mapping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 the target-state workflow at a working level of 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Redraw the as-is map to the agreed target state, step by step, with the FPO validating each change against real operating constraints.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BPMN.io</w:t>
            </w:r>
          </w:p>
        </w:tc>
      </w:tr>
    </w:tbl>
    <w:p>
      <w:pPr>
        <w:spacing w:after="90" w:before="180"/>
      </w:pPr>
      <w:r>
        <w:rPr>
          <w:rFonts w:ascii="Times New Roman" w:cs="Times New Roman" w:eastAsia="Times New Roman" w:hAnsi="Times New Roman"/>
          <w:b/>
          <w:bCs/>
          <w:color w:val="E07B00"/>
          <w:sz w:val="22"/>
          <w:szCs w:val="22"/>
        </w:rPr>
        <w:t xml:space="preserve">Step 2 — Agree the design principles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Design principles exist so that dozens of small configuration decisions later don't each reopen a philosophical debate — they get checked against a rule instead.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(Future-state process mapping)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Future-state process map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Design-principles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Signed-off design principles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Functional leaders; Program Manager;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Design-principles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Agree the non-negotiable design constraints before configuration starts.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 a session to agree 5–8 written design principles (e.g. “no duplicate approvals”) that every later configuration decision must satisfy.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draw.io (diagrams.net)</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Open the Change Management project; set the Lewin phase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90" w:before="180"/>
      </w:pPr>
      <w:r>
        <w:rPr>
          <w:rFonts w:ascii="Times New Roman" w:cs="Times New Roman" w:eastAsia="Times New Roman" w:hAnsi="Times New Roman"/>
          <w:b/>
          <w:bCs/>
          <w:color w:val="E07B00"/>
          <w:sz w:val="22"/>
          <w:szCs w:val="22"/>
        </w:rPr>
        <w:t xml:space="preserve">Step 1 — Register the initiative in journi</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Everything else in this guide assumes the initiative already exists as a journi record; this is the administrative first step that makes all later tracking possible.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Steering Committee; Functional Process Owners; Enterprise architecture / IT strategy; External advisory (if engaged).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Strategic mandate and budget approval; current-state process documentation; pain-point interview notes; org chart and stakeholder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Initiative registration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Registered CM initiative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(Facilitated phase-call review)</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Initiative registration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Formally register the CM project and baseline scope in the Initiative Registry.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Create the initiative record with scope, sponsor, timeline and linked Project Management project reference.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 — Initiative Registry.</w:t>
      </w:r>
    </w:p>
    <w:p>
      <w:pPr>
        <w:spacing w:after="90" w:before="180"/>
      </w:pPr>
      <w:r>
        <w:rPr>
          <w:rFonts w:ascii="Times New Roman" w:cs="Times New Roman" w:eastAsia="Times New Roman" w:hAnsi="Times New Roman"/>
          <w:b/>
          <w:bCs/>
          <w:color w:val="E07B00"/>
          <w:sz w:val="22"/>
          <w:szCs w:val="22"/>
        </w:rPr>
        <w:t xml:space="preserve">Step 2 — Review evidence and set the phase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Setting Unfreeze here, rather than defaulting to it because the program just started, establishes the discipline of evidence-based phase calls that the rest of the program depends on.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(Initiative registration)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Registered CM initiative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phase-call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Lewin phase-call rationale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Functional leaders; Program Manager;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phase-call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Set the initial Lewin phase from qualitative evidence, not assumption.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discovery-workshop signals against the Section 3 signal catalogue with the CM and Sponsor before selecting the phase value.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(wiki page for rationale)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 — Initiative Registry.</w:t>
      </w:r>
    </w:p>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ES</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Run the baseline ADKAR / Bridges / Kübler-Ross pulse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6–7.</w:t>
      </w:r>
    </w:p>
    <w:p>
      <w:pPr>
        <w:spacing w:after="90" w:before="180"/>
      </w:pPr>
      <w:r>
        <w:rPr>
          <w:rFonts w:ascii="Times New Roman" w:cs="Times New Roman" w:eastAsia="Times New Roman" w:hAnsi="Times New Roman"/>
          <w:b/>
          <w:bCs/>
          <w:color w:val="E07B00"/>
          <w:sz w:val="22"/>
          <w:szCs w:val="22"/>
        </w:rPr>
        <w:t xml:space="preserve">Step 1 — Survey the full population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 later comparison in this program — wave 2, post-go-live, the Meridian-style trend lines — is only meaningful relative to this Month-0 reading, so it is worth getting a strong response rate here.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Steering Committee; Functional Process Owners; Enterprise architecture / IT strategy; External advisory (if engaged).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Strategic mandate and budget approval; current-state process documentation; pain-point interview notes; org chart and stakeholder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Month-0 ADKAR / Bridges / Kübler-Ross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(Sentiment / text analytics)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Quantify the Month-0 Awareness / Desire baseline at population scale.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Distribute a 12-question survey covering all five ADKAR blocks plus a Bridges/Kübler-Ross self-placement item to the full impacted population.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 — ADKAR Engine; Module 7 — Emotional &amp; Transition Layer.</w:t>
      </w:r>
    </w:p>
    <w:p>
      <w:pPr>
        <w:spacing w:after="90" w:before="180"/>
      </w:pPr>
      <w:r>
        <w:rPr>
          <w:rFonts w:ascii="Times New Roman" w:cs="Times New Roman" w:eastAsia="Times New Roman" w:hAnsi="Times New Roman"/>
          <w:b/>
          <w:bCs/>
          <w:color w:val="E07B00"/>
          <w:sz w:val="22"/>
          <w:szCs w:val="22"/>
        </w:rPr>
        <w:t xml:space="preserve">Step 2 — Mine open comments for themes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numeric scores tell you how people feel; the free-text answers tell you why — and why is what the Section 2 communications plan and the FAQ need to address first.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(Pulse survey)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Month-0 ADKAR / Bridges / Kübler-Ross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Sentiment / text analytics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Top-theme summary from open comments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Functional leaders; Program Manager;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Sentiment / text analytics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Mine open-text pulse comments for early recurring themes.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free-text responses through a keyword/theme extraction pass and summarize the top five recurring concerns for the Steering Committee.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spaCy (Python NLP)</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6.2 Phase 2 — Build &amp; Configuration (Weeks 5–24)</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Technical configuration proceeds in parallel with the first communications wave and the recruitment of the change champion network.</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W5–W6</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Stand up the configuration environment; begin platform configuration against the approved design.</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W7–W8</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Continue configuration; begin design-review checkpoints with functional owners.</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FPO</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W9–W10</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Recruit change champion network nominees.</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W11–W12</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Launch Phase-1 communications (why / what / when) and an FAQ channel.</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W13–W14</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 and activate the champion network.</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W15–W16</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Re-run the ADKAR pulse (Awareness / early Desire).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W17–W18</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Continue design-review checkpoints; resolve open build decisions.</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W19–W20</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Configuration checkpoint review; confirm build readiness ahead of migration.</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W21–W22</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Finalize the configuration decision log.</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W23–W24</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2 gate review — confirm the Awareness → Desire trend with the Steering Committee.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PM</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2 — Build &amp; Configuration.</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and configuration team; Functional Process Owners (requirements sign-off); Change Manager; Communications lead.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configuration and build backlog; communication plan; champion-network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Configure the platform against the approved future-state design</w:t>
            </w:r>
          </w:p>
          <w:p>
            <w:pPr>
              <w:jc w:val="left"/>
            </w:pPr>
            <w:r>
              <w:rPr>
                <w:rFonts w:ascii="Times New Roman" w:cs="Times New Roman" w:eastAsia="Times New Roman" w:hAnsi="Times New Roman"/>
                <w:b w:val="false"/>
                <w:bCs w:val="false"/>
                <w:color w:val="58595B"/>
                <w:sz w:val="19"/>
                <w:szCs w:val="19"/>
              </w:rPr>
              <w:t xml:space="preserve">2. Run design-review checkpoints with functional owners</w:t>
            </w:r>
          </w:p>
          <w:p>
            <w:pPr>
              <w:jc w:val="left"/>
            </w:pPr>
            <w:r>
              <w:rPr>
                <w:rFonts w:ascii="Times New Roman" w:cs="Times New Roman" w:eastAsia="Times New Roman" w:hAnsi="Times New Roman"/>
                <w:b w:val="false"/>
                <w:bCs w:val="false"/>
                <w:color w:val="58595B"/>
                <w:sz w:val="19"/>
                <w:szCs w:val="19"/>
              </w:rPr>
              <w:t xml:space="preserve">3. Launch Phase-1 communications and an FAQ channel</w:t>
            </w:r>
          </w:p>
          <w:p>
            <w:pPr>
              <w:jc w:val="left"/>
            </w:pPr>
            <w:r>
              <w:rPr>
                <w:rFonts w:ascii="Times New Roman" w:cs="Times New Roman" w:eastAsia="Times New Roman" w:hAnsi="Times New Roman"/>
                <w:b w:val="false"/>
                <w:bCs w:val="false"/>
                <w:color w:val="58595B"/>
                <w:sz w:val="19"/>
                <w:szCs w:val="19"/>
              </w:rPr>
              <w:t xml:space="preserve">4. Recruit and brief the change champion network</w:t>
            </w:r>
          </w:p>
          <w:p>
            <w:pPr>
              <w:jc w:val="left"/>
            </w:pPr>
            <w:r>
              <w:rPr>
                <w:rFonts w:ascii="Times New Roman" w:cs="Times New Roman" w:eastAsia="Times New Roman" w:hAnsi="Times New Roman"/>
                <w:b w:val="false"/>
                <w:bCs w:val="false"/>
                <w:color w:val="58595B"/>
                <w:sz w:val="19"/>
                <w:szCs w:val="19"/>
              </w:rPr>
              <w:t xml:space="preserve">5. Re-run the ADKAR pulse (Awareness / early Desire)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Configured build (pre-migration); approved design-decision log; champion-network roster; updated ADKAR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(next phase); Functional Process Owners; end users, via the champion network.</w:t>
            </w:r>
          </w:p>
        </w:tc>
      </w:tr>
    </w:tbl>
    <w:p>
      <w:pPr>
        <w:spacing w:after="200" w:before="60"/>
        <w:jc w:val="left"/>
      </w:pPr>
      <w:r>
        <w:rPr>
          <w:rFonts w:ascii="Times New Roman" w:cs="Times New Roman" w:eastAsia="Times New Roman" w:hAnsi="Times New Roman"/>
          <w:i/>
          <w:iCs/>
          <w:color w:val="58595B"/>
          <w:sz w:val="19"/>
          <w:szCs w:val="19"/>
        </w:rPr>
        <w:t xml:space="preserve">SIPOC for Phase 2 — Build &amp; Configuration.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Configure the platform against the approved future-state design</w:t>
      </w:r>
    </w:p>
    <w:p>
      <w:pPr>
        <w:spacing w:after="90" w:before="180"/>
      </w:pPr>
      <w:r>
        <w:rPr>
          <w:rFonts w:ascii="Times New Roman" w:cs="Times New Roman" w:eastAsia="Times New Roman" w:hAnsi="Times New Roman"/>
          <w:b/>
          <w:bCs/>
          <w:color w:val="E07B00"/>
          <w:sz w:val="22"/>
          <w:szCs w:val="22"/>
        </w:rPr>
        <w:t xml:space="preserve">Step 1 — Run iterative configuration sprints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Building in short, demoable increments — rather than one long build phase — is what makes it possible to catch drift from the design principles before it compounds.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and configuration team; Functional Process Owners (requirements sign-off); Change Manager; Communications lead.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configuration and build backlog; communication plan; champion-network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Iterative configuration sprints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Configured build increments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(Configuration peer review)</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Iterative configuration sprints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the platform incrementally against the signed-off design.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2-week configuration sprints against a prioritized backlog, with a sprint review demo at the end of each.</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(Kanban / backlog)</w:t>
            </w:r>
          </w:p>
        </w:tc>
      </w:tr>
    </w:tbl>
    <w:p>
      <w:pPr>
        <w:spacing w:after="90" w:before="180"/>
      </w:pPr>
      <w:r>
        <w:rPr>
          <w:rFonts w:ascii="Times New Roman" w:cs="Times New Roman" w:eastAsia="Times New Roman" w:hAnsi="Times New Roman"/>
          <w:b/>
          <w:bCs/>
          <w:color w:val="E07B00"/>
          <w:sz w:val="22"/>
          <w:szCs w:val="22"/>
        </w:rPr>
        <w:t xml:space="preserve">Step 2 — Peer-review each configuration change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second set of eyes on every change is cheap insurance against a demo where an FPO discovers, in front of the Steering Committee, that a design principle was quietly broken.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(Iterative configuration sprints)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Configured build increments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Configuration peer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Peer-reviewed configuration changes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(next phase); Functional Process Owners; end users, via the champion network.</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Configuration peer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Catch design drift before it reaches a stakeholder demo.</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second configurator reviews every completed configuration item against the design-principles document before it is marked done.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GitLab (merge-request review, config-as-code)</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ES,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Run design-review checkpoints with functional owners</w:t>
      </w:r>
    </w:p>
    <w:p>
      <w:pPr>
        <w:spacing w:after="90" w:before="180"/>
      </w:pPr>
      <w:r>
        <w:rPr>
          <w:rFonts w:ascii="Times New Roman" w:cs="Times New Roman" w:eastAsia="Times New Roman" w:hAnsi="Times New Roman"/>
          <w:b/>
          <w:bCs/>
          <w:color w:val="E07B00"/>
          <w:sz w:val="22"/>
          <w:szCs w:val="22"/>
        </w:rPr>
        <w:t xml:space="preserve">Step 1 — Demo the build to functional owners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Catching a misunderstanding at a sprint demo costs an afternoon of rework; catching the same misunderstanding at UAT costs a testing cycle.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and configuration team; Functional Process Owners (requirements sign-off); Change Manager; Communications lead.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configuration and build backlog; communication plan; champion-network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Show-and-tell demo</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Demo action-item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(Decision log)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Show-and-tell demo</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Validate configuration against expectations before it hardens.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45-minute walkthrough of the current build with FPOs at the end of each sprint, capturing gaps as tracked action items.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90" w:before="180"/>
      </w:pPr>
      <w:r>
        <w:rPr>
          <w:rFonts w:ascii="Times New Roman" w:cs="Times New Roman" w:eastAsia="Times New Roman" w:hAnsi="Times New Roman"/>
          <w:b/>
          <w:bCs/>
          <w:color w:val="E07B00"/>
          <w:sz w:val="22"/>
          <w:szCs w:val="22"/>
        </w:rPr>
        <w:t xml:space="preserve">Step 2 — Log every design decision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Six months from now, nobody will remember why a particular exception was made unless it is written down at the moment it was decided — this log is that memory.</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(Show-and-tell demo)</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Demo action-item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Decision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Versioned design-decision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(next phase); Functional Process Owners; end users, via the champion network.</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Decision log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Record and version every design decision with its rationale.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 every configuration decision that deviates from or clarifies the original design principles, with the date, owner and rationale.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wiki</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Launch Phase-1 communications and an FAQ channel</w:t>
      </w:r>
    </w:p>
    <w:p>
      <w:pPr>
        <w:spacing w:after="90" w:before="180"/>
      </w:pPr>
      <w:r>
        <w:rPr>
          <w:rFonts w:ascii="Times New Roman" w:cs="Times New Roman" w:eastAsia="Times New Roman" w:hAnsi="Times New Roman"/>
          <w:b/>
          <w:bCs/>
          <w:color w:val="E07B00"/>
          <w:sz w:val="22"/>
          <w:szCs w:val="22"/>
        </w:rPr>
        <w:t xml:space="preserve">Step 1 — Plan the communications calendar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Configuration decisions start becoming visible to the wider population in this phase, which is exactly when an unplanned information vacuum is most likely to fill with rumor.</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and configuration team; Functional Process Owners (requirements sign-off); Change Manager; Communications lead.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configuration and build backlog; communication plan; champion-network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Communications planning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Communications calendar and message drafts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(Self-serve FAQ / knowledge base)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Communications planning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Sequence why / what / when messages by audience and channel.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a 6-week communications calendar mapping message, audience segment, channel and sender for each week of the build phase.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Listmonk</w:t>
            </w:r>
          </w:p>
        </w:tc>
      </w:tr>
    </w:tbl>
    <w:p>
      <w:pPr>
        <w:spacing w:after="90" w:before="180"/>
      </w:pPr>
      <w:r>
        <w:rPr>
          <w:rFonts w:ascii="Times New Roman" w:cs="Times New Roman" w:eastAsia="Times New Roman" w:hAnsi="Times New Roman"/>
          <w:b/>
          <w:bCs/>
          <w:color w:val="E07B00"/>
          <w:sz w:val="22"/>
          <w:szCs w:val="22"/>
        </w:rPr>
        <w:t xml:space="preserve">Step 2 — Stand up the FAQ channel</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Seeding the FAQ with the actual themes from the Month-0 open-text pulse, rather than guessing what people will ask, is what makes it get used instead of ignored.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(Communications planning)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Communications calendar and message drafts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Self-serve FAQ / knowledge base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Live FAQ / knowledge base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(next phase); Functional Process Owners; end users, via the champion network.</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Self-serve FAQ / knowledge base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Reduce repeat questions and slow the rumor mill.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Stand up a searchable FAQ seeded with the top themes from the baseline pulse's open-text analysis, updated weekly.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BookStack</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SUP,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Recruit and brief the change champion network</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5.</w:t>
      </w:r>
    </w:p>
    <w:p>
      <w:pPr>
        <w:spacing w:after="90" w:before="180"/>
      </w:pPr>
      <w:r>
        <w:rPr>
          <w:rFonts w:ascii="Times New Roman" w:cs="Times New Roman" w:eastAsia="Times New Roman" w:hAnsi="Times New Roman"/>
          <w:b/>
          <w:bCs/>
          <w:color w:val="E07B00"/>
          <w:sz w:val="22"/>
          <w:szCs w:val="22"/>
        </w:rPr>
        <w:t xml:space="preserve">Step 1 — Nominate credible peer champions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champion chosen for seniority rather than peer credibility will be politely ignored by the cohort exactly when their influence matters most, at go-live.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and configuration team; Functional Process Owners (requirements sign-off); Change Manager; Communications lead.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configuration and build backlog; communication plan; champion-network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Nomination survey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(Champion kickoff workshop)</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Nomination survey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Identify credible peer champions within each cohort.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Ask supervisors and FPOs to nominate 1 champion per 15–20 employees, screened for peer credibility rather than seniority.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5 — Stakeholder Map.</w:t>
      </w:r>
    </w:p>
    <w:p>
      <w:pPr>
        <w:spacing w:after="90" w:before="180"/>
      </w:pPr>
      <w:r>
        <w:rPr>
          <w:rFonts w:ascii="Times New Roman" w:cs="Times New Roman" w:eastAsia="Times New Roman" w:hAnsi="Times New Roman"/>
          <w:b/>
          <w:bCs/>
          <w:color w:val="E07B00"/>
          <w:sz w:val="22"/>
          <w:szCs w:val="22"/>
        </w:rPr>
        <w:t xml:space="preserve">Step 2 — Brief the champion network</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moment the champion network becomes a real early-warning system rather than a name on a list — champions who don't know how to escalate a barrier reason won't do it.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(Nomination survey)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kickoff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Briefed, active champion network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(next phase); Functional Process Owners; end users, via the champion network.</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kickoff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Align champions on their role, cadence and escalation path.</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half-day session covering the champion's role, the weekly feedback cadence, and how to escalate a barrier reason.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 + Mattermost (ongoing coordination)</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Re-run the ADKAR pulse (Awareness / early Desire)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Re-survey the population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Using the identical instrument as the baseline is what makes this a genuine wave-over-wave comparison rather than two different snapshots that can't be honestly compared.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and configuration team; Functional Process Owners (requirements sign-off); Change Manager; Communications lead.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future-state design; configuration and build backlog; communication plan; champion-network nominee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 (wave 2)</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Wave-2 ADKAR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(Trend analysis)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 (wave 2)</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Track Awareness / Desire movement since the Month-0 baseline.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Re-issue the same instrument used at baseline to the same population for a clean wave-over-wave comparison.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 — ADKAR Engine.</w:t>
      </w:r>
    </w:p>
    <w:p>
      <w:pPr>
        <w:spacing w:after="90" w:before="180"/>
      </w:pPr>
      <w:r>
        <w:rPr>
          <w:rFonts w:ascii="Times New Roman" w:cs="Times New Roman" w:eastAsia="Times New Roman" w:hAnsi="Times New Roman"/>
          <w:b/>
          <w:bCs/>
          <w:color w:val="E07B00"/>
          <w:sz w:val="22"/>
          <w:szCs w:val="22"/>
        </w:rPr>
        <w:t xml:space="preserve">Step 2 — Compare wave-over-wave trends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usually the first point in the program where a stalled Desire score becomes visible in the data, well before it would otherwise surface in a workshop or a complaint.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(Pulse survey (wave 2))</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Wave-2 ADKAR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Trend analysis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Wave-over-wave trend report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(next phase); Functional Process Owners; end users, via the champion network.</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Trend analysis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Compare wave 1 vs. wave 2 results by cohort.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a wave-over-wave comparison view by cohort and flag any cohort where Desire has not moved.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6.3 Phase 3 — Data Migration &amp; Integration (Weeks 13–28)</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highest-risk, least-visible phase — exactly where journi's own data shows a Desire stall is most likely (Exception E1).</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W13–W14</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Cleanse and map legacy data to the future-state model.</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W15–W16</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integrations with adjacent systems.</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W17–W18</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integrations; log defects.</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W19–W20</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first mock migration cycle and reconcile results.</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W21–W22</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Watch for Desire-stall signals from low end-user visibility; log a barrier reason if Desire ≤ 2.</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W23–W24</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second mock migration cycle; prepare data-quality sign-off.</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W25–W26</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 the Composite Readiness Index ahead of the Testing entry gate.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W27–W28</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Data-quality sign-off; Phase 3 gate review.</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ES</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3 — Data Migration &amp; Integration.</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legacy system owners; data governance / master data team.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mapping and cleansing rules; legacy extracts; integration specifications; cutover data-freeze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Cleanse and map legacy data to the future-state model</w:t>
            </w:r>
          </w:p>
          <w:p>
            <w:pPr>
              <w:jc w:val="left"/>
            </w:pPr>
            <w:r>
              <w:rPr>
                <w:rFonts w:ascii="Times New Roman" w:cs="Times New Roman" w:eastAsia="Times New Roman" w:hAnsi="Times New Roman"/>
                <w:b w:val="false"/>
                <w:bCs w:val="false"/>
                <w:color w:val="58595B"/>
                <w:sz w:val="19"/>
                <w:szCs w:val="19"/>
              </w:rPr>
              <w:t xml:space="preserve">2. Build and test integrations with adjacent systems</w:t>
            </w:r>
          </w:p>
          <w:p>
            <w:pPr>
              <w:jc w:val="left"/>
            </w:pPr>
            <w:r>
              <w:rPr>
                <w:rFonts w:ascii="Times New Roman" w:cs="Times New Roman" w:eastAsia="Times New Roman" w:hAnsi="Times New Roman"/>
                <w:b w:val="false"/>
                <w:bCs w:val="false"/>
                <w:color w:val="58595B"/>
                <w:sz w:val="19"/>
                <w:szCs w:val="19"/>
              </w:rPr>
              <w:t xml:space="preserve">3. Run mock data-migration cycles and reconcile results</w:t>
            </w:r>
          </w:p>
          <w:p>
            <w:pPr>
              <w:jc w:val="left"/>
            </w:pPr>
            <w:r>
              <w:rPr>
                <w:rFonts w:ascii="Times New Roman" w:cs="Times New Roman" w:eastAsia="Times New Roman" w:hAnsi="Times New Roman"/>
                <w:b w:val="false"/>
                <w:bCs w:val="false"/>
                <w:color w:val="58595B"/>
                <w:sz w:val="19"/>
                <w:szCs w:val="19"/>
              </w:rPr>
              <w:t xml:space="preserve">4. Log Desire-block barrier reasons from low end-user visibility</w:t>
            </w:r>
          </w:p>
          <w:p>
            <w:pPr>
              <w:jc w:val="left"/>
            </w:pPr>
            <w:r>
              <w:rPr>
                <w:rFonts w:ascii="Times New Roman" w:cs="Times New Roman" w:eastAsia="Times New Roman" w:hAnsi="Times New Roman"/>
                <w:b w:val="false"/>
                <w:bCs w:val="false"/>
                <w:color w:val="58595B"/>
                <w:sz w:val="19"/>
                <w:szCs w:val="19"/>
              </w:rPr>
              <w:t xml:space="preserve">5. Update the Composite Readiness Index ahead of Testing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Migrated and reconciled data set; tested integrations; data-quality sign-off; updated Composite Readiness Index.</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Functional Process Owners (data sign-off); Program Manager.</w:t>
            </w:r>
          </w:p>
        </w:tc>
      </w:tr>
    </w:tbl>
    <w:p>
      <w:pPr>
        <w:spacing w:after="200" w:before="60"/>
        <w:jc w:val="left"/>
      </w:pPr>
      <w:r>
        <w:rPr>
          <w:rFonts w:ascii="Times New Roman" w:cs="Times New Roman" w:eastAsia="Times New Roman" w:hAnsi="Times New Roman"/>
          <w:i/>
          <w:iCs/>
          <w:color w:val="58595B"/>
          <w:sz w:val="19"/>
          <w:szCs w:val="19"/>
        </w:rPr>
        <w:t xml:space="preserve">SIPOC for Phase 3 — Data Migration &amp; Integration.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Cleanse and map legacy data to the future-state model</w:t>
      </w:r>
    </w:p>
    <w:p>
      <w:pPr>
        <w:spacing w:after="90" w:before="180"/>
      </w:pPr>
      <w:r>
        <w:rPr>
          <w:rFonts w:ascii="Times New Roman" w:cs="Times New Roman" w:eastAsia="Times New Roman" w:hAnsi="Times New Roman"/>
          <w:b/>
          <w:bCs/>
          <w:color w:val="E07B00"/>
          <w:sz w:val="22"/>
          <w:szCs w:val="22"/>
        </w:rPr>
        <w:t xml:space="preserve">Step 1 — Profile the legacy data</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Finding a data-quality defect here costs a mapping-rule adjustment; finding the same defect at reconciliation, three steps later, costs a re-run of the entire migration cycle.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legacy system owners; data governance / master data team.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mapping and cleansing rules; legacy extracts; integration specifications; cutover data-freeze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profiling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Data-quality defect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(ETL scripting)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profiling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Identify data-quality defects before mapping begins.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Profile every legacy field slated for migration for null rates, duplicates and out-of-range values before any mapping rule is written.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OpenRefine</w:t>
            </w:r>
          </w:p>
        </w:tc>
      </w:tr>
    </w:tbl>
    <w:p>
      <w:pPr>
        <w:spacing w:after="90" w:before="180"/>
      </w:pPr>
      <w:r>
        <w:rPr>
          <w:rFonts w:ascii="Times New Roman" w:cs="Times New Roman" w:eastAsia="Times New Roman" w:hAnsi="Times New Roman"/>
          <w:b/>
          <w:bCs/>
          <w:color w:val="E07B00"/>
          <w:sz w:val="22"/>
          <w:szCs w:val="22"/>
        </w:rPr>
        <w:t xml:space="preserve">Step 2 — Build the ETL transformation flows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Building these as reusable, documented flows per data domain — rather than one-off scripts — is what makes the mock-run rehearsals in the next Task actually repeatable.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(Data profiling)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Data-quality defect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ETL scripting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ETL flows per data domain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Functional Process Owners (data sign-off); Program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ETL scripting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Transform and load legacy data into the target model.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reusable extract-transform-load flows per data domain (vendor, item, GL) with field-level mapping documentation.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NiFi</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 ES,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Build and test integrations with adjacent systems</w:t>
      </w:r>
    </w:p>
    <w:p>
      <w:pPr>
        <w:spacing w:after="90" w:before="180"/>
      </w:pPr>
      <w:r>
        <w:rPr>
          <w:rFonts w:ascii="Times New Roman" w:cs="Times New Roman" w:eastAsia="Times New Roman" w:hAnsi="Times New Roman"/>
          <w:b/>
          <w:bCs/>
          <w:color w:val="E07B00"/>
          <w:sz w:val="22"/>
          <w:szCs w:val="22"/>
        </w:rPr>
        <w:t xml:space="preserve">Step 1 — Design the integration contracts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An interface contract agreed on a whiteboard with the owning system's technical lead is far cheaper to change than one discovered to be wrong during integration testing.</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legacy system owners; data governance / master data team.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mapping and cleansing rules; legacy extracts; integration specifications; cutover data-freeze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Integration design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Interface contract specifications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(Automated integration testing)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Integration design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Agree interface contracts between the ERP and adjacent systems.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Whiteboard every inbound/outbound interface with the owning system's technical lead, agreeing format, frequency and error-handling.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draw.io</w:t>
            </w:r>
          </w:p>
        </w:tc>
      </w:tr>
    </w:tbl>
    <w:p>
      <w:pPr>
        <w:spacing w:after="90" w:before="180"/>
      </w:pPr>
      <w:r>
        <w:rPr>
          <w:rFonts w:ascii="Times New Roman" w:cs="Times New Roman" w:eastAsia="Times New Roman" w:hAnsi="Times New Roman"/>
          <w:b/>
          <w:bCs/>
          <w:color w:val="E07B00"/>
          <w:sz w:val="22"/>
          <w:szCs w:val="22"/>
        </w:rPr>
        <w:t xml:space="preserve">Step 2 — Automate the integration tests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Automating these tests means every future configuration change can be re-validated in minutes instead of requiring a manual re-test of every interface.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(Integration design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Interface contract specifications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Automated integration testing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Automated integration test suite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Functional Process Owners (data sign-off); Program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Automated integration testing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Validate interface behavior before reconciliation begins.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Script automated test cases for each interface covering the happy path and the two or three most likely failure modes.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JMeter</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 ES,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Run mock data-migration cycles and reconcile results</w:t>
      </w:r>
    </w:p>
    <w:p>
      <w:pPr>
        <w:spacing w:after="90" w:before="180"/>
      </w:pPr>
      <w:r>
        <w:rPr>
          <w:rFonts w:ascii="Times New Roman" w:cs="Times New Roman" w:eastAsia="Times New Roman" w:hAnsi="Times New Roman"/>
          <w:b/>
          <w:bCs/>
          <w:color w:val="E07B00"/>
          <w:sz w:val="22"/>
          <w:szCs w:val="22"/>
        </w:rPr>
        <w:t xml:space="preserve">Step 1 — Rehearse the migration run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Timing every step of the mock run is what turns the eventual cutover weekend from a guess into a scheduled, minute-by-minute plan.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legacy system owners; data governance / master data team.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mapping and cleansing rules; legacy extracts; integration specifications; cutover data-freeze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Mock-run rehearsal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Mock-run execution log and timings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(Reconciliation checklist)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Mock-run rehearsal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Rehearse the full migration sequence under realistic conditions.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full migration runbook against a copy of production-scale data, timing every step.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Rundeck</w:t>
            </w:r>
          </w:p>
        </w:tc>
      </w:tr>
    </w:tbl>
    <w:p>
      <w:pPr>
        <w:spacing w:after="90" w:before="180"/>
      </w:pPr>
      <w:r>
        <w:rPr>
          <w:rFonts w:ascii="Times New Roman" w:cs="Times New Roman" w:eastAsia="Times New Roman" w:hAnsi="Times New Roman"/>
          <w:b/>
          <w:bCs/>
          <w:color w:val="E07B00"/>
          <w:sz w:val="22"/>
          <w:szCs w:val="22"/>
        </w:rPr>
        <w:t xml:space="preserve">Step 2 — Reconcile source and target data</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last technical checkpoint before the data is treated as trustworthy by every downstream phase, so it deserves more than a spot check.</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(Mock-run rehearsal)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Mock-run execution log and timings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Reconciliation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Reconciliation sign-off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Functional Process Owners (data sign-off); Program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Reconciliation checklist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Verify record counts and key totals match the source system.</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Compare record counts, control totals and a sample of individual records between source and target after each mock run.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Calc</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Log Desire-block barrier reasons from low end-user visibility</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Log the barrier reason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phase journi's own data shows Desire stalling most often, precisely because the migration work happening in this phase is real but invisible to the people being asked to feel good about it.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legacy system owners; data governance / master data team.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mapping and cleansing rules; legacy extracts; integration specifications; cutover data-freeze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Barrier-reason logging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Logged barrier-reason records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(Root-cause clustering (affinity mapping))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Barrier-reason logging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Capture the specific, named reason behind any Desire ≤ 2 score.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 every cohort scoring Desire at 2 or below, require a one-sentence, named barrier reason before the score is accepted.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(custom field)</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 — ADKAR Engine (auto-escalated).</w:t>
      </w:r>
    </w:p>
    <w:p>
      <w:pPr>
        <w:spacing w:after="90" w:before="180"/>
      </w:pPr>
      <w:r>
        <w:rPr>
          <w:rFonts w:ascii="Times New Roman" w:cs="Times New Roman" w:eastAsia="Times New Roman" w:hAnsi="Times New Roman"/>
          <w:b/>
          <w:bCs/>
          <w:color w:val="E07B00"/>
          <w:sz w:val="22"/>
          <w:szCs w:val="22"/>
        </w:rPr>
        <w:t xml:space="preserve">Step 2 — Cluster the barrier reasons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Clustering now, before the stall is confirmed, means the E1 playbook can start from a running head start instead of a blank page if an escalation follows.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(Barrier-reason logging)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Logged barrier-reason records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 clustering (affinity mapping)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Clustered barrier-reason themes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Functional Process Owners (data sign-off); Program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 clustering (affinity mapping)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Group barrier reasons into actionable themes.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Cluster the week's barrier-reason notes into 3–5 named themes with the CM team, ready for the E1 playbook if a stall is confirmed.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draw.io</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Update the Composite Readiness Index ahead of Testing</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6–7.</w:t>
      </w:r>
    </w:p>
    <w:p>
      <w:pPr>
        <w:spacing w:after="90" w:before="180"/>
      </w:pPr>
      <w:r>
        <w:rPr>
          <w:rFonts w:ascii="Times New Roman" w:cs="Times New Roman" w:eastAsia="Times New Roman" w:hAnsi="Times New Roman"/>
          <w:b/>
          <w:bCs/>
          <w:color w:val="E07B00"/>
          <w:sz w:val="22"/>
          <w:szCs w:val="22"/>
        </w:rPr>
        <w:t xml:space="preserve">Step 1 — Recalculate the readiness index</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last full Index recalculation before Testing opens, so it functions as a baseline health check the Steering Committee will compare every later reading against.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legacy system owners; data governance / master data team.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mapping and cleansing rules; legacy extracts; integration specifications; cutover data-freeze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Weighted index calculation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Updated Composite Readiness Index</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(Dashboard publication)</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Weighted index calculation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Blend ADKAR, sentiment and training data into one comparable score.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Recalculate the Index using the latest ADKAR wave, Kübler-Ross sentiment and (where training has started) completion percentage.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 (calculated field)</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6–7.</w:t>
      </w:r>
    </w:p>
    <w:p>
      <w:pPr>
        <w:spacing w:after="90" w:before="180"/>
      </w:pPr>
      <w:r>
        <w:rPr>
          <w:rFonts w:ascii="Times New Roman" w:cs="Times New Roman" w:eastAsia="Times New Roman" w:hAnsi="Times New Roman"/>
          <w:b/>
          <w:bCs/>
          <w:color w:val="E07B00"/>
          <w:sz w:val="22"/>
          <w:szCs w:val="22"/>
        </w:rPr>
        <w:t xml:space="preserve">Step 2 — Publish the readiness dashboard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trend line the Steering Committee can see for themselves, updated on a predictable cadence, does more to sustain their engagement than a verbal status update ever will.</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(Weighted index calculation)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Updated Composite Readiness Index</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Dashboard publication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Published readiness dashboard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Testing team; Functional Process Owners (data sign-off); Program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Dashboard publication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Make the readiness trend visible to the Steering Committee.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 the Index trend line, with cohort disaggregation, to the shared Steering Committee dashboard.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Superset</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SUP, 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6.4 Phase 4 — Testing (SIT / UAT) (Weeks 25–32)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first point where a representative slice of end users gets real hands-on exposure — and the first honest opportunity to run the Divergence Pattern check (Exception E2).</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W25–W26</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system integration testing (SIT).</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W27</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Recruit a representative UAT cohort.</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FPO</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W28–W29</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UAT sessions; log defects and usability friction.</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EU</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W30</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Cross-check Knowledge / Ability scores against the Bridges reading — run the Divergence Pattern check.</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W31</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Triage and remediate defects before sign-off.</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PM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W32</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SIT / UAT sign-off; Phase 4 gate review.</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ES</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4 — Testing (SIT / UAT).</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Functional Process Owners; a representative sample of end users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scripts and acceptance criteria; migrated data set; configured build; UAT participant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Execute system integration testing (SIT)</w:t>
            </w:r>
          </w:p>
          <w:p>
            <w:pPr>
              <w:jc w:val="left"/>
            </w:pPr>
            <w:r>
              <w:rPr>
                <w:rFonts w:ascii="Times New Roman" w:cs="Times New Roman" w:eastAsia="Times New Roman" w:hAnsi="Times New Roman"/>
                <w:b w:val="false"/>
                <w:bCs w:val="false"/>
                <w:color w:val="58595B"/>
                <w:sz w:val="19"/>
                <w:szCs w:val="19"/>
              </w:rPr>
              <w:t xml:space="preserve">2. Recruit a representative cohort for user acceptance testing (UAT)</w:t>
            </w:r>
          </w:p>
          <w:p>
            <w:pPr>
              <w:jc w:val="left"/>
            </w:pPr>
            <w:r>
              <w:rPr>
                <w:rFonts w:ascii="Times New Roman" w:cs="Times New Roman" w:eastAsia="Times New Roman" w:hAnsi="Times New Roman"/>
                <w:b w:val="false"/>
                <w:bCs w:val="false"/>
                <w:color w:val="58595B"/>
                <w:sz w:val="19"/>
                <w:szCs w:val="19"/>
              </w:rPr>
              <w:t xml:space="preserve">3. Run UAT sessions and log defects and usability friction</w:t>
            </w:r>
          </w:p>
          <w:p>
            <w:pPr>
              <w:jc w:val="left"/>
            </w:pPr>
            <w:r>
              <w:rPr>
                <w:rFonts w:ascii="Times New Roman" w:cs="Times New Roman" w:eastAsia="Times New Roman" w:hAnsi="Times New Roman"/>
                <w:b w:val="false"/>
                <w:bCs w:val="false"/>
                <w:color w:val="58595B"/>
                <w:sz w:val="19"/>
                <w:szCs w:val="19"/>
              </w:rPr>
              <w:t xml:space="preserve">4. Cross-check Knowledge / Ability against Bridges (Divergence Pattern check)</w:t>
            </w:r>
          </w:p>
          <w:p>
            <w:pPr>
              <w:jc w:val="left"/>
            </w:pPr>
            <w:r>
              <w:rPr>
                <w:rFonts w:ascii="Times New Roman" w:cs="Times New Roman" w:eastAsia="Times New Roman" w:hAnsi="Times New Roman"/>
                <w:b w:val="false"/>
                <w:bCs w:val="false"/>
                <w:color w:val="58595B"/>
                <w:sz w:val="19"/>
                <w:szCs w:val="19"/>
              </w:rPr>
              <w:t xml:space="preserve">5. Triage and remediate defects before sign-off</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SIT / UAT sign-off; defect log (closed or accepted); first real Knowledge / Ability scores; Divergence Pattern Detector result.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team (next phase); cutover team; Steering Committee.</w:t>
            </w:r>
          </w:p>
        </w:tc>
      </w:tr>
    </w:tbl>
    <w:p>
      <w:pPr>
        <w:spacing w:after="200" w:before="60"/>
        <w:jc w:val="left"/>
      </w:pPr>
      <w:r>
        <w:rPr>
          <w:rFonts w:ascii="Times New Roman" w:cs="Times New Roman" w:eastAsia="Times New Roman" w:hAnsi="Times New Roman"/>
          <w:i/>
          <w:iCs/>
          <w:color w:val="58595B"/>
          <w:sz w:val="19"/>
          <w:szCs w:val="19"/>
        </w:rPr>
        <w:t xml:space="preserve">SIPOC for Phase 4 — Testing (SIT / UAT).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Execute system integration testing (SIT)</w:t>
      </w:r>
    </w:p>
    <w:p>
      <w:pPr>
        <w:spacing w:after="90" w:before="180"/>
      </w:pPr>
      <w:r>
        <w:rPr>
          <w:rFonts w:ascii="Times New Roman" w:cs="Times New Roman" w:eastAsia="Times New Roman" w:hAnsi="Times New Roman"/>
          <w:b/>
          <w:bCs/>
          <w:color w:val="E07B00"/>
          <w:sz w:val="22"/>
          <w:szCs w:val="22"/>
        </w:rPr>
        <w:t xml:space="preserve">Step 1 — Execute the SIT script set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SIT is deliberately technical and internal, run before any end user touches the system, so that UAT can focus on real-world usability rather than basic system defects.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Functional Process Owners; a representative sample of end users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scripts and acceptance criteria; migrated data set; configured build; UAT participant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Scripted test execution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SIT execution results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(Defect triage)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Scripted test execution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Validate system behavior against acceptance criteria.</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full SIT script set in sequence, logging pass/fail against each acceptance criterion.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Kiwi TCMS (test case management)</w:t>
            </w:r>
          </w:p>
        </w:tc>
      </w:tr>
    </w:tbl>
    <w:p>
      <w:pPr>
        <w:spacing w:after="90" w:before="180"/>
      </w:pPr>
      <w:r>
        <w:rPr>
          <w:rFonts w:ascii="Times New Roman" w:cs="Times New Roman" w:eastAsia="Times New Roman" w:hAnsi="Times New Roman"/>
          <w:b/>
          <w:bCs/>
          <w:color w:val="E07B00"/>
          <w:sz w:val="22"/>
          <w:szCs w:val="22"/>
        </w:rPr>
        <w:t xml:space="preserve">Step 2 — Triage the SIT defects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same-day triage discipline is what keeps a defect backlog from silently growing into a blocker for the UAT entry gate.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(Scripted test execution)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SIT execution results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triage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Prioritized defect backlog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team (next phase); cutover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triage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 and prioritize defects by business severity.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Triage every failed test case within 24 hours, assigning a severity (blocker/major/minor) and an owner.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 ES,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Recruit a representative cohort for user acceptance testing (UAT)</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5.</w:t>
      </w:r>
    </w:p>
    <w:p>
      <w:pPr>
        <w:spacing w:after="90" w:before="180"/>
      </w:pPr>
      <w:r>
        <w:rPr>
          <w:rFonts w:ascii="Times New Roman" w:cs="Times New Roman" w:eastAsia="Times New Roman" w:hAnsi="Times New Roman"/>
          <w:b/>
          <w:bCs/>
          <w:color w:val="E07B00"/>
          <w:sz w:val="22"/>
          <w:szCs w:val="22"/>
        </w:rPr>
        <w:t xml:space="preserve">Step 1 — Sample a representative cohort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UAT cohort skewed toward the most confident or most senior employees will pass every test and still leave the actual population underprepared.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Functional Process Owners; a representative sample of end users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scripts and acceptance criteria; migrated data set; configured build; UAT participant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Stratified sampling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Stratified UAT participant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(Participant briefing)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Stratified sampling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Ensure the UAT cohort represents every impacted role and site.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Select participants proportionally across role, site and tenure so no single group dominates the UAT sample.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Calc</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5 — Stakeholder Map.</w:t>
      </w:r>
    </w:p>
    <w:p>
      <w:pPr>
        <w:spacing w:after="90" w:before="180"/>
      </w:pPr>
      <w:r>
        <w:rPr>
          <w:rFonts w:ascii="Times New Roman" w:cs="Times New Roman" w:eastAsia="Times New Roman" w:hAnsi="Times New Roman"/>
          <w:b/>
          <w:bCs/>
          <w:color w:val="E07B00"/>
          <w:sz w:val="22"/>
          <w:szCs w:val="22"/>
        </w:rPr>
        <w:t xml:space="preserve">Step 2 — Brief the UAT participants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Participants who don't know the difference between a hard defect and a usability complaint will either under-report real problems or flood the log with noise.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(Stratified sampling)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Stratified UAT participant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Participant briefing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Briefed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team (next phase); cutover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Participant briefing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Set expectations and logistics for UAT participants.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30-minute kickoff covering schedule, what “done” looks like for a test case, and how to log friction versus a hard defect.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FPO</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Run UAT sessions and log defects and usability friction</w:t>
      </w:r>
    </w:p>
    <w:p>
      <w:pPr>
        <w:spacing w:after="90" w:before="180"/>
      </w:pPr>
      <w:r>
        <w:rPr>
          <w:rFonts w:ascii="Times New Roman" w:cs="Times New Roman" w:eastAsia="Times New Roman" w:hAnsi="Times New Roman"/>
          <w:b/>
          <w:bCs/>
          <w:color w:val="E07B00"/>
          <w:sz w:val="22"/>
          <w:szCs w:val="22"/>
        </w:rPr>
        <w:t xml:space="preserve">Step 1 — Facilitate the UAT sessions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Watching a real user attempt a real-world scenario — not a scripted happy path — is what surfaces the usability gaps that scripted SIT testing structurally cannot find.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Functional Process Owners; a representative sample of end users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scripts and acceptance criteria; migrated data set; configured build; UAT participant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UAT session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UAT session results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(Usability friction log)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UAT session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Observe real users completing real tasks in the new system.</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Pair each participant with an observer; run 2-hour sessions against real-world scenarios rather than scripted happy paths only.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Kiwi TCMS</w:t>
            </w:r>
          </w:p>
        </w:tc>
      </w:tr>
    </w:tbl>
    <w:p>
      <w:pPr>
        <w:spacing w:after="90" w:before="180"/>
      </w:pPr>
      <w:r>
        <w:rPr>
          <w:rFonts w:ascii="Times New Roman" w:cs="Times New Roman" w:eastAsia="Times New Roman" w:hAnsi="Times New Roman"/>
          <w:b/>
          <w:bCs/>
          <w:color w:val="E07B00"/>
          <w:sz w:val="22"/>
          <w:szCs w:val="22"/>
        </w:rPr>
        <w:t xml:space="preserve">Step 2 — Classify friction versus defects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Sending a training gap to the defect queue wastes a developer's time; sending a real defect to the training team wastes everyone's time waiting for a fix that will never come from a course.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(Facilitated UAT session)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UAT session results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Usability friction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Classified friction / defect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team (next phase); cutover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Usability friction log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Distinguish a genuine defect from a UX or training gap.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Tag every logged issue as “defect”, “usability friction” or “training gap” so remediation goes to the right owner.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 (custom tag)</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EU, 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Cross-check Knowledge / Ability against Bridges (Divergence Pattern check)</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90" w:before="180"/>
      </w:pPr>
      <w:r>
        <w:rPr>
          <w:rFonts w:ascii="Times New Roman" w:cs="Times New Roman" w:eastAsia="Times New Roman" w:hAnsi="Times New Roman"/>
          <w:b/>
          <w:bCs/>
          <w:color w:val="E07B00"/>
          <w:sz w:val="22"/>
          <w:szCs w:val="22"/>
        </w:rPr>
        <w:t xml:space="preserve">Step 1 — Run the Divergence Pattern check</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UAT is the first point in the program with real Knowledge/Ability scores to check against Bridges, which is exactly why this is the earliest a genuine Divergence Pattern alert can fire.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Functional Process Owners; a representative sample of end users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scripts and acceptance criteria; migrated data set; configured build; UAT participant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alert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(Targeted 1:1)</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Flag strong capability paired with a Bridges reading stuck at Ending.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automated rule (Knowledge ≥ 3 and Ability ≥ 3 with Bridges = Ending) against UAT participants' latest scores.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 (rule-based alert)</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 — Emotional &amp; Transition Layer (Divergence Pattern Detector).</w:t>
      </w:r>
    </w:p>
    <w:p>
      <w:pPr>
        <w:spacing w:after="90" w:before="180"/>
      </w:pPr>
      <w:r>
        <w:rPr>
          <w:rFonts w:ascii="Times New Roman" w:cs="Times New Roman" w:eastAsia="Times New Roman" w:hAnsi="Times New Roman"/>
          <w:b/>
          <w:bCs/>
          <w:color w:val="E07B00"/>
          <w:sz w:val="22"/>
          <w:szCs w:val="22"/>
        </w:rPr>
        <w:t xml:space="preserve">Step 2 — Hold a targeted 1:1</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instinct when someone scores well but still seems unhappy is to assume they just need more practice; this conversation exists to test that instinct before acting on it.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(Divergence Pattern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alert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1:1</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or dismissed divergence case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team (next phase); cutover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1:1</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whether the divergence is a genuine identity or loss concern.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supervisor-led 1:1 with each flagged individual, focused on what is being let go of rather than on remaining skills gaps.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Triage and remediate defects before sign-off</w:t>
      </w:r>
    </w:p>
    <w:p>
      <w:pPr>
        <w:spacing w:after="90" w:before="180"/>
      </w:pPr>
      <w:r>
        <w:rPr>
          <w:rFonts w:ascii="Times New Roman" w:cs="Times New Roman" w:eastAsia="Times New Roman" w:hAnsi="Times New Roman"/>
          <w:b/>
          <w:bCs/>
          <w:color w:val="E07B00"/>
          <w:sz w:val="22"/>
          <w:szCs w:val="22"/>
        </w:rPr>
        <w:t xml:space="preserve">Step 1 — Run the defect remediation sprint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Formally accepting a minor defect, in writing, is different from ignoring it — it means the FPO has seen the risk and chosen to proceed anyway, which protects everyone later.</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Functional Process Owners; a representative sample of end users (UAT participants).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scripts and acceptance criteria; migrated data set; configured build; UAT participant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remediation sprint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Closed or accepted defect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(Sign-off checklist)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remediation sprint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 or formally accept every logged defect.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focused 1-week sprint to close blocker and major defects; formally accept any minor defects with FPO sign-off.</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w:t>
            </w:r>
          </w:p>
        </w:tc>
      </w:tr>
    </w:tbl>
    <w:p>
      <w:pPr>
        <w:spacing w:after="90" w:before="180"/>
      </w:pPr>
      <w:r>
        <w:rPr>
          <w:rFonts w:ascii="Times New Roman" w:cs="Times New Roman" w:eastAsia="Times New Roman" w:hAnsi="Times New Roman"/>
          <w:b/>
          <w:bCs/>
          <w:color w:val="E07B00"/>
          <w:sz w:val="22"/>
          <w:szCs w:val="22"/>
        </w:rPr>
        <w:t xml:space="preserve">Step 2 — Obtain the sign-off</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one-page checklist is the formal gate between Testing and Training — nothing in Phase 5 should start before it is signed.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(Defect remediation sprint)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Closed or accepted defect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Sign-off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Signed SIT/UAT sign-off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team (next phase); cutover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Sign-off checklist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Gain formal FPO / Sponsor agreement to proceed.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one-page checklist confirming test coverage, defect status and outstanding risk, signed by the FPO and Sponsor.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6.5 Phase 5 — Training &amp; Change Readiness (Weeks 25–36)</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Knowledge becomes Ability under increasingly realistic conditions, while Bridges settles into the Neutral Zone.</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W25–W27</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Finalize the training curriculum and job aids.</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(training lead)</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W28–W30</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 role-based training, wave 1.</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W31–W32</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Deploy the sandbox practice environment; deliver training wave 2.</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W33–W34</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readiness assessments per cohort (Knowledge / Ability scoring).</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W35</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 supervisors on real-time floor-coaching expectations for go-live.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W36</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cohort-level go / no-go readiness against the benchmarking bands.</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15</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CM, PM</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5 — Training &amp; Change Readiness.</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Lead; Functional Process Owners (content validation);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training curriculum; job aids and quick-reference guides; train-the-trainer materials; go-live 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Deliver role-based training to all impacted cohorts</w:t>
            </w:r>
          </w:p>
          <w:p>
            <w:pPr>
              <w:jc w:val="left"/>
            </w:pPr>
            <w:r>
              <w:rPr>
                <w:rFonts w:ascii="Times New Roman" w:cs="Times New Roman" w:eastAsia="Times New Roman" w:hAnsi="Times New Roman"/>
                <w:b w:val="false"/>
                <w:bCs w:val="false"/>
                <w:color w:val="58595B"/>
                <w:sz w:val="19"/>
                <w:szCs w:val="19"/>
              </w:rPr>
              <w:t xml:space="preserve">2. Deploy job aids and a sandbox practice environment</w:t>
            </w:r>
          </w:p>
          <w:p>
            <w:pPr>
              <w:jc w:val="left"/>
            </w:pPr>
            <w:r>
              <w:rPr>
                <w:rFonts w:ascii="Times New Roman" w:cs="Times New Roman" w:eastAsia="Times New Roman" w:hAnsi="Times New Roman"/>
                <w:b w:val="false"/>
                <w:bCs w:val="false"/>
                <w:color w:val="58595B"/>
                <w:sz w:val="19"/>
                <w:szCs w:val="19"/>
              </w:rPr>
              <w:t xml:space="preserve">3. Run readiness assessments per cohort (Knowledge / Ability scoring)</w:t>
            </w:r>
          </w:p>
          <w:p>
            <w:pPr>
              <w:jc w:val="left"/>
            </w:pPr>
            <w:r>
              <w:rPr>
                <w:rFonts w:ascii="Times New Roman" w:cs="Times New Roman" w:eastAsia="Times New Roman" w:hAnsi="Times New Roman"/>
                <w:b w:val="false"/>
                <w:bCs w:val="false"/>
                <w:color w:val="58595B"/>
                <w:sz w:val="19"/>
                <w:szCs w:val="19"/>
              </w:rPr>
              <w:t xml:space="preserve">4. Brief supervisors on real-time floor-coaching expectations for go-live</w:t>
            </w:r>
          </w:p>
          <w:p>
            <w:pPr>
              <w:jc w:val="left"/>
            </w:pPr>
            <w:r>
              <w:rPr>
                <w:rFonts w:ascii="Times New Roman" w:cs="Times New Roman" w:eastAsia="Times New Roman" w:hAnsi="Times New Roman"/>
                <w:b w:val="false"/>
                <w:bCs w:val="false"/>
                <w:color w:val="58595B"/>
                <w:sz w:val="19"/>
                <w:szCs w:val="19"/>
              </w:rPr>
              <w:t xml:space="preserve">5. Confirm go/no-go readiness by cohort against benchmarking bands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Trained cohorts with logged Ability scores; job aids in circulation; cohort-level go/no-go readiness call; supervisor coaching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team; Steering Committee (go/no-go decision); end users.</w:t>
            </w:r>
          </w:p>
        </w:tc>
      </w:tr>
    </w:tbl>
    <w:p>
      <w:pPr>
        <w:spacing w:after="200" w:before="60"/>
        <w:jc w:val="left"/>
      </w:pPr>
      <w:r>
        <w:rPr>
          <w:rFonts w:ascii="Times New Roman" w:cs="Times New Roman" w:eastAsia="Times New Roman" w:hAnsi="Times New Roman"/>
          <w:i/>
          <w:iCs/>
          <w:color w:val="58595B"/>
          <w:sz w:val="19"/>
          <w:szCs w:val="19"/>
        </w:rPr>
        <w:t xml:space="preserve">SIPOC for Phase 5 — Training &amp; Change Readiness.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Deliver role-based training to all impacted cohorts</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Build the e-learning modules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Splitting the why-and-what into a short e-learning module, ahead of any live session, means the instructor-led time can be spent on practice instead of lecture.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Lead; Functional Process Owners (content validation);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training curriculum; job aids and quick-reference guides; train-the-trainer materials; go-live 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Blended-learning course design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Role-based e-learning modules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(Instructor-led session)</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Blended-learning course design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Sequence e-learning and hands-on practice by role.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a short e-learning module per role covering the why and the what, followed immediately by hands-on practice.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H5P (interactive content) on Moodle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 — ADKAR Engine (training completion feeds Reinforcement tracking).</w:t>
      </w:r>
    </w:p>
    <w:p>
      <w:pPr>
        <w:spacing w:after="90" w:before="180"/>
      </w:pPr>
      <w:r>
        <w:rPr>
          <w:rFonts w:ascii="Times New Roman" w:cs="Times New Roman" w:eastAsia="Times New Roman" w:hAnsi="Times New Roman"/>
          <w:b/>
          <w:bCs/>
          <w:color w:val="E07B00"/>
          <w:sz w:val="22"/>
          <w:szCs w:val="22"/>
        </w:rPr>
        <w:t xml:space="preserve">Step 2 — Deliver the instructor-led session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Having a trainer physically present to answer an unscripted question is what converts theoretical Knowledge into the beginnings of real Ability.</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(Blended-learning course design)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Role-based e-learning modules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Instructor-led session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instructor-led sessions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team; Steering Committee (go/no-go decision); end users.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Instructor-led session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 confidence through live practice with a trainer present.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2-hour instructor-led session per cohort combining demonstration, guided practice and Q&amp;A.</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Deploy job aids and a sandbox practice environment</w:t>
      </w:r>
    </w:p>
    <w:p>
      <w:pPr>
        <w:spacing w:after="90" w:before="180"/>
      </w:pPr>
      <w:r>
        <w:rPr>
          <w:rFonts w:ascii="Times New Roman" w:cs="Times New Roman" w:eastAsia="Times New Roman" w:hAnsi="Times New Roman"/>
          <w:b/>
          <w:bCs/>
          <w:color w:val="E07B00"/>
          <w:sz w:val="22"/>
          <w:szCs w:val="22"/>
        </w:rPr>
        <w:t xml:space="preserve">Step 1 — Author the job aids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job aid that tries to cover every scenario gets abandoned; one that covers the 5–10 transactions someone actually does every day gets kept at their desk.</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Lead; Functional Process Owners (content validation);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training curriculum; job aids and quick-reference guides; train-the-trainer materials; go-live 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Job-aid authoring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Published job aids per role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(Sandbox provisioning)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Job-aid authoring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Produce concise, printable quick-reference guides.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One-page, task-specific job aids covering the 5–10 most common transactions per role, reviewed by an FPO for accuracy.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Scribus</w:t>
            </w:r>
          </w:p>
        </w:tc>
      </w:tr>
    </w:tbl>
    <w:p>
      <w:pPr>
        <w:spacing w:after="90" w:before="180"/>
      </w:pPr>
      <w:r>
        <w:rPr>
          <w:rFonts w:ascii="Times New Roman" w:cs="Times New Roman" w:eastAsia="Times New Roman" w:hAnsi="Times New Roman"/>
          <w:b/>
          <w:bCs/>
          <w:color w:val="E07B00"/>
          <w:sz w:val="22"/>
          <w:szCs w:val="22"/>
        </w:rPr>
        <w:t xml:space="preserve">Step 2 — Provision the sandbox</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single biggest driver of Ability is repetition without fear of consequence, which is exactly what a properly loaded sandbox provides and a live-data walkthrough cannot.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(Job-aid authoring)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Published job aids per role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Sandbox provisioning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Live sandbox practice environment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team; Steering Committee (go/no-go decision); end users.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Sandbox provisioning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Give a safe, non-production space to practice.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Stand up a sandbox instance loaded with representative (non-production) data so mistakes carry no real consequence.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ERPNext (open-source ERP sandbox instance)</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Run readiness assessments per cohort (Knowledge / Ability scoring)</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Assess skills hands-on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multiple-choice quiz can confirm Knowledge, but only a hands-on assessment in the sandbox can confirm the person can actually perform the transaction under time pressure.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Lead; Functional Process Owners (content validation);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training curriculum; job aids and quick-reference guides; train-the-trainer materials; go-live 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Skills checklist / practical assessment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Knowledge / Ability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(LMS completion tracking)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Skills checklist / practical assessment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Verify Knowledge and Ability under near-real conditions.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hands-on assessment in the sandbox covering the core transactions for that role, scored against a fixed rubric.</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Kiwi TCMS (adapted as a checklist tracker)</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 — ADKAR Engine.</w:t>
      </w:r>
    </w:p>
    <w:p>
      <w:pPr>
        <w:spacing w:after="90" w:before="180"/>
      </w:pPr>
      <w:r>
        <w:rPr>
          <w:rFonts w:ascii="Times New Roman" w:cs="Times New Roman" w:eastAsia="Times New Roman" w:hAnsi="Times New Roman"/>
          <w:b/>
          <w:bCs/>
          <w:color w:val="E07B00"/>
          <w:sz w:val="22"/>
          <w:szCs w:val="22"/>
        </w:rPr>
        <w:t xml:space="preserve">Step 2 — Track training completion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Completion percentage is a leading indicator for the go/no-go call, cheap to track continuously, and it feeds directly into the Composite Readiness Index's training component.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(Skills checklist / practical assessment)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Knowledge / Ability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LMS completion tracking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completion percentage by cohort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team; Steering Committee (go/no-go decision); end users.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LMS completion tracking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Monitor training completion percentage by cohort.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Track completion of every assigned e-learning module and instructor-led session by cohort in the LMS.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Moodle</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Brief supervisors on real-time floor-coaching expectations for go-live</w:t>
      </w:r>
    </w:p>
    <w:p>
      <w:pPr>
        <w:spacing w:after="90" w:before="180"/>
      </w:pPr>
      <w:r>
        <w:rPr>
          <w:rFonts w:ascii="Times New Roman" w:cs="Times New Roman" w:eastAsia="Times New Roman" w:hAnsi="Times New Roman"/>
          <w:b/>
          <w:bCs/>
          <w:color w:val="E07B00"/>
          <w:sz w:val="22"/>
          <w:szCs w:val="22"/>
        </w:rPr>
        <w:t xml:space="preserve">Step 1 — Workshop supervisors on coaching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Supervisors are the first line of defense against a bad first week; how well they can spot and coach a struggling employee in the moment matters more than any single training session.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Lead; Functional Process Owners (content validation);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training curriculum; job aids and quick-reference guides; train-the-trainer materials; go-live 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Supervisor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Briefed supervisor cohort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(Coaching-plan template)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Supervisor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Align supervisors on real-time coaching behaviors for go-live.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half-day workshop covering how to spot a struggling employee, how to coach in the moment, and when to escalate.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90" w:before="180"/>
      </w:pPr>
      <w:r>
        <w:rPr>
          <w:rFonts w:ascii="Times New Roman" w:cs="Times New Roman" w:eastAsia="Times New Roman" w:hAnsi="Times New Roman"/>
          <w:b/>
          <w:bCs/>
          <w:color w:val="E07B00"/>
          <w:sz w:val="22"/>
          <w:szCs w:val="22"/>
        </w:rPr>
        <w:t xml:space="preserve">Step 2 — Complete a coaching plan per supervisor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generic “be supportive” instruction is forgettable; a named list of at-risk individuals and the specific process steps to watch is something a supervisor can actually act on during a busy week.</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(Supervisor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Briefed supervisor cohort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Coaching-plan template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per-supervisor coaching plans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team; Steering Committee (go/no-go decision); end users.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Coaching-plan template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Give each supervisor a concrete, per-cohort coaching plan.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fill-in template listing each supervisor's team, known risk individuals, and the specific process steps to watch first.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Writer template</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Confirm go/no-go readiness by cohort against benchmarking bands</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15.</w:t>
      </w:r>
    </w:p>
    <w:p>
      <w:pPr>
        <w:spacing w:after="90" w:before="180"/>
      </w:pPr>
      <w:r>
        <w:rPr>
          <w:rFonts w:ascii="Times New Roman" w:cs="Times New Roman" w:eastAsia="Times New Roman" w:hAnsi="Times New Roman"/>
          <w:b/>
          <w:bCs/>
          <w:color w:val="E07B00"/>
          <w:sz w:val="22"/>
          <w:szCs w:val="22"/>
        </w:rPr>
        <w:t xml:space="preserve">Step 1 — Review the readiness scorecards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Comparing every cohort against the same benchmarking band, rather than eyeballing each score in isolation, is what keeps the go/no-go decision consistent across the program.</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Lead; Functional Process Owners (content validation);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Approved training curriculum; job aids and quick-reference guides; train-the-trainer materials; go-live 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Readiness scorecard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readiness scorecards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(Formal go/no-go workshop)</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Readiness scorecard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Compare cohort scores against the Module 15 benchmarking bands.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Compile each cohort's Knowledge, Ability, and Composite Readiness Index against the benchmarking bands into one scorecard.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15 — Benchmarking.</w:t>
      </w:r>
    </w:p>
    <w:p>
      <w:pPr>
        <w:spacing w:after="90" w:before="180"/>
      </w:pPr>
      <w:r>
        <w:rPr>
          <w:rFonts w:ascii="Times New Roman" w:cs="Times New Roman" w:eastAsia="Times New Roman" w:hAnsi="Times New Roman"/>
          <w:b/>
          <w:bCs/>
          <w:color w:val="E07B00"/>
          <w:sz w:val="22"/>
          <w:szCs w:val="22"/>
        </w:rPr>
        <w:t xml:space="preserve">Step 2 — Hold the go/no-go workshop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Deciding cohort by cohort, rather than as a single blended call, is what lets a strong cohort proceed on schedule while a weaker one gets a short, targeted extension instead of dragging the whole program.</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(Readiness scorecard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readiness scorecards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 go/no-go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cohort go/no-go decisions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Cutover team; Steering Committee (go/no-go decision); end users.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 go/no-go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Gain explicit Sponsor sign-off, cohort by cohort.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Present each cohort's scorecard to the Sponsor and FPOs; record an explicit go / no-go / conditional-go decision per cohort.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(decision log)</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PM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6.6 Phase 6 — Cutover &amp; Go-Live (Week 37)</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sharpest instance of the two-clock problem: a single-day organizational milestone layered on an emotional clock that does not move that fast (Exception E3).</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data freeze and final migration; run the cutover runbook.</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Decommission or lock legacy system access per plan.</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Communicate go-live confirmation to all cohorts.</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W37 — D1</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Activate the hypercare support model; mark Lewin as “Change → Refreeze (provisional)”.</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6 — Cutover &amp; Go-Live.</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Program Manager; Executive Sponsor (go/no-go authority).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go/no-go readiness call; data-freeze confirmation; cutover runbook; hypercare support-model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Execute the data freeze and final migration</w:t>
            </w:r>
          </w:p>
          <w:p>
            <w:pPr>
              <w:jc w:val="left"/>
            </w:pPr>
            <w:r>
              <w:rPr>
                <w:rFonts w:ascii="Times New Roman" w:cs="Times New Roman" w:eastAsia="Times New Roman" w:hAnsi="Times New Roman"/>
                <w:b w:val="false"/>
                <w:bCs w:val="false"/>
                <w:color w:val="58595B"/>
                <w:sz w:val="19"/>
                <w:szCs w:val="19"/>
              </w:rPr>
              <w:t xml:space="preserve">2. Run the cutover runbook and technical validation checks</w:t>
            </w:r>
          </w:p>
          <w:p>
            <w:pPr>
              <w:jc w:val="left"/>
            </w:pPr>
            <w:r>
              <w:rPr>
                <w:rFonts w:ascii="Times New Roman" w:cs="Times New Roman" w:eastAsia="Times New Roman" w:hAnsi="Times New Roman"/>
                <w:b w:val="false"/>
                <w:bCs w:val="false"/>
                <w:color w:val="58595B"/>
                <w:sz w:val="19"/>
                <w:szCs w:val="19"/>
              </w:rPr>
              <w:t xml:space="preserve">3. Decommission or lock access to the legacy system per plan</w:t>
            </w:r>
          </w:p>
          <w:p>
            <w:pPr>
              <w:jc w:val="left"/>
            </w:pPr>
            <w:r>
              <w:rPr>
                <w:rFonts w:ascii="Times New Roman" w:cs="Times New Roman" w:eastAsia="Times New Roman" w:hAnsi="Times New Roman"/>
                <w:b w:val="false"/>
                <w:bCs w:val="false"/>
                <w:color w:val="58595B"/>
                <w:sz w:val="19"/>
                <w:szCs w:val="19"/>
              </w:rPr>
              <w:t xml:space="preserve">4. Communicate go-live confirmation to all cohorts</w:t>
            </w:r>
          </w:p>
          <w:p>
            <w:pPr>
              <w:jc w:val="left"/>
            </w:pPr>
            <w:r>
              <w:rPr>
                <w:rFonts w:ascii="Times New Roman" w:cs="Times New Roman" w:eastAsia="Times New Roman" w:hAnsi="Times New Roman"/>
                <w:b w:val="false"/>
                <w:bCs w:val="false"/>
                <w:color w:val="58595B"/>
                <w:sz w:val="19"/>
                <w:szCs w:val="19"/>
              </w:rPr>
              <w:t xml:space="preserve">5. Activate the hypercare support model on Day 1</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Live production system; legacy system locked / decommissioned; go-live communication sent; active hypercare support model.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end users; hypercare / support team; Steering Committee.</w:t>
            </w:r>
          </w:p>
        </w:tc>
      </w:tr>
    </w:tbl>
    <w:p>
      <w:pPr>
        <w:spacing w:after="200" w:before="60"/>
        <w:jc w:val="left"/>
      </w:pPr>
      <w:r>
        <w:rPr>
          <w:rFonts w:ascii="Times New Roman" w:cs="Times New Roman" w:eastAsia="Times New Roman" w:hAnsi="Times New Roman"/>
          <w:i/>
          <w:iCs/>
          <w:color w:val="58595B"/>
          <w:sz w:val="19"/>
          <w:szCs w:val="19"/>
        </w:rPr>
        <w:t xml:space="preserve">SIPOC for Phase 6 — Cutover &amp; Go-Live.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Execute the data freeze and final migration</w:t>
      </w:r>
    </w:p>
    <w:p>
      <w:pPr>
        <w:spacing w:after="90" w:before="180"/>
      </w:pPr>
      <w:r>
        <w:rPr>
          <w:rFonts w:ascii="Times New Roman" w:cs="Times New Roman" w:eastAsia="Times New Roman" w:hAnsi="Times New Roman"/>
          <w:b/>
          <w:bCs/>
          <w:color w:val="E07B00"/>
          <w:sz w:val="22"/>
          <w:szCs w:val="22"/>
        </w:rPr>
        <w:t xml:space="preserve">Step 1 — Lock the data freeze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migration run against a source system that is still being edited produces a mismatch that reconciliation cannot fix after the fact, which is why the freeze has to be confirmed in writing.</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Program Manager; Executive Sponsor (go/no-go authority).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go/no-go readiness call; data-freeze confirmation; cutover runbook; hypercare support-model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Data-freeze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data freeze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(Final migration run)</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Data-freeze checklist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Lock source-system changes at the agreed cut-off.</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Notify all source-system owners of the freeze window and lock write access at the agreed time, confirmed in writing.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Rundeck</w:t>
            </w:r>
          </w:p>
        </w:tc>
      </w:tr>
    </w:tbl>
    <w:p>
      <w:pPr>
        <w:spacing w:after="90" w:before="180"/>
      </w:pPr>
      <w:r>
        <w:rPr>
          <w:rFonts w:ascii="Times New Roman" w:cs="Times New Roman" w:eastAsia="Times New Roman" w:hAnsi="Times New Roman"/>
          <w:b/>
          <w:bCs/>
          <w:color w:val="E07B00"/>
          <w:sz w:val="22"/>
          <w:szCs w:val="22"/>
        </w:rPr>
        <w:t xml:space="preserve">Step 2 — Run the final migration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Everything rehearsed in the Phase 3 mock runs is executed for real here, against the live production environment, with no second chance if a step is skipped.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(Data-freeze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data freeze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migration run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production data load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end users; hypercare / support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migration run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production data load.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rehearsed migration flows against production, with a technical lead monitoring each domain load in real time.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NiFi</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CM, SUP,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Run the cutover runbook and technical validation checks</w:t>
      </w:r>
    </w:p>
    <w:p>
      <w:pPr>
        <w:spacing w:after="90" w:before="180"/>
      </w:pPr>
      <w:r>
        <w:rPr>
          <w:rFonts w:ascii="Times New Roman" w:cs="Times New Roman" w:eastAsia="Times New Roman" w:hAnsi="Times New Roman"/>
          <w:b/>
          <w:bCs/>
          <w:color w:val="E07B00"/>
          <w:sz w:val="22"/>
          <w:szCs w:val="22"/>
        </w:rPr>
        <w:t xml:space="preserve">Step 1 — Execute the cutover runbook</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second person confirming each step before the next begins is a small discipline that prevents the single most common cutover failure: two people assuming the other already did something.</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Program Manager; Executive Sponsor (go/no-go authority).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go/no-go readiness call; data-freeze confirmation; cutover runbook; hypercare support-model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Runbook execution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timestamped runbook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(Smoke testing)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Runbook execution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Sequence every technical cutover task precisely and traceably.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Execute the runbook task by task with a second person confirming completion of each step before the next begins.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Rundeck</w:t>
            </w:r>
          </w:p>
        </w:tc>
      </w:tr>
    </w:tbl>
    <w:p>
      <w:pPr>
        <w:spacing w:after="90" w:before="180"/>
      </w:pPr>
      <w:r>
        <w:rPr>
          <w:rFonts w:ascii="Times New Roman" w:cs="Times New Roman" w:eastAsia="Times New Roman" w:hAnsi="Times New Roman"/>
          <w:b/>
          <w:bCs/>
          <w:color w:val="E07B00"/>
          <w:sz w:val="22"/>
          <w:szCs w:val="22"/>
        </w:rPr>
        <w:t xml:space="preserve">Step 2 — Run the smoke tests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last chance to catch a production-only issue before the wider population starts using the system, so it should never be skipped under time pressure.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(Runbook execution)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timestamped runbook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Smoke testing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Passed production smoke tests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end users; hypercare / support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Smoke testing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core transactions work in production before go-live is declared.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a short list of the highest-volume transactions end to end in production immediately after cutover.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Kiwi TCMS</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Decommission or lock access to the legacy system per plan</w:t>
      </w:r>
    </w:p>
    <w:p>
      <w:pPr>
        <w:spacing w:after="90" w:before="180"/>
      </w:pPr>
      <w:r>
        <w:rPr>
          <w:rFonts w:ascii="Times New Roman" w:cs="Times New Roman" w:eastAsia="Times New Roman" w:hAnsi="Times New Roman"/>
          <w:b/>
          <w:bCs/>
          <w:color w:val="E07B00"/>
          <w:sz w:val="22"/>
          <w:szCs w:val="22"/>
        </w:rPr>
        <w:t xml:space="preserve">Step 1 — Revoke legacy access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Leaving legacy access open past go-live is one of the most common ways a hard-won cutover quietly slides back into partial old-system usage.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Program Manager; Executive Sponsor (go/no-go authority).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go/no-go readiness call; data-freeze confirmation; cutover runbook; hypercare support-model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Access-revocation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access revocation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(Legacy archival)</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Access-revocation checklist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Remove legacy access per the agreed plan.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Revoke or downgrade legacy-system access for all end users except a small audit/support group, per the agreed plan.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FreeIPA (identity / access management)</w:t>
            </w:r>
          </w:p>
        </w:tc>
      </w:tr>
    </w:tbl>
    <w:p>
      <w:pPr>
        <w:spacing w:after="90" w:before="180"/>
      </w:pPr>
      <w:r>
        <w:rPr>
          <w:rFonts w:ascii="Times New Roman" w:cs="Times New Roman" w:eastAsia="Times New Roman" w:hAnsi="Times New Roman"/>
          <w:b/>
          <w:bCs/>
          <w:color w:val="E07B00"/>
          <w:sz w:val="22"/>
          <w:szCs w:val="22"/>
        </w:rPr>
        <w:t xml:space="preserve">Step 2 — Archive the legacy system</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archive is the organization's only remaining source of pre-migration history once the legacy system is decommissioned, so it is worth verifying before access is locked down.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(Access-revocation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access revocation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Legacy archival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Verified legacy data archive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end users; hypercare / support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Legacy archival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Preserve legacy data for audit purposes before lock-down.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Take a final, verified archive snapshot of the legacy system for audit and historical-reporting purposes.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NiFi (archive flow)</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Communicate go-live confirmation to all cohorts</w:t>
      </w:r>
    </w:p>
    <w:p>
      <w:pPr>
        <w:spacing w:after="90" w:before="180"/>
      </w:pPr>
      <w:r>
        <w:rPr>
          <w:rFonts w:ascii="Times New Roman" w:cs="Times New Roman" w:eastAsia="Times New Roman" w:hAnsi="Times New Roman"/>
          <w:b/>
          <w:bCs/>
          <w:color w:val="E07B00"/>
          <w:sz w:val="22"/>
          <w:szCs w:val="22"/>
        </w:rPr>
        <w:t xml:space="preserve">Step 1 — Announce go-live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Speed matters more than polish here: a short, clear message within the hour beats a beautifully designed one sent the next morning after people have already started guessing.</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Program Manager; Executive Sponsor (go/no-go authority).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go/no-go readiness call; data-freeze confirmation; cutover runbook; hypercare support-model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announcement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Sent go-live announcement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(FAQ update)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announcement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the system is live and where to get help.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Send a short, clear go-live confirmation naming the support channel and hours to every cohort within the hour of cutover.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Listmonk</w:t>
            </w:r>
          </w:p>
        </w:tc>
      </w:tr>
    </w:tbl>
    <w:p>
      <w:pPr>
        <w:spacing w:after="90" w:before="180"/>
      </w:pPr>
      <w:r>
        <w:rPr>
          <w:rFonts w:ascii="Times New Roman" w:cs="Times New Roman" w:eastAsia="Times New Roman" w:hAnsi="Times New Roman"/>
          <w:b/>
          <w:bCs/>
          <w:color w:val="E07B00"/>
          <w:sz w:val="22"/>
          <w:szCs w:val="22"/>
        </w:rPr>
        <w:t xml:space="preserve">Step 2 — Refresh the go-live FAQ</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questions people ask in the first 48 hours of go-live are different from the questions they asked during Training, so the FAQ needs a dedicated refresh, not just the old content.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(Go-live announcement)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Sent go-live announcement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FAQ update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Updated go-live FAQ</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end users; hypercare / support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FAQ update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Refresh the knowledge base with go-live-specific answers.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Add a “go-live week” section to the FAQ covering the most likely first-day questions.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BookStack</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ITL, SUP,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Activate the hypercare support model on Day 1</w:t>
      </w:r>
    </w:p>
    <w:p>
      <w:pPr>
        <w:spacing w:after="90" w:before="180"/>
      </w:pPr>
      <w:r>
        <w:rPr>
          <w:rFonts w:ascii="Times New Roman" w:cs="Times New Roman" w:eastAsia="Times New Roman" w:hAnsi="Times New Roman"/>
          <w:b/>
          <w:bCs/>
          <w:color w:val="E07B00"/>
          <w:sz w:val="22"/>
          <w:szCs w:val="22"/>
        </w:rPr>
        <w:t xml:space="preserve">Step 1 — Staff the elevated help desk</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learning-curve bump in ticket volume is predictable and temporary, but only if enough staff are in place to absorb it without a growing backlog that itself becomes a source of frustration.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Program Manager; Executive Sponsor (go/no-go authority).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go/no-go readiness call; data-freeze confirmation; cutover runbook; hypercare support-model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Elevated help-desk staffing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Staffed elevated support desk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(Daily stand-up triage)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Elevated help-desk staffing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Absorb the go-live question spike quickly.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Double or triple standard help-desk staffing for the first five business days, with a visible escalation path.</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osTicket</w:t>
            </w:r>
          </w:p>
        </w:tc>
      </w:tr>
    </w:tbl>
    <w:p>
      <w:pPr>
        <w:spacing w:after="90" w:before="180"/>
      </w:pPr>
      <w:r>
        <w:rPr>
          <w:rFonts w:ascii="Times New Roman" w:cs="Times New Roman" w:eastAsia="Times New Roman" w:hAnsi="Times New Roman"/>
          <w:b/>
          <w:bCs/>
          <w:color w:val="E07B00"/>
          <w:sz w:val="22"/>
          <w:szCs w:val="22"/>
        </w:rPr>
        <w:t xml:space="preserve">Step 2 — Run the daily triage stand-up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Fifteen minutes a day across ITL, CM and SUP is what catches an emerging pattern — a specific step generating disproportionate tickets — while it is still a small problem.</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(Elevated help-desk staffing)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Staffed elevated support desk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Daily stand-up triage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Daily triage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end users; hypercare / support team; Steering Committee.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Daily stand-up triage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Keep defect and adoption risk visible in real time.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15-minute daily stand-up across ITL, CM and SUP reviewing new tickets, adoption metrics and any emerging pattern.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Mattermost</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 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6.7 Phase 7 — Hypercare &amp; Stabilization (Weeks 37–48)</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last mile of adoption is won or lost here — and regression is normal, expected behavior, not a data error (Exception E4).</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W38</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Staff the elevated support desk; begin daily adoption-metric tracking.</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W39–W40</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First Kübler-Ross / Bridges re-pulse (2-week mark).</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W41–W42</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Coach any cohort showing regression; continue daily metric triage.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W43–W44</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Second re-pulse (4-week mark); compare against the provisional Lewin call.</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W45–W46</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Begin tapering support toward standard service levels where metrics have stabilized.</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W47–W48</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or extend hypercare for lagging cohorts; Phase 7 gate review.</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7 — Hypercare &amp; Stabilization.</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(defect fixes); Change Manager;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model; defect and incident log; daily / weekly adoption metrics; escalation triggers.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Staff an elevated support desk for the first weeks post-go-live</w:t>
            </w:r>
          </w:p>
          <w:p>
            <w:pPr>
              <w:jc w:val="left"/>
            </w:pPr>
            <w:r>
              <w:rPr>
                <w:rFonts w:ascii="Times New Roman" w:cs="Times New Roman" w:eastAsia="Times New Roman" w:hAnsi="Times New Roman"/>
                <w:b w:val="false"/>
                <w:bCs w:val="false"/>
                <w:color w:val="58595B"/>
                <w:sz w:val="19"/>
                <w:szCs w:val="19"/>
              </w:rPr>
              <w:t xml:space="preserve">2. Track adoption metrics daily and triage defects by severity</w:t>
            </w:r>
          </w:p>
          <w:p>
            <w:pPr>
              <w:jc w:val="left"/>
            </w:pPr>
            <w:r>
              <w:rPr>
                <w:rFonts w:ascii="Times New Roman" w:cs="Times New Roman" w:eastAsia="Times New Roman" w:hAnsi="Times New Roman"/>
                <w:b w:val="false"/>
                <w:bCs w:val="false"/>
                <w:color w:val="58595B"/>
                <w:sz w:val="19"/>
                <w:szCs w:val="19"/>
              </w:rPr>
              <w:t xml:space="preserve">3. Run a Kübler-Ross / Bridges re-pulse at 2 and 4 weeks post-go-live</w:t>
            </w:r>
          </w:p>
          <w:p>
            <w:pPr>
              <w:jc w:val="left"/>
            </w:pPr>
            <w:r>
              <w:rPr>
                <w:rFonts w:ascii="Times New Roman" w:cs="Times New Roman" w:eastAsia="Times New Roman" w:hAnsi="Times New Roman"/>
                <w:b w:val="false"/>
                <w:bCs w:val="false"/>
                <w:color w:val="58595B"/>
                <w:sz w:val="19"/>
                <w:szCs w:val="19"/>
              </w:rPr>
              <w:t xml:space="preserve">4. Coach any cohort showing regression</w:t>
            </w:r>
          </w:p>
          <w:p>
            <w:pPr>
              <w:jc w:val="left"/>
            </w:pPr>
            <w:r>
              <w:rPr>
                <w:rFonts w:ascii="Times New Roman" w:cs="Times New Roman" w:eastAsia="Times New Roman" w:hAnsi="Times New Roman"/>
                <w:b w:val="false"/>
                <w:bCs w:val="false"/>
                <w:color w:val="58595B"/>
                <w:sz w:val="19"/>
                <w:szCs w:val="19"/>
              </w:rPr>
              <w:t xml:space="preserve">5. Taper support toward standard service levels as metrics stabilize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Closed or triaged defect log; stabilized adoption metrics; updated Bridges / Kübler-Ross readings; support taper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users; Steering Committee (stabilization report);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SIPOC for Phase 7 — Hypercare &amp; Stabilization.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Staff an elevated support desk for the first weeks post-go-live</w:t>
      </w:r>
    </w:p>
    <w:p>
      <w:pPr>
        <w:spacing w:after="90" w:before="180"/>
      </w:pPr>
      <w:r>
        <w:rPr>
          <w:rFonts w:ascii="Times New Roman" w:cs="Times New Roman" w:eastAsia="Times New Roman" w:hAnsi="Times New Roman"/>
          <w:b/>
          <w:bCs/>
          <w:color w:val="E07B00"/>
          <w:sz w:val="22"/>
          <w:szCs w:val="22"/>
        </w:rPr>
        <w:t xml:space="preserve">Step 1 — Publish the support roster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named backup for every shift is what prevents a single absence during the highest-risk week of the entire program from leaving a coverage gap.</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(defect fixes); Change Manager;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model; defect and incident log; daily / weekly adoption metrics; escalation triggers.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Shift-based support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Published support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(Ticket-tagging taxonomy)</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Shift-based support roster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Guarantee coverage through the highest-risk weeks.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 a shift roster covering the full support week, with named backups for every shift.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(calendar)</w:t>
            </w:r>
          </w:p>
        </w:tc>
      </w:tr>
    </w:tbl>
    <w:p>
      <w:pPr>
        <w:spacing w:after="90" w:before="180"/>
      </w:pPr>
      <w:r>
        <w:rPr>
          <w:rFonts w:ascii="Times New Roman" w:cs="Times New Roman" w:eastAsia="Times New Roman" w:hAnsi="Times New Roman"/>
          <w:b/>
          <w:bCs/>
          <w:color w:val="E07B00"/>
          <w:sz w:val="22"/>
          <w:szCs w:val="22"/>
        </w:rPr>
        <w:t xml:space="preserve">Step 2 — Tag tickets by process step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An untagged ticket queue can hide a real pattern in plain sight; tagging by process step is what turns forty individual complaints into one visible signal.</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(Shift-based support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Published support roster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Ticket-tagging taxonomy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Tagged ticket taxonomy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users; Steering Committee (stabilization report);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Ticket-tagging taxonomy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Classify tickets by process step for pattern detection.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Tag every ticket against the process step it relates to, so a recurring pattern surfaces immediately.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osTicket</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Track adoption metrics daily and triage defects by severity</w:t>
      </w:r>
    </w:p>
    <w:p>
      <w:pPr>
        <w:spacing w:after="90" w:before="180"/>
      </w:pPr>
      <w:r>
        <w:rPr>
          <w:rFonts w:ascii="Times New Roman" w:cs="Times New Roman" w:eastAsia="Times New Roman" w:hAnsi="Times New Roman"/>
          <w:b/>
          <w:bCs/>
          <w:color w:val="E07B00"/>
          <w:sz w:val="22"/>
          <w:szCs w:val="22"/>
        </w:rPr>
        <w:t xml:space="preserve">Step 1 — Build the adoption dashboard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Plotting daily volume and error rate against the pre-go-live baseline is what turns “it feels busy” into a specific, checkable claim.</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(defect fixes); Change Manager;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model; defect and incident log; daily / weekly adoption metrics; escalation triggers.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Adoption dashboard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Daily adoption dashboard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(Severity-based defect triage)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Adoption dashboard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Make daily usage and error trends visible at a glance.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single dashboard showing daily transaction volume, error rate and help-desk ticket volume against the pre-go-live baseline.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Superset</w:t>
            </w:r>
          </w:p>
        </w:tc>
      </w:tr>
    </w:tbl>
    <w:p>
      <w:pPr>
        <w:spacing w:after="90" w:before="180"/>
      </w:pPr>
      <w:r>
        <w:rPr>
          <w:rFonts w:ascii="Times New Roman" w:cs="Times New Roman" w:eastAsia="Times New Roman" w:hAnsi="Times New Roman"/>
          <w:b/>
          <w:bCs/>
          <w:color w:val="E07B00"/>
          <w:sz w:val="22"/>
          <w:szCs w:val="22"/>
        </w:rPr>
        <w:t xml:space="preserve">Step 2 — Re-triage defects by severity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Fixing tickets in the order they arrived rather than by severity means a minor cosmetic issue reported early can delay a fix for a blocker reported later the same day.</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(Adoption dashboard)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Daily adoption dashboard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Severity-based defect triage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Re-triaged defect queue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users; Steering Committee (stabilization report);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Severity-based defect triage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Route fixes by business impact rather than arrival order.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Re-triage the defect queue each morning; blockers get same-day attention regardless of when they were logged.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Run a Kübler-Ross / Bridges re-pulse at 2 and 4 weeks post-go-live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90" w:before="180"/>
      </w:pPr>
      <w:r>
        <w:rPr>
          <w:rFonts w:ascii="Times New Roman" w:cs="Times New Roman" w:eastAsia="Times New Roman" w:hAnsi="Times New Roman"/>
          <w:b/>
          <w:bCs/>
          <w:color w:val="E07B00"/>
          <w:sz w:val="22"/>
          <w:szCs w:val="22"/>
        </w:rPr>
        <w:t xml:space="preserve">Step 1 — Re-pulse the population post-go-live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Issuing this at exactly weeks 2 and 4 — not “around” those dates — is what makes the comparison to the Phase 6 anxiety spike clean enough to trust.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(defect fixes); Change Manager;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model; defect and incident log; daily / weekly adoption metrics; escalation triggers.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 (post-go-live wave)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Post-go-live sentiment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(Cohort trend comparison)</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 (post-go-live wave)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Measure emotional-layer movement since cutover.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Re-issue a short 5-question Bridges/Kübler-Ross instrument at exactly weeks 2 and 4 post-go-live for a clean comparison.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 — Emotional &amp; Transition Layer.</w:t>
      </w:r>
    </w:p>
    <w:p>
      <w:pPr>
        <w:spacing w:after="90" w:before="180"/>
      </w:pPr>
      <w:r>
        <w:rPr>
          <w:rFonts w:ascii="Times New Roman" w:cs="Times New Roman" w:eastAsia="Times New Roman" w:hAnsi="Times New Roman"/>
          <w:b/>
          <w:bCs/>
          <w:color w:val="E07B00"/>
          <w:sz w:val="22"/>
          <w:szCs w:val="22"/>
        </w:rPr>
        <w:t xml:space="preserve">Step 2 — Compare cohort trends to the phase call</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comparison is the actual evidence base for either confirming or walking back the provisional Refreeze call made at go-live — not the passage of time alone.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(Pulse survey (post-go-live wave))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Post-go-live sentiment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trend comparison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trend comparison report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users; Steering Committee (stabilization report);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trend comparison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Compare re-pulse results against the provisional Lewin call.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Plot each cohort's Bridges/Kübler-Ross trend against the provisional Lewin phase call to check they are consistent.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Coach any cohort showing regression</w:t>
      </w:r>
    </w:p>
    <w:p>
      <w:pPr>
        <w:spacing w:after="90" w:before="180"/>
      </w:pPr>
      <w:r>
        <w:rPr>
          <w:rFonts w:ascii="Times New Roman" w:cs="Times New Roman" w:eastAsia="Times New Roman" w:hAnsi="Times New Roman"/>
          <w:b/>
          <w:bCs/>
          <w:color w:val="E07B00"/>
          <w:sz w:val="22"/>
          <w:szCs w:val="22"/>
        </w:rPr>
        <w:t xml:space="preserve">Step 1 — Check the regression against incidents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Confirming a link to a specific incident, rather than assuming general readiness failure, is what keeps the response scoped and fast instead of triggering an unnecessary program-wide review.</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(defect fixes); Change Manager;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model; defect and incident log; daily / weekly adoption metrics; escalation triggers.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Incident-linkage check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or ruled-out incident linkage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(Targeted in-context coaching)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Incident-linkage check</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whether a regression traces to a specific incident.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Cross-reference the timing of any regressed score against the incident/defect log for that cohort's process area.</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 (cross-reference)</w:t>
            </w:r>
          </w:p>
        </w:tc>
      </w:tr>
    </w:tbl>
    <w:p>
      <w:pPr>
        <w:spacing w:after="90" w:before="180"/>
      </w:pPr>
      <w:r>
        <w:rPr>
          <w:rFonts w:ascii="Times New Roman" w:cs="Times New Roman" w:eastAsia="Times New Roman" w:hAnsi="Times New Roman"/>
          <w:b/>
          <w:bCs/>
          <w:color w:val="E07B00"/>
          <w:sz w:val="22"/>
          <w:szCs w:val="22"/>
        </w:rPr>
        <w:t xml:space="preserve">Step 2 — Coach the affected step in context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Twenty minutes at the person's own desk, on the exact step that went wrong, resolves a regression far faster than scheduling them back into a full course.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(Incident-linkage check)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or ruled-out incident linkage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in-context coaching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targeted coaching session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users; Steering Committee (stabilization report);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in-context coaching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Correct the specific process step affected, not a full retraining.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20-minute, one-on-one, at-the-desk coaching session on the exact step involved, not a repeat of the full course.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Taper support toward standard service levels as metrics stabilize</w:t>
      </w:r>
    </w:p>
    <w:p>
      <w:pPr>
        <w:spacing w:after="90" w:before="180"/>
      </w:pPr>
      <w:r>
        <w:rPr>
          <w:rFonts w:ascii="Times New Roman" w:cs="Times New Roman" w:eastAsia="Times New Roman" w:hAnsi="Times New Roman"/>
          <w:b/>
          <w:bCs/>
          <w:color w:val="E07B00"/>
          <w:sz w:val="22"/>
          <w:szCs w:val="22"/>
        </w:rPr>
        <w:t xml:space="preserve">Step 1 — Confirm taper readiness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Tapering on a fixed calendar date rather than on sustained metrics risks pulling support just as a cohort was starting to stabilize, undoing weeks of hypercare work.</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(defect fixes); Change Manager;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model; defect and incident log; daily / weekly adoption metrics; escalation triggers.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Taper-readiness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Signed taper-readiness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(Service-level handover)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Taper-readiness checklist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metrics justify stepping down elevated support.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ticket volume, error rate and sentiment have held at target for at least one full week before tapering.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90" w:before="180"/>
      </w:pPr>
      <w:r>
        <w:rPr>
          <w:rFonts w:ascii="Times New Roman" w:cs="Times New Roman" w:eastAsia="Times New Roman" w:hAnsi="Times New Roman"/>
          <w:b/>
          <w:bCs/>
          <w:color w:val="E07B00"/>
          <w:sz w:val="22"/>
          <w:szCs w:val="22"/>
        </w:rPr>
        <w:t xml:space="preserve">Step 2 — Hand support back to standard levels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formal handover, rather than support simply fading out, is what ensures the standing help-desk team knows they now own the queue.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(Taper-readiness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Signed taper-readiness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Service-level handover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service-level handover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users; Steering Committee (stabilization report);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Service-level handover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Transition support ownership to business-as-usual.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Formally hand the support queue back to standard service levels and the standing help-desk team.</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osTicket (queue reassignment)</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6.8 Phase 8 — Sustainment &amp; Closure (Weeks 45–52+)</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Refreeze is called from checkpoint evidence, never the calendar — the discipline that protects against a Reinforcement gap (Exception E5).</w:t>
      </w:r>
    </w:p>
    <w:p>
      <w:pPr>
        <w:pStyle w:val="Heading3"/>
        <w:spacing w:after="120" w:before="220"/>
      </w:pPr>
      <w:r>
        <w:rPr>
          <w:rFonts w:ascii="Times New Roman" w:cs="Times New Roman" w:eastAsia="Times New Roman" w:hAnsi="Times New Roman"/>
          <w:b/>
          <w:bCs/>
          <w:color w:val="E07B00"/>
          <w:sz w:val="24"/>
          <w:szCs w:val="24"/>
        </w:rPr>
        <w:t xml:space="preserve">Timeline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309"/>
        <w:gridCol w:w="5797"/>
        <w:gridCol w:w="1122"/>
        <w:gridCol w:w="1122"/>
      </w:tblGrid>
      <w:tr>
        <w:trPr>
          <w:tblHeader/>
        </w:trPr>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579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journi Module</w:t>
            </w:r>
          </w:p>
        </w:tc>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W45–W46</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Embed new-process metrics into standard performance management, with HR support.</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W47–W48</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Reinforcement mechanisms are active (recognition, manager check-ins, revoked legacy access).</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W49–W50</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60-day checkpoint review against the benchmarking bands.</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15</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r>
      <w:tr>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W51–W52</w:t>
            </w:r>
          </w:p>
        </w:tc>
        <w:tc>
          <w:tcPr>
            <w:tcW w:type="dxa" w:w="579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 the 90-day checkpoint review; call Refreeze formally once evidence supports it.</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r>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W52+</w:t>
            </w:r>
          </w:p>
        </w:tc>
        <w:tc>
          <w:tcPr>
            <w:tcW w:type="dxa" w:w="579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 the Change Management project; hand off ownership to the business; log lessons learned.</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t>
            </w:r>
          </w:p>
        </w:tc>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r>
    </w:tbl>
    <w:p>
      <w:pPr>
        <w:spacing w:after="200" w:before="60"/>
        <w:jc w:val="left"/>
      </w:pPr>
      <w:r>
        <w:rPr>
          <w:rFonts w:ascii="Times New Roman" w:cs="Times New Roman" w:eastAsia="Times New Roman" w:hAnsi="Times New Roman"/>
          <w:i/>
          <w:iCs/>
          <w:color w:val="58595B"/>
          <w:sz w:val="19"/>
          <w:szCs w:val="19"/>
        </w:rPr>
        <w:t xml:space="preserve">Week-by-week timeline for Phase 8 — Sustainment &amp; Closure.</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 (performance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Stabilized adoption metrics; reinforcement mechanisms design (recognition, metrics, coaching cadence); checkpoint schedule.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Embed new-process metrics into standard performance management</w:t>
            </w:r>
          </w:p>
          <w:p>
            <w:pPr>
              <w:jc w:val="left"/>
            </w:pPr>
            <w:r>
              <w:rPr>
                <w:rFonts w:ascii="Times New Roman" w:cs="Times New Roman" w:eastAsia="Times New Roman" w:hAnsi="Times New Roman"/>
                <w:b w:val="false"/>
                <w:bCs w:val="false"/>
                <w:color w:val="58595B"/>
                <w:sz w:val="19"/>
                <w:szCs w:val="19"/>
              </w:rPr>
              <w:t xml:space="preserve">2. Confirm Reinforcement mechanisms are active</w:t>
            </w:r>
          </w:p>
          <w:p>
            <w:pPr>
              <w:jc w:val="left"/>
            </w:pPr>
            <w:r>
              <w:rPr>
                <w:rFonts w:ascii="Times New Roman" w:cs="Times New Roman" w:eastAsia="Times New Roman" w:hAnsi="Times New Roman"/>
                <w:b w:val="false"/>
                <w:bCs w:val="false"/>
                <w:color w:val="58595B"/>
                <w:sz w:val="19"/>
                <w:szCs w:val="19"/>
              </w:rPr>
              <w:t xml:space="preserve">3. Run 60-day and 90-day checkpoint reviews against benchmarking bands</w:t>
            </w:r>
          </w:p>
          <w:p>
            <w:pPr>
              <w:jc w:val="left"/>
            </w:pPr>
            <w:r>
              <w:rPr>
                <w:rFonts w:ascii="Times New Roman" w:cs="Times New Roman" w:eastAsia="Times New Roman" w:hAnsi="Times New Roman"/>
                <w:b w:val="false"/>
                <w:bCs w:val="false"/>
                <w:color w:val="58595B"/>
                <w:sz w:val="19"/>
                <w:szCs w:val="19"/>
              </w:rPr>
              <w:t xml:space="preserve">4. Call Refreeze formally once checkpoint evidence supports it</w:t>
            </w:r>
          </w:p>
          <w:p>
            <w:pPr>
              <w:jc w:val="left"/>
            </w:pPr>
            <w:r>
              <w:rPr>
                <w:rFonts w:ascii="Times New Roman" w:cs="Times New Roman" w:eastAsia="Times New Roman" w:hAnsi="Times New Roman"/>
                <w:b w:val="false"/>
                <w:bCs w:val="false"/>
                <w:color w:val="58595B"/>
                <w:sz w:val="19"/>
                <w:szCs w:val="19"/>
              </w:rPr>
              <w:t xml:space="preserve">5. Close the Change Management project and hand off ongoing ownership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Refreeze call with supporting checkpoint data; reinforcement mechanisms embedded in business-as-usual; closed CM project; lessons-learned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Business-as-usual process owner; Executive Sponsor; future Change Management projects (lessons learned).</w:t>
            </w:r>
          </w:p>
        </w:tc>
      </w:tr>
    </w:tbl>
    <w:p>
      <w:pPr>
        <w:spacing w:after="200" w:before="60"/>
        <w:jc w:val="left"/>
      </w:pPr>
      <w:r>
        <w:rPr>
          <w:rFonts w:ascii="Times New Roman" w:cs="Times New Roman" w:eastAsia="Times New Roman" w:hAnsi="Times New Roman"/>
          <w:i/>
          <w:iCs/>
          <w:color w:val="58595B"/>
          <w:sz w:val="19"/>
          <w:szCs w:val="19"/>
        </w:rPr>
        <w:t xml:space="preserve">SIPOC for Phase 8 — Sustainment &amp; Closure. The Process column lists this phase's five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Embed new-process metrics into standard performance management</w:t>
      </w:r>
    </w:p>
    <w:p>
      <w:pPr>
        <w:spacing w:after="90" w:before="180"/>
      </w:pPr>
      <w:r>
        <w:rPr>
          <w:rFonts w:ascii="Times New Roman" w:cs="Times New Roman" w:eastAsia="Times New Roman" w:hAnsi="Times New Roman"/>
          <w:b/>
          <w:bCs/>
          <w:color w:val="E07B00"/>
          <w:sz w:val="22"/>
          <w:szCs w:val="22"/>
        </w:rPr>
        <w:t xml:space="preserve">Step 1 — Agree the performance KPIs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Metrics that are fair, measurable and genuinely tied to the new process will change behavior; metrics chosen for convenience alone tend to be quietly ignored by managers.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 (performance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Stabilized adoption metrics; reinforcement mechanisms design (recognition, metrics, coaching cadence); checkpoint schedule.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KPI-integration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Agreed performance-integration KPIs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(Policy documentation)</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KPI-integration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Agree which adoption metrics enter performance reviews.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Work with HR to select 2–3 adoption metrics per role that are fair, measurable, and genuinely tied to the new process.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90" w:before="180"/>
      </w:pPr>
      <w:r>
        <w:rPr>
          <w:rFonts w:ascii="Times New Roman" w:cs="Times New Roman" w:eastAsia="Times New Roman" w:hAnsi="Times New Roman"/>
          <w:b/>
          <w:bCs/>
          <w:color w:val="E07B00"/>
          <w:sz w:val="22"/>
          <w:szCs w:val="22"/>
        </w:rPr>
        <w:t xml:space="preserve">Step 2 — Document the KPI definitions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one-page, unambiguous definition sheet is what stops two managers from scoring the same metric two different ways.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(KPI-integration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Agreed performance-integration KPIs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Policy documentation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Published KPI definition sheet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Business-as-usual process owner; Executive Sponsor; future Change Management projects (lessons learned).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Policy documentation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Formalize the metric definitions for HR use.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Write a one-page definition sheet for each metric so managers score it consistently.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BookStack</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Confirm Reinforcement mechanisms are active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Audit the reinforcement mechanisms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mechanism that exists only on the original plan document, not in weekly practice, provides no actual reinforcement — this audit checks for evidence, not intention.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 (performance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Stabilized adoption metrics; reinforcement mechanisms design (recognition, metrics, coaching cadence); checkpoint schedule.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audit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reinforcement audit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(Manager check-in cadence tracking)</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audit checklist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Verify recognition, check-ins and access-revocation are actually happening.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Walk through each planned reinforcement mechanism and confirm, with evidence, that it is actually operating — not just scheduled.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 — ADKAR Engine (Reinforcement block).</w:t>
      </w:r>
    </w:p>
    <w:p>
      <w:pPr>
        <w:spacing w:after="90" w:before="180"/>
      </w:pPr>
      <w:r>
        <w:rPr>
          <w:rFonts w:ascii="Times New Roman" w:cs="Times New Roman" w:eastAsia="Times New Roman" w:hAnsi="Times New Roman"/>
          <w:b/>
          <w:bCs/>
          <w:color w:val="E07B00"/>
          <w:sz w:val="22"/>
          <w:szCs w:val="22"/>
        </w:rPr>
        <w:t xml:space="preserve">Step 2 — Verify the check-in cadence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calendar invite that keeps getting silently declined is not the same thing as a check-in that actually happened; sampling real calendars catches the difference.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(Reinforcement audit checklist)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reinforcement audit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Manager check-in cadence tracking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Verified check-in cadence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Business-as-usual process owner; Executive Sponsor; future Change Management projects (lessons learned).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Manager check-in cadence tracking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scheduled 1:1s are occurring, not just planned.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Sample a subset of supervisors' calendars and confirm the planned adoption check-ins actually took place.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(calendar)</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Run 60-day and 90-day checkpoint reviews against benchmarking bands</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15.</w:t>
      </w:r>
    </w:p>
    <w:p>
      <w:pPr>
        <w:spacing w:after="90" w:before="180"/>
      </w:pPr>
      <w:r>
        <w:rPr>
          <w:rFonts w:ascii="Times New Roman" w:cs="Times New Roman" w:eastAsia="Times New Roman" w:hAnsi="Times New Roman"/>
          <w:b/>
          <w:bCs/>
          <w:color w:val="E07B00"/>
          <w:sz w:val="22"/>
          <w:szCs w:val="22"/>
        </w:rPr>
        <w:t xml:space="preserve">Step 1 — Compile the checkpoint scorecard</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evidentiary backbone of the eventual Refreeze call, so it is worth compiling with the same rigor as the Phase 5 go/no-go scorecards.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 (performance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Stabilized adoption metrics; reinforcement mechanisms design (recognition, metrics, coaching cadence); checkpoint schedule.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Benchmarking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60/90-day checkpoint scorecard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(Steering readout)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Benchmarking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Compare current scores against the Module 15 target bands.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Compile Composite Readiness Index, ADKAR and sentiment scores against the target bands for the 60- and 90-day checkpoints.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15 — Benchmarking.</w:t>
      </w:r>
    </w:p>
    <w:p>
      <w:pPr>
        <w:spacing w:after="90" w:before="180"/>
      </w:pPr>
      <w:r>
        <w:rPr>
          <w:rFonts w:ascii="Times New Roman" w:cs="Times New Roman" w:eastAsia="Times New Roman" w:hAnsi="Times New Roman"/>
          <w:b/>
          <w:bCs/>
          <w:color w:val="E07B00"/>
          <w:sz w:val="22"/>
          <w:szCs w:val="22"/>
        </w:rPr>
        <w:t xml:space="preserve">Step 2 — Deliver the steering readout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short, evidence-led readout with a clear recommendation respects the Steering Committee's time far more than a lengthy status update without a conclusion.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(Benchmarking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60/90-day checkpoint scorecard</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readout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Delivered steering readout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Business-as-usual process owner; Executive Sponsor; future Change Management projects (lessons learned).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readout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Present checkpoint evidence formally to the Sponsor.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evidence-led readout to the Steering Committee, with a clear recommendation on the Refreeze call.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Impress</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Call Refreeze formally once checkpoint evidence, not the calendar, supports it</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90" w:before="180"/>
      </w:pPr>
      <w:r>
        <w:rPr>
          <w:rFonts w:ascii="Times New Roman" w:cs="Times New Roman" w:eastAsia="Times New Roman" w:hAnsi="Times New Roman"/>
          <w:b/>
          <w:bCs/>
          <w:color w:val="E07B00"/>
          <w:sz w:val="22"/>
          <w:szCs w:val="22"/>
        </w:rPr>
        <w:t xml:space="preserve">Step 1 — Review evidence for the phase call</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Requiring two to three consecutive healthy checkpoints, not just one good week, is what protects against calling Refreeze on a temporary upswing that later reverses.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 (performance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Stabilized adoption metrics; reinforcement mechanisms design (recognition, metrics, coaching cadence); checkpoint schedule.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phase-call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Refreeze recommendation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(Formal sign-off)</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phase-call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Refreeze from data, not the calendar.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two to three consecutive checkpoints against the target bands before recommending the Refreeze call.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(decision log)</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 — Initiative Registry.</w:t>
      </w:r>
    </w:p>
    <w:p>
      <w:pPr>
        <w:spacing w:after="90" w:before="180"/>
      </w:pPr>
      <w:r>
        <w:rPr>
          <w:rFonts w:ascii="Times New Roman" w:cs="Times New Roman" w:eastAsia="Times New Roman" w:hAnsi="Times New Roman"/>
          <w:b/>
          <w:bCs/>
          <w:color w:val="E07B00"/>
          <w:sz w:val="22"/>
          <w:szCs w:val="22"/>
        </w:rPr>
        <w:t xml:space="preserve">Step 2 — Obtain formal sign-off</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written sign-off filed alongside the checkpoint evidence is what makes the Refreeze call defensible later, if anyone asks why it was made when it was.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(Evidence-based phase-call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Refreeze recommendation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 sign-off</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Signed Refreeze confirmation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Business-as-usual process owner; Executive Sponsor; future Change Management projects (lessons learned).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 sign-off</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Gain the Sponsor's explicit confirmation of the phase call.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Obtain the Sponsor's written sign-off on the Refreeze call and file it with the checkpoint evidence.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Writer (sign-off memo)</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Close the Change Management project and hand off ongoing ownership</w:t>
      </w:r>
    </w:p>
    <w:p>
      <w:pPr>
        <w:spacing w:after="90" w:before="180"/>
      </w:pPr>
      <w:r>
        <w:rPr>
          <w:rFonts w:ascii="Times New Roman" w:cs="Times New Roman" w:eastAsia="Times New Roman" w:hAnsi="Times New Roman"/>
          <w:b/>
          <w:bCs/>
          <w:color w:val="E07B00"/>
          <w:sz w:val="22"/>
          <w:szCs w:val="22"/>
        </w:rPr>
        <w:t xml:space="preserve">Step 1 — Run the lessons-learned retrospective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Documenting this while the program is still fresh in everyone's memory is far more valuable than trying to reconstruct it months later for the next initiative.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 (performance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Stabilized adoption metrics; reinforcement mechanisms design (recognition, metrics, coaching cadence); checkpoint schedule.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Lessons-learned retrospective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lessons-learned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Step 2 (Handover documentation)</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Lessons-learned retrospective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Capture what worked and what to change next time.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facilitated retrospective with the full CM and PM team, documented for the next initiative's kickoff.</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 + BookStack</w:t>
            </w:r>
          </w:p>
        </w:tc>
      </w:tr>
    </w:tbl>
    <w:p>
      <w:pPr>
        <w:spacing w:after="90" w:before="180"/>
      </w:pPr>
      <w:r>
        <w:rPr>
          <w:rFonts w:ascii="Times New Roman" w:cs="Times New Roman" w:eastAsia="Times New Roman" w:hAnsi="Times New Roman"/>
          <w:b/>
          <w:bCs/>
          <w:color w:val="E07B00"/>
          <w:sz w:val="22"/>
          <w:szCs w:val="22"/>
        </w:rPr>
        <w:t xml:space="preserve">Step 2 — Package the handover documentation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single, well-organized handover package is what prevents the reinforcement mechanisms from quietly lapsing the moment the Change Manager moves to the next initiative.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Output of Step 1 (Lessons-learned retrospective)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lessons-learned log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Handover documentation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Delivered handover package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Business-as-usual process owner; Executive Sponsor; future Change Management projects (lessons learned).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Handover documentation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Give the business owner everything needed to sustain the process.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Package the reinforcement mechanisms, metric definitions and escalation path into a single handover document for the process owner.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BookStack</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FPO</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r>
    </w:tbl>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7. What to Track — By Cadence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Tracking cadence matters as much as tracking content: some signals are meaningful daily, others only mean something over weeks. The four tables below set the cadence; the escalation table that follows sets the thresholds that turn a tracked signal into an action.</w:t>
      </w:r>
    </w:p>
    <w:p>
      <w:pPr>
        <w:pStyle w:val="Heading2"/>
        <w:spacing w:after="150" w:before="300"/>
      </w:pPr>
      <w:r>
        <w:rPr>
          <w:rFonts w:ascii="Times New Roman" w:cs="Times New Roman" w:eastAsia="Times New Roman" w:hAnsi="Times New Roman"/>
          <w:b/>
          <w:bCs/>
          <w:color w:val="3A3A3C"/>
          <w:sz w:val="27"/>
          <w:szCs w:val="27"/>
        </w:rPr>
        <w:t xml:space="preserve">7.1 Daily</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2057"/>
        <w:gridCol w:w="1496"/>
        <w:gridCol w:w="2992"/>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What to Track</w:t>
            </w:r>
          </w:p>
        </w:tc>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Where</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w:t>
            </w:r>
          </w:p>
        </w:tc>
        <w:tc>
          <w:tcPr>
            <w:tcW w:type="dxa" w:w="299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Applies During</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Old-process vs. new-process transaction / login volume</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System dashboards</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Phases 3, 6, 7</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Help-desk ticket volume and “how do I…” question themes</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Support desk log</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CM</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Phases 6, 7</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 / defect log tied to adoption dips</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tracker</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7</w:t>
            </w:r>
          </w:p>
        </w:tc>
      </w:tr>
    </w:tbl>
    <w:p>
      <w:pPr>
        <w:pStyle w:val="Heading2"/>
        <w:spacing w:after="150" w:before="300"/>
      </w:pPr>
      <w:r>
        <w:rPr>
          <w:rFonts w:ascii="Times New Roman" w:cs="Times New Roman" w:eastAsia="Times New Roman" w:hAnsi="Times New Roman"/>
          <w:b/>
          <w:bCs/>
          <w:color w:val="3A3A3C"/>
          <w:sz w:val="27"/>
          <w:szCs w:val="27"/>
        </w:rPr>
        <w:t xml:space="preserve">7.2 Weekly</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2057"/>
        <w:gridCol w:w="1496"/>
        <w:gridCol w:w="2992"/>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What to Track</w:t>
            </w:r>
          </w:p>
        </w:tc>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Where</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w:t>
            </w:r>
          </w:p>
        </w:tc>
        <w:tc>
          <w:tcPr>
            <w:tcW w:type="dxa" w:w="299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Applies During</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Barrier-reason notes for any ADKAR block scored ≤ 2</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phases</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network feedback themes</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standup notes</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Phases 2–7</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completion percentage</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 (training curricula)</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(training lead)</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5</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 risk register items tied to framework readings</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Risk register</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PM</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phases</w:t>
            </w:r>
          </w:p>
        </w:tc>
      </w:tr>
    </w:tbl>
    <w:p>
      <w:pPr>
        <w:pStyle w:val="Heading2"/>
        <w:spacing w:after="150" w:before="300"/>
      </w:pPr>
      <w:r>
        <w:rPr>
          <w:rFonts w:ascii="Times New Roman" w:cs="Times New Roman" w:eastAsia="Times New Roman" w:hAnsi="Times New Roman"/>
          <w:b/>
          <w:bCs/>
          <w:color w:val="3A3A3C"/>
          <w:sz w:val="27"/>
          <w:szCs w:val="27"/>
        </w:rPr>
        <w:t xml:space="preserve">7.3 Bi-Weekly</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2057"/>
        <w:gridCol w:w="1496"/>
        <w:gridCol w:w="2992"/>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What to Track</w:t>
            </w:r>
          </w:p>
        </w:tc>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Where</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w:t>
            </w:r>
          </w:p>
        </w:tc>
        <w:tc>
          <w:tcPr>
            <w:tcW w:type="dxa" w:w="299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Applies During</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Kübler-Ross / Bridges re-pulse</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7 (weeks 2 &amp; 4 post go-live)</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review</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7 alerts</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Phases 4–7</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Cohort-level disaggregation of the Composite Readiness Index</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5 + 6–7</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Phases 4–7 (before every go/no-go)</w:t>
            </w:r>
          </w:p>
        </w:tc>
      </w:tr>
    </w:tbl>
    <w:p>
      <w:pPr>
        <w:pStyle w:val="Heading2"/>
        <w:spacing w:after="150" w:before="300"/>
      </w:pPr>
      <w:r>
        <w:rPr>
          <w:rFonts w:ascii="Times New Roman" w:cs="Times New Roman" w:eastAsia="Times New Roman" w:hAnsi="Times New Roman"/>
          <w:b/>
          <w:bCs/>
          <w:color w:val="3A3A3C"/>
          <w:sz w:val="27"/>
          <w:szCs w:val="27"/>
        </w:rPr>
        <w:t xml:space="preserve">7.4 Monthly</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2057"/>
        <w:gridCol w:w="1496"/>
        <w:gridCol w:w="2992"/>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What to Track</w:t>
            </w:r>
          </w:p>
        </w:tc>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Where</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Owner</w:t>
            </w:r>
          </w:p>
        </w:tc>
        <w:tc>
          <w:tcPr>
            <w:tcW w:type="dxa" w:w="299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Applies During</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Composite Readiness Index trend line</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6–7</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phases</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Lewin phase justification (evidence, not calendar)</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4</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ES</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phases</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readout on framework readings</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Governance pack</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All phases</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score trend as go-live recedes</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Module 6</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299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Phases 7–8</w:t>
            </w:r>
          </w:p>
        </w:tc>
      </w:tr>
    </w:tbl>
    <w:p>
      <w:pPr>
        <w:pStyle w:val="Heading2"/>
        <w:spacing w:after="150" w:before="300"/>
      </w:pPr>
      <w:r>
        <w:rPr>
          <w:rFonts w:ascii="Times New Roman" w:cs="Times New Roman" w:eastAsia="Times New Roman" w:hAnsi="Times New Roman"/>
          <w:b/>
          <w:bCs/>
          <w:color w:val="3A3A3C"/>
          <w:sz w:val="27"/>
          <w:szCs w:val="27"/>
        </w:rPr>
        <w:t xml:space="preserve">7.5 Escalation Thresholds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table below is the bridge between “what you're tracking” and “what you do about it.” Each row links a signal to a threshold, a required action, and the exception in Section 9 that gives the full recovery playbook.</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683"/>
        <w:gridCol w:w="2805"/>
        <w:gridCol w:w="2057"/>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Signal Observed</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Threshold</w:t>
            </w:r>
          </w:p>
        </w:tc>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Action Required</w:t>
            </w:r>
          </w:p>
        </w:tc>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Linked Exception</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Passive-compliance language, low session turnout, no WIIFM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Desire ≤ 2</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 barrier-reason note; auto-escalates in Module 6</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E1</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Strong Knowledge/Ability scores, no emotional movement</w:t>
            </w:r>
          </w:p>
        </w:tc>
        <w:tc>
          <w:tcPr>
            <w:tcW w:type="dxa" w:w="168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Bridges = “Ending” with Knowledge ≥ 3 and Ability ≥ 3</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fires — hold an identity-focused 1:1</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E2</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Lewin phase set from the go-live date rather than evidence</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Lewin called same day as technical cutover</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Mark Lewin “provisional” until re-pulse confirms</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E3</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Kübler-Ross or Bridges reading moves backward after a setback</w:t>
            </w:r>
          </w:p>
        </w:tc>
        <w:tc>
          <w:tcPr>
            <w:tcW w:type="dxa" w:w="168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Any regression following an identifiable incident</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incident linkage; targeted, localized coaching</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E4</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score plateaus with no forcing deadline</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&lt; 3 approaching planned closure</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Reconvene Sponsor; delay Refreeze call until evidenced</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E5</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blended score masks real variation between sites/cohorts</w:t>
            </w:r>
          </w:p>
        </w:tc>
        <w:tc>
          <w:tcPr>
            <w:tcW w:type="dxa" w:w="168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Wide spread between best- and worst-performing cohorts</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Disaggregate Composite Readiness Index before any go/no-go</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E6</w:t>
            </w:r>
          </w:p>
        </w:tc>
      </w:tr>
    </w:tbl>
    <w:p>
      <w:pPr>
        <w:spacing w:after="200" w:before="60"/>
        <w:jc w:val="left"/>
      </w:pPr>
      <w:r>
        <w:rPr>
          <w:rFonts w:ascii="Times New Roman" w:cs="Times New Roman" w:eastAsia="Times New Roman" w:hAnsi="Times New Roman"/>
          <w:i/>
          <w:iCs/>
          <w:color w:val="58595B"/>
          <w:sz w:val="19"/>
          <w:szCs w:val="19"/>
        </w:rPr>
        <w:t xml:space="preserve">Table 7.5 — Escalation thresholds and their linked exception playbooks.</w:t>
      </w:r>
    </w:p>
    <w:p>
      <w:pPr>
        <w:pStyle w:val="Heading2"/>
        <w:spacing w:after="150" w:before="300"/>
      </w:pPr>
      <w:r>
        <w:rPr>
          <w:rFonts w:ascii="Times New Roman" w:cs="Times New Roman" w:eastAsia="Times New Roman" w:hAnsi="Times New Roman"/>
          <w:b/>
          <w:bCs/>
          <w:color w:val="3A3A3C"/>
          <w:sz w:val="27"/>
          <w:szCs w:val="27"/>
        </w:rPr>
        <w:t xml:space="preserve">7.6 Weekly Dashboard — What a Healthy Week Looks Like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2057"/>
        <w:gridCol w:w="4488"/>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Metric</w:t>
            </w:r>
          </w:p>
        </w:tc>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Reviewed By</w:t>
            </w:r>
          </w:p>
        </w:tc>
        <w:tc>
          <w:tcPr>
            <w:tcW w:type="dxa" w:w="4488"/>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Healthy Signal</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Composite Readiness Index</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448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Trending up or stable; no unexplained week-over-week drop.</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ADKAR block scores (5)</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448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No block ≤ 2 without a logged, actioned barrier reason.</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alerts</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448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Zero open alerts, or each open alert has a scheduled 1:1.</w:t>
            </w:r>
          </w:p>
        </w:tc>
      </w:tr>
      <w:tr>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Help-desk ticket volume</w:t>
            </w:r>
          </w:p>
        </w:tc>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CM</w:t>
            </w:r>
          </w:p>
        </w:tc>
        <w:tc>
          <w:tcPr>
            <w:tcW w:type="dxa" w:w="448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Following the expected learning-curve bump and decline — not an unexplained sustained rise.</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network engagement</w:t>
            </w:r>
          </w:p>
        </w:tc>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448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Champions actively reporting, not silent.</w:t>
            </w:r>
          </w:p>
        </w:tc>
      </w:tr>
    </w:tbl>
    <w:p>
      <w:pPr>
        <w:spacing w:after="200" w:before="60"/>
        <w:jc w:val="left"/>
      </w:pPr>
      <w:r>
        <w:rPr>
          <w:rFonts w:ascii="Times New Roman" w:cs="Times New Roman" w:eastAsia="Times New Roman" w:hAnsi="Times New Roman"/>
          <w:i/>
          <w:iCs/>
          <w:color w:val="58595B"/>
          <w:sz w:val="19"/>
          <w:szCs w:val="19"/>
        </w:rPr>
        <w:t xml:space="preserve">Table 7.6 — The Change Manager's weekly dashboard scan.</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8. Simulated Data Walkthrough — Project Meridian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Project Meridian is a fictional, vendor-agnostic finance-and-procurement ERP implementation at a mid-sized manufacturer (≈700 employees across a headquarters Finance cohort and a regional Distribution site). All scores below are simulated for illustration. The walkthrough deliberately includes one instance of Exceptions E1 through E5, so the reader can see what each exception looks like in the actual monthly data — not just in the abstract playbook.</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655"/>
        <w:gridCol w:w="1216"/>
        <w:gridCol w:w="1590"/>
        <w:gridCol w:w="1216"/>
        <w:gridCol w:w="1309"/>
        <w:gridCol w:w="748"/>
        <w:gridCol w:w="2618"/>
      </w:tblGrid>
      <w:tr>
        <w:trPr>
          <w:tblHeader/>
        </w:trPr>
        <w:tc>
          <w:tcPr>
            <w:tcW w:type="dxa" w:w="65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Month</w:t>
            </w:r>
          </w:p>
        </w:tc>
        <w:tc>
          <w:tcPr>
            <w:tcW w:type="dxa" w:w="121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Lewin</w:t>
            </w:r>
          </w:p>
        </w:tc>
        <w:tc>
          <w:tcPr>
            <w:tcW w:type="dxa" w:w="159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ADKAR (weakest block)</w:t>
            </w:r>
          </w:p>
        </w:tc>
        <w:tc>
          <w:tcPr>
            <w:tcW w:type="dxa" w:w="121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Bridges</w:t>
            </w:r>
          </w:p>
        </w:tc>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Kübler-Ross</w:t>
            </w:r>
          </w:p>
        </w:tc>
        <w:tc>
          <w:tcPr>
            <w:tcW w:type="dxa" w:w="748"/>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w:t>
            </w:r>
          </w:p>
        </w:tc>
        <w:tc>
          <w:tcPr>
            <w:tcW w:type="dxa" w:w="2618"/>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Notable Event</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Unfreeze</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Awareness — 2.0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Denial</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28</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Baseline pulse (all cohorts)</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M1</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Unfreeze</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Awareness — 3.0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Denial → Resistance</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34</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Comms wave 1 launched</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M2</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Unfreeze</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Desire — 2.0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Resistance</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38</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network recruited</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M3</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Unfreeze → Change</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Desire — 2.0 (flagged)</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Resistance</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40</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E1: Desire stall — migration work invisible to end users</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M4</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Desire — 3.0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Resistance → Exploration</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47</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E1 resolved — Sponsor addresses redeployment fears directly</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M5</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Knowledge — 3.0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Neutral Zone</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Exploration</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52</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UAT begins</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M6</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Knowledge/Ability — 4.0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Ending (Finance cohort)</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Exploration</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58</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E2: Divergence Pattern — Finance cohort strong on skill, stuck on Ending</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M7</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Ability — 4.0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Neutral Zone (Finance)</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Exploration</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61</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E2 resolved — 1:1s surface genuine loss of legacy reports</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M8</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Ability — 4.0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Neutral Zone</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Exploration → Commitment</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66</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Training wave 2 complete</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M9</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 Refreeze (provisional)</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Ability — 4.0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Neutral Zone (peak discomfort)</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Exploration (anxiety spike)</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64</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E3: Lewin marked provisional pending emotional evidence</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M9 +2wk</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Refreeze (provisional)</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 3.0</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Neutral Zone</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Resistance (Distribution site)</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60</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E4: Distribution site regresses after a data-quality incident</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M10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Refreeze (provisional)</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 3.0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New Beginning (HQ) / Neutral Zone (Distribution)</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Commitment (HQ) / Exploration (Distribution)</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68</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E4 resolved — targeted, incident-linked coaching at Distribution</w:t>
            </w:r>
          </w:p>
        </w:tc>
      </w:tr>
      <w:tr>
        <w:tc>
          <w:tcPr>
            <w:tcW w:type="dxa" w:w="65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M11</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Refreeze (provisional)</w:t>
            </w:r>
          </w:p>
        </w:tc>
        <w:tc>
          <w:tcPr>
            <w:tcW w:type="dxa" w:w="159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 3.0 (plateau risk)</w:t>
            </w:r>
          </w:p>
        </w:tc>
        <w:tc>
          <w:tcPr>
            <w:tcW w:type="dxa" w:w="121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New Beginning</w:t>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Commitment</w:t>
            </w:r>
          </w:p>
        </w:tc>
        <w:tc>
          <w:tcPr>
            <w:tcW w:type="dxa" w:w="74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71</w:t>
            </w:r>
          </w:p>
        </w:tc>
        <w:tc>
          <w:tcPr>
            <w:tcW w:type="dxa" w:w="261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E5 watch — Reinforcement plateauing as attention shifts to next initiative</w:t>
            </w:r>
          </w:p>
        </w:tc>
      </w:tr>
      <w:tr>
        <w:tc>
          <w:tcPr>
            <w:tcW w:type="dxa" w:w="65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M12</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Refreeze (confirmed)</w:t>
            </w:r>
          </w:p>
        </w:tc>
        <w:tc>
          <w:tcPr>
            <w:tcW w:type="dxa" w:w="1590"/>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 4.0</w:t>
            </w:r>
          </w:p>
        </w:tc>
        <w:tc>
          <w:tcPr>
            <w:tcW w:type="dxa" w:w="121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New Beginning</w:t>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Commitment</w:t>
            </w:r>
          </w:p>
        </w:tc>
        <w:tc>
          <w:tcPr>
            <w:tcW w:type="dxa" w:w="74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76</w:t>
            </w:r>
          </w:p>
        </w:tc>
        <w:tc>
          <w:tcPr>
            <w:tcW w:type="dxa" w:w="261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Two consecutive healthy checkpoints — Refreeze confirmed, project closed</w:t>
            </w:r>
          </w:p>
        </w:tc>
      </w:tr>
    </w:tbl>
    <w:p>
      <w:pPr>
        <w:spacing w:after="200" w:before="60"/>
        <w:jc w:val="left"/>
      </w:pPr>
      <w:r>
        <w:rPr>
          <w:rFonts w:ascii="Times New Roman" w:cs="Times New Roman" w:eastAsia="Times New Roman" w:hAnsi="Times New Roman"/>
          <w:i/>
          <w:iCs/>
          <w:color w:val="58595B"/>
          <w:sz w:val="19"/>
          <w:szCs w:val="19"/>
        </w:rPr>
        <w:t xml:space="preserve">Table 8.1 — Project Meridian: simulated month-by-month framework readings and Composite Readiness Index (CRI).</w:t>
      </w:r>
    </w:p>
    <w:p>
      <w:pPr>
        <w:pStyle w:val="Heading2"/>
        <w:spacing w:after="150" w:before="300"/>
      </w:pPr>
      <w:r>
        <w:rPr>
          <w:rFonts w:ascii="Times New Roman" w:cs="Times New Roman" w:eastAsia="Times New Roman" w:hAnsi="Times New Roman"/>
          <w:b/>
          <w:bCs/>
          <w:color w:val="3A3A3C"/>
          <w:sz w:val="27"/>
          <w:szCs w:val="27"/>
        </w:rPr>
        <w:t xml:space="preserve">8.1 Reading the Simulation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Months 0–2 (Denial, low Awareness climbing off a low base): the baseline pulse at M0 shows Awareness at only 2.0 and Desire untested — typical for a program that has just been announced. By M2, Awareness has strengthened through the communications wave, but Desire remains flat at 2.0, exactly as journi's own data most often shows.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Month 3 (Exception E1): Desire stalls at 2.0 with an auto-escalated barrier-reason note citing low visibility into the (invisible, technical) migration work. The Change Manager runs the E1 playbook — clustering barrier reasons, listening sessions, and a sponsor-delivered response to the specific fear (in this case, redeployment anxiety) rather than generic reassurance. By M4, Desire has moved to 3.0 and Kübler-Ross has begun shifting from Resistance toward Exploration in the same reporting cycle — the pattern journi's data shows when Desire and sentiment unstick together.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Month 6 (Exception E2): UAT surfaces a textbook Divergence Pattern in the Finance cohort — Knowledge and Ability both score 4.0, but Bridges still reads “Ending” for that same cohort. The Divergence Pattern Detector fires automatically. Identity-focused 1:1s (not more skills training) reveal that Finance staff are genuinely grieving the retirement of a legacy reporting suite they built their careers around. By M7, Bridges has moved to Neutral Zone for that cohort.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Month 9 (Exception E3): go-live is technically successful and Lewin is provisionally marked “Change → Refreeze,” but Bridges reads its peak discomfort (Neutral Zone) and Kübler-Ross shows an anxiety spike, not resolution — the two-clock problem in its sharpest form. The Change Manager keeps the provisional flag active and does not let the go-live date alone confirm Refreeze.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Two weeks post go-live (Exception E4): the Distribution site — not Finance — regresses from Exploration back to Resistance after a data-quality incident disrupts a shipment run. Because the regression is confirmed as incident-linked, the response is localized: incident communication, supervisor acknowledgment, and targeted coaching for that site only. Distribution recovers by M10.</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Month 11 (Exception E5 — caught early): with go-live now three months behind the team and attention shifting to the next initiative, Reinforcement plateaus at 3.0 with no natural forcing deadline to push it further. The Change Manager flags the plateau explicitly rather than letting the project close on schedule with an unresolved gap, and reconvenes the Sponsor to re-authorize checkpoint cadence. Two consecutive healthy checkpoints later, at M12, Reinforcement reaches 4.0 and Refreeze is formally confirmed — by evidence, not the calendar.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Note also the running E6 thread: Finance and Distribution are visibly in different places on all four frameworks from Month 6 onward. The blended Composite Readiness Index in Table 8.1 is a project-level average — in a live program, Module 5's disaggregated cohort view would show this spread explicitly at every go/no-go checkpoint, exactly as Section 7.3 and Exception E6 require.</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9. Exception Playbook — Detailed SIPOC, Tasks, Steps &amp; RACSI</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Each exception below follows the same structure as the phase playbooks in Section 6: trigger and timeline impact, a full SIPOC, and every recovery Task broken into Steps with technique, goal, execution detail, recommended open-source tool, journi cross-references, and RACSI (multiple Responsible roles allowed, exactly one Accountable role).</w:t>
      </w:r>
    </w:p>
    <w:p>
      <w:r>
        <w:br w:type="page"/>
      </w:r>
    </w:p>
    <w:p>
      <w:pPr>
        <w:pStyle w:val="Heading2"/>
        <w:spacing w:after="150" w:before="300"/>
      </w:pPr>
      <w:r>
        <w:rPr>
          <w:rFonts w:ascii="Times New Roman" w:cs="Times New Roman" w:eastAsia="Times New Roman" w:hAnsi="Times New Roman"/>
          <w:b/>
          <w:bCs/>
          <w:color w:val="3A3A3C"/>
          <w:sz w:val="27"/>
          <w:szCs w:val="27"/>
        </w:rPr>
        <w:t xml:space="preserve">9.1 E1 — Desire Stall During Data Migration &amp; Integration</w:t>
      </w:r>
    </w:p>
    <w:p>
      <w:pPr>
        <w:spacing w:after="160" w:line="276"/>
        <w:jc w:val="both"/>
      </w:pPr>
      <w:r>
        <w:rPr>
          <w:rFonts w:ascii="Times New Roman" w:cs="Times New Roman" w:eastAsia="Times New Roman" w:hAnsi="Times New Roman"/>
          <w:b w:val="false"/>
          <w:bCs w:val="false"/>
          <w:i/>
          <w:iCs/>
          <w:color w:val="58595B"/>
          <w:sz w:val="24"/>
          <w:szCs w:val="24"/>
        </w:rPr>
        <w:t xml:space="preserve">Related to Phase 3</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683"/>
        <w:gridCol w:w="7667"/>
      </w:tblGrid>
      <w:tr>
        <w:trPr>
          <w:tblHeader/>
        </w:trPr>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66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Trigger</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ADKAR Desire score logged at 2 or below on Module 6, auto-escalating; barrier-reason notes cite low visibility into progress and/or unresolved fear.</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Timeline Impact</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Typically inserted as a 2–4 week parallel track within the Data Migration &amp; Integration window; a training or testing entry gate should not open for a cohort whose Desire remains escalated.</w:t>
            </w:r>
          </w:p>
        </w:tc>
      </w:tr>
    </w:tbl>
    <w:p>
      <w:pPr>
        <w:spacing w:after="200" w:before="60"/>
        <w:jc w:val="left"/>
      </w:pPr>
      <w:r>
        <w:rPr>
          <w:rFonts w:ascii="Times New Roman" w:cs="Times New Roman" w:eastAsia="Times New Roman" w:hAnsi="Times New Roman"/>
          <w:i/>
          <w:iCs/>
          <w:color w:val="58595B"/>
          <w:sz w:val="19"/>
          <w:szCs w:val="19"/>
        </w:rPr>
        <w:t xml:space="preserve">Trigger and timeline impact for E1.</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Escalated Desire score and barrier-reason note; Kübler-Ross re-pulse results; root-cause interview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Cluster barrier-reason notes by root cause</w:t>
            </w:r>
          </w:p>
          <w:p>
            <w:pPr>
              <w:jc w:val="left"/>
            </w:pPr>
            <w:r>
              <w:rPr>
                <w:rFonts w:ascii="Times New Roman" w:cs="Times New Roman" w:eastAsia="Times New Roman" w:hAnsi="Times New Roman"/>
                <w:b w:val="false"/>
                <w:bCs w:val="false"/>
                <w:color w:val="58595B"/>
                <w:sz w:val="19"/>
                <w:szCs w:val="19"/>
              </w:rPr>
              <w:t xml:space="preserve">2. Run targeted listening sessions to validate the root cause</w:t>
            </w:r>
          </w:p>
          <w:p>
            <w:pPr>
              <w:jc w:val="left"/>
            </w:pPr>
            <w:r>
              <w:rPr>
                <w:rFonts w:ascii="Times New Roman" w:cs="Times New Roman" w:eastAsia="Times New Roman" w:hAnsi="Times New Roman"/>
                <w:b w:val="false"/>
                <w:bCs w:val="false"/>
                <w:color w:val="58595B"/>
                <w:sz w:val="19"/>
                <w:szCs w:val="19"/>
              </w:rPr>
              <w:t xml:space="preserve">3. Design a specific, credible response to the concrete fear identified</w:t>
            </w:r>
          </w:p>
          <w:p>
            <w:pPr>
              <w:jc w:val="left"/>
            </w:pPr>
            <w:r>
              <w:rPr>
                <w:rFonts w:ascii="Times New Roman" w:cs="Times New Roman" w:eastAsia="Times New Roman" w:hAnsi="Times New Roman"/>
                <w:b w:val="false"/>
                <w:bCs w:val="false"/>
                <w:color w:val="58595B"/>
                <w:sz w:val="19"/>
                <w:szCs w:val="19"/>
              </w:rPr>
              <w:t xml:space="preserve">4. Have the Sponsor deliver the response personally to the affected cohort</w:t>
            </w:r>
          </w:p>
          <w:p>
            <w:pPr>
              <w:jc w:val="left"/>
            </w:pPr>
            <w:r>
              <w:rPr>
                <w:rFonts w:ascii="Times New Roman" w:cs="Times New Roman" w:eastAsia="Times New Roman" w:hAnsi="Times New Roman"/>
                <w:b w:val="false"/>
                <w:bCs w:val="false"/>
                <w:color w:val="58595B"/>
                <w:sz w:val="19"/>
                <w:szCs w:val="19"/>
              </w:rPr>
              <w:t xml:space="preserve">5. Re-score Desire and Kübler-Ross sentiment 2–4 weeks after the intervention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 clustering of the Desire stall; a specific, sponsor-delivered response; updated Desire and Kübler-Ross scores.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(readiness index); Steering Committee (risk register); affected cohort.</w:t>
            </w:r>
          </w:p>
        </w:tc>
      </w:tr>
    </w:tbl>
    <w:p>
      <w:pPr>
        <w:spacing w:after="200" w:before="60"/>
        <w:jc w:val="left"/>
      </w:pPr>
      <w:r>
        <w:rPr>
          <w:rFonts w:ascii="Times New Roman" w:cs="Times New Roman" w:eastAsia="Times New Roman" w:hAnsi="Times New Roman"/>
          <w:i/>
          <w:iCs/>
          <w:color w:val="58595B"/>
          <w:sz w:val="19"/>
          <w:szCs w:val="19"/>
        </w:rPr>
        <w:t xml:space="preserve">SIPOC for E1 — Desire Stall During Data Migration &amp; Integration. The Process column lists this exception's five recovery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Cluster barrier-reason notes by root cause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Cluster the barrier reasons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same clustering discipline started proactively in Phase 3; here it is run with more time and focus, now that a genuine stall has been confirmed.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Escalated Desire score and barrier-reason note; Kübler-Ross re-pulse results; root-cause interview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Affinity mapping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Clustered root-cause themes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(readiness index); Steering Committee (risk register); affected cohort.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Affinity mapping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Group barrier reasons into named root-cause themes.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Cluster every open barrier-reason note into 3–5 named themes on a shared board with the CM team.</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draw.io</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ITL,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Run targeted listening sessions to validate the root cause</w:t>
      </w:r>
    </w:p>
    <w:p>
      <w:pPr>
        <w:spacing w:after="90" w:before="180"/>
      </w:pPr>
      <w:r>
        <w:rPr>
          <w:rFonts w:ascii="Times New Roman" w:cs="Times New Roman" w:eastAsia="Times New Roman" w:hAnsi="Times New Roman"/>
          <w:b/>
          <w:bCs/>
          <w:color w:val="E07B00"/>
          <w:sz w:val="22"/>
          <w:szCs w:val="22"/>
        </w:rPr>
        <w:t xml:space="preserve">Step 1 — Validate the root cause with a focus group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clustering exercise done by the CM team alone is still a guess until it is checked against the actual people experiencing the concern.</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Escalated Desire score and barrier-reason note; Kübler-Ross re-pulse results; root-cause interview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Focus group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Validated root cause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(readiness index); Steering Committee (risk register); affected cohort.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Focus group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Validate the root cause directly with the affected cohort.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45-minute, psychologically safe focus group with 6–8 affected employees to confirm which root cause actually applies.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Design a specific, credible response to the concrete fear identified</w:t>
      </w:r>
    </w:p>
    <w:p>
      <w:pPr>
        <w:spacing w:after="90" w:before="180"/>
      </w:pPr>
      <w:r>
        <w:rPr>
          <w:rFonts w:ascii="Times New Roman" w:cs="Times New Roman" w:eastAsia="Times New Roman" w:hAnsi="Times New Roman"/>
          <w:b/>
          <w:bCs/>
          <w:color w:val="E07B00"/>
          <w:sz w:val="22"/>
          <w:szCs w:val="22"/>
        </w:rPr>
        <w:t xml:space="preserve">Step 1 — Map the root cause to a response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specific, checkable commitment addresses the fear directly; a general reassurance addresses nothing and is usually what causes a Desire stall to recur later.</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Escalated Desire score and barrier-reason note; Kübler-Ross re-pulse results; root-cause interview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Root-cause-to-response mapping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Drafted, specific response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(readiness index); Steering Committee (risk register); affected cohort.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Root-cause-to-response mapping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Match a credible action to the exact fear identified.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Map the validated root cause to a specific, checkable commitment (e.g. a named redeployment guarantee) rather than a general reassurance.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(decision log)</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Have the Sponsor deliver the response personally to the affected cohort</w:t>
      </w:r>
    </w:p>
    <w:p>
      <w:pPr>
        <w:spacing w:after="90" w:before="180"/>
      </w:pPr>
      <w:r>
        <w:rPr>
          <w:rFonts w:ascii="Times New Roman" w:cs="Times New Roman" w:eastAsia="Times New Roman" w:hAnsi="Times New Roman"/>
          <w:b/>
          <w:bCs/>
          <w:color w:val="E07B00"/>
          <w:sz w:val="22"/>
          <w:szCs w:val="22"/>
        </w:rPr>
        <w:t xml:space="preserve">Step 1 — Deliver the response as sponsor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same commitment lands differently depending on who says it; hearing it directly from the Sponsor, live, with room for questions, is what makes it credible.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Escalated Desire score and barrier-reason note; Kübler-Ross re-pulse results; root-cause interview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Direct sponsor communication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Delivered sponsor communication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(readiness index); Steering Committee (risk register); affected cohort.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Direct sponsor communication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Increase credibility of the response via visible seniority.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Sponsor personally delivers the specific response to the affected cohort, live, with time for questions.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Re-score Desire and Kübler-Ross sentiment 2–4 weeks after the intervention</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6–7.</w:t>
      </w:r>
    </w:p>
    <w:p>
      <w:pPr>
        <w:spacing w:after="90" w:before="180"/>
      </w:pPr>
      <w:r>
        <w:rPr>
          <w:rFonts w:ascii="Times New Roman" w:cs="Times New Roman" w:eastAsia="Times New Roman" w:hAnsi="Times New Roman"/>
          <w:b/>
          <w:bCs/>
          <w:color w:val="E07B00"/>
          <w:sz w:val="22"/>
          <w:szCs w:val="22"/>
        </w:rPr>
        <w:t xml:space="preserve">Step 1 — Re-score after the intervention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Waiting 2–4 weeks, rather than checking immediately, gives the sponsor's commitment time to be tested against reality before the score is taken as confirmed.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Frontline Supervisors.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Escalated Desire score and barrier-reason note; Kübler-Ross re-pulse results; root-cause interview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 (re-score)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Re-scored Desire / sentiment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(readiness index); Steering Committee (risk register); affected cohort.</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 (re-score)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the intervention moved the score.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Re-issue a short Desire/Kübler-Ross instrument to the same cohort 2–4 weeks after the sponsor communication.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6–7.</w:t>
      </w:r>
    </w:p>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ITL</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9.2 E2 — Divergence Pattern Detected During Testing / Training</w:t>
      </w:r>
    </w:p>
    <w:p>
      <w:pPr>
        <w:spacing w:after="160" w:line="276"/>
        <w:jc w:val="both"/>
      </w:pPr>
      <w:r>
        <w:rPr>
          <w:rFonts w:ascii="Times New Roman" w:cs="Times New Roman" w:eastAsia="Times New Roman" w:hAnsi="Times New Roman"/>
          <w:b w:val="false"/>
          <w:bCs w:val="false"/>
          <w:i/>
          <w:iCs/>
          <w:color w:val="58595B"/>
          <w:sz w:val="24"/>
          <w:szCs w:val="24"/>
        </w:rPr>
        <w:t xml:space="preserve">Related to Phases 4–5</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683"/>
        <w:gridCol w:w="7667"/>
      </w:tblGrid>
      <w:tr>
        <w:trPr>
          <w:tblHeader/>
        </w:trPr>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66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Trigger</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Knowledge ≥ 3 and Ability ≥ 3 while Bridges reads exactly “Ending” for the same individual or cohort.</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Timeline Impact</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targeted, individual/cohort-level intervention alongside Training; flagged individuals should not count toward “readiness” until Bridges moves off Ending.</w:t>
            </w:r>
          </w:p>
        </w:tc>
      </w:tr>
    </w:tbl>
    <w:p>
      <w:pPr>
        <w:spacing w:after="200" w:before="60"/>
        <w:jc w:val="left"/>
      </w:pPr>
      <w:r>
        <w:rPr>
          <w:rFonts w:ascii="Times New Roman" w:cs="Times New Roman" w:eastAsia="Times New Roman" w:hAnsi="Times New Roman"/>
          <w:i/>
          <w:iCs/>
          <w:color w:val="58595B"/>
          <w:sz w:val="19"/>
          <w:szCs w:val="19"/>
        </w:rPr>
        <w:t xml:space="preserve">Trigger and timeline impact for E2.</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Frontline Supervisor; HR Business Partner (if identity/role concerns surface).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alert; individual/cohort ADKAR and Bridges scores; supervisor observation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Review the alert and confirm it against supervisor observation</w:t>
            </w:r>
          </w:p>
          <w:p>
            <w:pPr>
              <w:jc w:val="left"/>
            </w:pPr>
            <w:r>
              <w:rPr>
                <w:rFonts w:ascii="Times New Roman" w:cs="Times New Roman" w:eastAsia="Times New Roman" w:hAnsi="Times New Roman"/>
                <w:b w:val="false"/>
                <w:bCs w:val="false"/>
                <w:color w:val="58595B"/>
                <w:sz w:val="19"/>
                <w:szCs w:val="19"/>
              </w:rPr>
              <w:t xml:space="preserve">2. Hold a 1:1 focused explicitly on what is being let go of, not on skills</w:t>
            </w:r>
          </w:p>
          <w:p>
            <w:pPr>
              <w:jc w:val="left"/>
            </w:pPr>
            <w:r>
              <w:rPr>
                <w:rFonts w:ascii="Times New Roman" w:cs="Times New Roman" w:eastAsia="Times New Roman" w:hAnsi="Times New Roman"/>
                <w:b w:val="false"/>
                <w:bCs w:val="false"/>
                <w:color w:val="58595B"/>
                <w:sz w:val="19"/>
                <w:szCs w:val="19"/>
              </w:rPr>
              <w:t xml:space="preserve">3. Distinguish a genuine identity/loss concern from simple reluctance</w:t>
            </w:r>
          </w:p>
          <w:p>
            <w:pPr>
              <w:jc w:val="left"/>
            </w:pPr>
            <w:r>
              <w:rPr>
                <w:rFonts w:ascii="Times New Roman" w:cs="Times New Roman" w:eastAsia="Times New Roman" w:hAnsi="Times New Roman"/>
                <w:b w:val="false"/>
                <w:bCs w:val="false"/>
                <w:color w:val="58595B"/>
                <w:sz w:val="19"/>
                <w:szCs w:val="19"/>
              </w:rPr>
              <w:t xml:space="preserve">4. Provide an explicit closure moment if a genuine loss is identified</w:t>
            </w:r>
          </w:p>
          <w:p>
            <w:pPr>
              <w:jc w:val="left"/>
            </w:pPr>
            <w:r>
              <w:rPr>
                <w:rFonts w:ascii="Times New Roman" w:cs="Times New Roman" w:eastAsia="Times New Roman" w:hAnsi="Times New Roman"/>
                <w:b w:val="false"/>
                <w:bCs w:val="false"/>
                <w:color w:val="58595B"/>
                <w:sz w:val="19"/>
                <w:szCs w:val="19"/>
              </w:rPr>
              <w:t xml:space="preserve">5. Re-check the Bridges reading only, at the next scheduled pulse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or dismissed divergence case; documented identity/loss concern (if genuine); updated Bridges reading.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(Divergence Pattern log); Steering Committee (regression risk register).</w:t>
            </w:r>
          </w:p>
        </w:tc>
      </w:tr>
    </w:tbl>
    <w:p>
      <w:pPr>
        <w:spacing w:after="200" w:before="60"/>
        <w:jc w:val="left"/>
      </w:pPr>
      <w:r>
        <w:rPr>
          <w:rFonts w:ascii="Times New Roman" w:cs="Times New Roman" w:eastAsia="Times New Roman" w:hAnsi="Times New Roman"/>
          <w:i/>
          <w:iCs/>
          <w:color w:val="58595B"/>
          <w:sz w:val="19"/>
          <w:szCs w:val="19"/>
        </w:rPr>
        <w:t xml:space="preserve">SIPOC for E2 — Divergence Pattern Detected During Testing / Training. The Process column lists this exception's five recovery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Review the alert and confirm it against supervisor observation</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90" w:before="180"/>
      </w:pPr>
      <w:r>
        <w:rPr>
          <w:rFonts w:ascii="Times New Roman" w:cs="Times New Roman" w:eastAsia="Times New Roman" w:hAnsi="Times New Roman"/>
          <w:b/>
          <w:bCs/>
          <w:color w:val="E07B00"/>
          <w:sz w:val="22"/>
          <w:szCs w:val="22"/>
        </w:rPr>
        <w:t xml:space="preserve">Step 1 — Triage the automated alert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An automated boolean alert tells you a pattern is possible, not that it is real for this specific person; a supervisor's own observation is the first sanity check.</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Frontline Supervisor; HR Business Partner (if identity/role concerns surface).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alert; individual/cohort ADKAR and Bridges scores; supervisor observation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Alert triage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Triaged alert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(Divergence Pattern log); Steering Committee (regression risk register).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Alert triage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Avoid acting on a dashboard alert alone.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Cross-check every automated Divergence alert against the supervisor's own observation of that individual before proceeding.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 — Divergence Pattern Detector.</w:t>
      </w:r>
    </w:p>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Hold a 1:1 focused explicitly on what is being let go of, not on skills</w:t>
      </w:r>
    </w:p>
    <w:p>
      <w:pPr>
        <w:spacing w:after="90" w:before="180"/>
      </w:pPr>
      <w:r>
        <w:rPr>
          <w:rFonts w:ascii="Times New Roman" w:cs="Times New Roman" w:eastAsia="Times New Roman" w:hAnsi="Times New Roman"/>
          <w:b/>
          <w:bCs/>
          <w:color w:val="E07B00"/>
          <w:sz w:val="22"/>
          <w:szCs w:val="22"/>
        </w:rPr>
        <w:t xml:space="preserve">Step 1 — Interview on what is being lost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Asking about skills when the real issue is identity produces a reassuring but useless answer; the question has to be about what feels different or lost.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Frontline Supervisor; HR Business Partner (if identity/role concerns surface).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alert; individual/cohort ADKAR and Bridges scores; supervisor observation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Structured interview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1:1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(Divergence Pattern log); Steering Committee (regression risk register).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Structured interview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Surface what is being let go of, not skills.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supervisor-led 1:1 using open questions about what feels different or lost, deliberately avoiding any skills-testing framing.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EU</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ITL</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Distinguish a genuine identity/loss concern from simple reluctance</w:t>
      </w:r>
    </w:p>
    <w:p>
      <w:pPr>
        <w:spacing w:after="90" w:before="180"/>
      </w:pPr>
      <w:r>
        <w:rPr>
          <w:rFonts w:ascii="Times New Roman" w:cs="Times New Roman" w:eastAsia="Times New Roman" w:hAnsi="Times New Roman"/>
          <w:b/>
          <w:bCs/>
          <w:color w:val="E07B00"/>
          <w:sz w:val="22"/>
          <w:szCs w:val="22"/>
        </w:rPr>
        <w:t xml:space="preserve">Step 1 — Apply a 5-Whys root-cause pass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Not every case that trips the alert is genuine grief — some are simple preference for a familiar routine, and the response to each is completely different.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Frontline Supervisor; HR Business Partner (if identity/role concerns surface).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alert; individual/cohort ADKAR and Bridges scores; supervisor observation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 analysis (5 Whys)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Classified concern (genuine loss / routine preference)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(Divergence Pattern log); Steering Committee (regression risk register).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 analysis (5 Whys)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Separate genuine grief from simple routine-resistance.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Apply a light 5-Whys pass to the 1:1 notes to test whether the concern is genuine loss or simple preference for the old routine.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draw.io</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Provide an explicit closure moment if a genuine loss is identified</w:t>
      </w:r>
    </w:p>
    <w:p>
      <w:pPr>
        <w:spacing w:after="90" w:before="180"/>
      </w:pPr>
      <w:r>
        <w:rPr>
          <w:rFonts w:ascii="Times New Roman" w:cs="Times New Roman" w:eastAsia="Times New Roman" w:hAnsi="Times New Roman"/>
          <w:b/>
          <w:bCs/>
          <w:color w:val="E07B00"/>
          <w:sz w:val="22"/>
          <w:szCs w:val="22"/>
        </w:rPr>
        <w:t xml:space="preserve">Step 1 — Facilitate a closure moment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Bridges' own research is clear that an unmet need for closure is a common driver of prolonged Ending; naming what is ending out loud is a small act with outsized effect.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Frontline Supervisor; HR Business Partner (if identity/role concerns surface).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alert; individual/cohort ADKAR and Bridges scores; supervisor observation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Ritual / closure facilitation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Delivered closure moment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(Divergence Pattern log); Steering Committee (regression risk register).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Ritual / closure facilitation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Give explicit acknowledgment of what is ending.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facilitated moment (a symbolic retirement of an old tool, a thank-you note) that names what is ending out loud.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 (facilitated session)</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EU</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ITL</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Re-check the Bridges reading only, at the next scheduled pulse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90" w:before="180"/>
      </w:pPr>
      <w:r>
        <w:rPr>
          <w:rFonts w:ascii="Times New Roman" w:cs="Times New Roman" w:eastAsia="Times New Roman" w:hAnsi="Times New Roman"/>
          <w:b/>
          <w:bCs/>
          <w:color w:val="E07B00"/>
          <w:sz w:val="22"/>
          <w:szCs w:val="22"/>
        </w:rPr>
        <w:t xml:space="preserve">Step 1 — Re-pulse the Bridges item only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Knowledge and Ability are already known to be strong; re-testing them again wastes the person's time and signals that the real concern wasn't heard.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Frontline Supervisor; HR Business Partner (if identity/role concerns surface).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Detector alert; individual/cohort ADKAR and Bridges scores; supervisor observation notes.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re-pulse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Updated Bridges reading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(Divergence Pattern log); Steering Committee (regression risk register).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re-pulse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movement without re-testing already-strong skills.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Re-issue only the Bridges self-placement item to the flagged individual at the next scheduled pulse.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EU</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ITL</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9.3 E3 — Two-Clock Problem at Cutover &amp; Go-Live</w:t>
      </w:r>
    </w:p>
    <w:p>
      <w:pPr>
        <w:spacing w:after="160" w:line="276"/>
        <w:jc w:val="both"/>
      </w:pPr>
      <w:r>
        <w:rPr>
          <w:rFonts w:ascii="Times New Roman" w:cs="Times New Roman" w:eastAsia="Times New Roman" w:hAnsi="Times New Roman"/>
          <w:b w:val="false"/>
          <w:bCs w:val="false"/>
          <w:i/>
          <w:iCs/>
          <w:color w:val="58595B"/>
          <w:sz w:val="24"/>
          <w:szCs w:val="24"/>
        </w:rPr>
        <w:t xml:space="preserve">Related to Phase 6</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683"/>
        <w:gridCol w:w="7667"/>
      </w:tblGrid>
      <w:tr>
        <w:trPr>
          <w:tblHeader/>
        </w:trPr>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66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Trigger</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Lewin is called “Change → Refreeze” on schedule at the go-live date while Bridges and Kübler-Ross remain at Neutral Zone / Resistance or lower.</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Timeline Impact</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Does not delay go-live; extends the hypercare/reinforcement budget and staffing window by the observed lag, commonly 2–6 weeks.</w:t>
            </w:r>
          </w:p>
        </w:tc>
      </w:tr>
    </w:tbl>
    <w:p>
      <w:pPr>
        <w:spacing w:after="200" w:before="60"/>
        <w:jc w:val="left"/>
      </w:pPr>
      <w:r>
        <w:rPr>
          <w:rFonts w:ascii="Times New Roman" w:cs="Times New Roman" w:eastAsia="Times New Roman" w:hAnsi="Times New Roman"/>
          <w:i/>
          <w:iCs/>
          <w:color w:val="58595B"/>
          <w:sz w:val="19"/>
          <w:szCs w:val="19"/>
        </w:rPr>
        <w:t xml:space="preserve">Trigger and timeline impact for E3.</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Manager; Change Manager; Executive Sponsor.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technical validation report; post-cutover Bridges / Kübler-Ross pulse; original Lewin phase-call justification.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Separate the technical go-live milestone from the Lewin phase call</w:t>
            </w:r>
          </w:p>
          <w:p>
            <w:pPr>
              <w:jc w:val="left"/>
            </w:pPr>
            <w:r>
              <w:rPr>
                <w:rFonts w:ascii="Times New Roman" w:cs="Times New Roman" w:eastAsia="Times New Roman" w:hAnsi="Times New Roman"/>
                <w:b w:val="false"/>
                <w:bCs w:val="false"/>
                <w:color w:val="58595B"/>
                <w:sz w:val="19"/>
                <w:szCs w:val="19"/>
              </w:rPr>
              <w:t xml:space="preserve">2. Mark the Lewin phase as “provisional Refreeze” pending emotional-layer evidence</w:t>
            </w:r>
          </w:p>
          <w:p>
            <w:pPr>
              <w:jc w:val="left"/>
            </w:pPr>
            <w:r>
              <w:rPr>
                <w:rFonts w:ascii="Times New Roman" w:cs="Times New Roman" w:eastAsia="Times New Roman" w:hAnsi="Times New Roman"/>
                <w:b w:val="false"/>
                <w:bCs w:val="false"/>
                <w:color w:val="58595B"/>
                <w:sz w:val="19"/>
                <w:szCs w:val="19"/>
              </w:rPr>
              <w:t xml:space="preserve">3. Keep Reinforcement and the hypercare support model fully active</w:t>
            </w:r>
          </w:p>
          <w:p>
            <w:pPr>
              <w:jc w:val="left"/>
            </w:pPr>
            <w:r>
              <w:rPr>
                <w:rFonts w:ascii="Times New Roman" w:cs="Times New Roman" w:eastAsia="Times New Roman" w:hAnsi="Times New Roman"/>
                <w:b w:val="false"/>
                <w:bCs w:val="false"/>
                <w:color w:val="58595B"/>
                <w:sz w:val="19"/>
                <w:szCs w:val="19"/>
              </w:rPr>
              <w:t xml:space="preserve">4. Re-pulse Bridges / Kübler-Ross at 2 and 4 weeks</w:t>
            </w:r>
          </w:p>
          <w:p>
            <w:pPr>
              <w:jc w:val="left"/>
            </w:pPr>
            <w:r>
              <w:rPr>
                <w:rFonts w:ascii="Times New Roman" w:cs="Times New Roman" w:eastAsia="Times New Roman" w:hAnsi="Times New Roman"/>
                <w:b w:val="false"/>
                <w:bCs w:val="false"/>
                <w:color w:val="58595B"/>
                <w:sz w:val="19"/>
                <w:szCs w:val="19"/>
              </w:rPr>
              <w:t xml:space="preserve">5. Confirm or walk back the Refreeze call once evidence supports it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Explicit provisional Lewin phase call; sustained hypercare/reinforcement funding; confirmed or corrected Lewin phase after re-pulse.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Change Manager;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SIPOC for E3 — Two-Clock Problem at Cutover &amp; Go-Live. The Process column lists this exception's five recovery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Separate the technical go-live milestone from the Lewin phase call</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90" w:before="180"/>
      </w:pPr>
      <w:r>
        <w:rPr>
          <w:rFonts w:ascii="Times New Roman" w:cs="Times New Roman" w:eastAsia="Times New Roman" w:hAnsi="Times New Roman"/>
          <w:b/>
          <w:bCs/>
          <w:color w:val="E07B00"/>
          <w:sz w:val="22"/>
          <w:szCs w:val="22"/>
        </w:rPr>
        <w:t xml:space="preserve">Step 1 — Clarify the two decision rights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Delivery pressure naturally pushes toward treating the go-live date as proof of Refreeze; writing down that these are two separate decisions is a small act that resists that pressure.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Manager; Change Manager; Executive Sponsor.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technical validation report; post-cutover Bridges / Kübler-Ross pulse; original Lewin phase-call justification.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Decision-rights clarification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decision-rights split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Change Manager;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Decision-rights clarification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Prevent a calendar date from implying an evidence-based phase call.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Explicitly document, in the Initiative Registry, that the go-live date and the Lewin phase call are two separate decisions.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SUP,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Mark the Lewin phase as “provisional Refreeze” pending emotional-layer evidence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90" w:before="180"/>
      </w:pPr>
      <w:r>
        <w:rPr>
          <w:rFonts w:ascii="Times New Roman" w:cs="Times New Roman" w:eastAsia="Times New Roman" w:hAnsi="Times New Roman"/>
          <w:b/>
          <w:bCs/>
          <w:color w:val="E07B00"/>
          <w:sz w:val="22"/>
          <w:szCs w:val="22"/>
        </w:rPr>
        <w:t xml:space="preserve">Step 1 — Annotate the phase as provisional</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provisional label that only the Change Manager knows about doesn't protect anything; it needs to be visible on every readiness report the Steering Committee sees.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Manager; Change Manager; Executive Sponsor.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technical validation report; post-cutover Bridges / Kübler-Ross pulse; original Lewin phase-call justification.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Phase-call annotation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Annotated provisional phase call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Change Manager;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Phase-call annotation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Make the provisional status visible to all stakeholders.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Set the Lewin phase field to “Change → Refreeze (provisional)” with a linked rationale note, visible on every readiness report.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 wiki</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Keep Reinforcement and the hypercare support model fully active</w:t>
      </w:r>
    </w:p>
    <w:p>
      <w:pPr>
        <w:spacing w:after="90" w:before="180"/>
      </w:pPr>
      <w:r>
        <w:rPr>
          <w:rFonts w:ascii="Times New Roman" w:cs="Times New Roman" w:eastAsia="Times New Roman" w:hAnsi="Times New Roman"/>
          <w:b/>
          <w:bCs/>
          <w:color w:val="E07B00"/>
          <w:sz w:val="22"/>
          <w:szCs w:val="22"/>
        </w:rPr>
        <w:t xml:space="preserve">Step 1 — Extend hypercare resourcing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single most common way this exception fails in practice is hypercare staffing quietly tapering on the go-live date regardless of what the emotional-layer data says.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Manager; Change Manager; Executive Sponsor.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technical validation report; post-cutover Bridges / Kübler-Ross pulse; original Lewin phase-call justification.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Budget / staffing extension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Extended hypercare resourcing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Change Manager;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Budget / staffing extension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Keep support resourced past the technical go-live date.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hypercare staffing and budget remain at full strength until the emotional-layer re-pulse, not just until the go-live date.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Re-pulse Bridges / Kübler-Ross at 2 and 4 weeks</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90" w:before="180"/>
      </w:pPr>
      <w:r>
        <w:rPr>
          <w:rFonts w:ascii="Times New Roman" w:cs="Times New Roman" w:eastAsia="Times New Roman" w:hAnsi="Times New Roman"/>
          <w:b/>
          <w:bCs/>
          <w:color w:val="E07B00"/>
          <w:sz w:val="22"/>
          <w:szCs w:val="22"/>
        </w:rPr>
        <w:t xml:space="preserve">Step 1 — Gather fresh emotional-layer evidence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is the same standard post-go-live pulse defined in Phase 7 — the exception doesn't require a new instrument, only a firmer commitment to actually run it.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Manager; Change Manager; Executive Sponsor.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technical validation report; post-cutover Bridges / Kübler-Ross pulse; original Lewin phase-call justification.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Fresh emotional-layer evidence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Change Manager;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Gather fresh emotional-layer evidence.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Issue the standard post-go-live Bridges/Kübler-Ross instrument at exactly weeks 2 and 4.</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ITL</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Confirm or walk back the Refreeze call once evidence supports it</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90" w:before="180"/>
      </w:pPr>
      <w:r>
        <w:rPr>
          <w:rFonts w:ascii="Times New Roman" w:cs="Times New Roman" w:eastAsia="Times New Roman" w:hAnsi="Times New Roman"/>
          <w:b/>
          <w:bCs/>
          <w:color w:val="E07B00"/>
          <w:sz w:val="22"/>
          <w:szCs w:val="22"/>
        </w:rPr>
        <w:t xml:space="preserve">Step 1 — Finalize the phase call from evidence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Walking a phase call back from Refreeze to Change is not a failure to report — it is the framework working exactly as intended when the emotional-layer evidence says the earlier call was premature.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Manager; Change Manager; Executive Sponsor.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technical validation report; post-cutover Bridges / Kübler-Ross pulse; original Lewin phase-call justification.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Finalized Lewin phase call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Change Manager; Sustainment team (next phase).</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Finalize the phase call from re-pulse data.</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the re-pulse results against the provisional call and either confirm Refreeze or revert to Change with a documented reason.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9.4 E4 — Sentiment Regression During Hypercare</w:t>
      </w:r>
    </w:p>
    <w:p>
      <w:pPr>
        <w:spacing w:after="160" w:line="276"/>
        <w:jc w:val="both"/>
      </w:pPr>
      <w:r>
        <w:rPr>
          <w:rFonts w:ascii="Times New Roman" w:cs="Times New Roman" w:eastAsia="Times New Roman" w:hAnsi="Times New Roman"/>
          <w:b w:val="false"/>
          <w:bCs w:val="false"/>
          <w:i/>
          <w:iCs/>
          <w:color w:val="58595B"/>
          <w:sz w:val="24"/>
          <w:szCs w:val="24"/>
        </w:rPr>
        <w:t xml:space="preserve">Related to Phase 7</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683"/>
        <w:gridCol w:w="7667"/>
      </w:tblGrid>
      <w:tr>
        <w:trPr>
          <w:tblHeader/>
        </w:trPr>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66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Trigger</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cohort's Kübler-Ross reading moves backward — typically from Exploration to Resistance/Anger — following a specific triggering event.</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Timeline Impact</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contained cycle of days to roughly two weeks; escalate only if the pattern recurs across multiple teams.</w:t>
            </w:r>
          </w:p>
        </w:tc>
      </w:tr>
    </w:tbl>
    <w:p>
      <w:pPr>
        <w:spacing w:after="200" w:before="60"/>
        <w:jc w:val="left"/>
      </w:pPr>
      <w:r>
        <w:rPr>
          <w:rFonts w:ascii="Times New Roman" w:cs="Times New Roman" w:eastAsia="Times New Roman" w:hAnsi="Times New Roman"/>
          <w:i/>
          <w:iCs/>
          <w:color w:val="58595B"/>
          <w:sz w:val="19"/>
          <w:szCs w:val="19"/>
        </w:rPr>
        <w:t xml:space="preserve">Trigger and timeline impact for E4.</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IT/Technical Lead (incident owner); Change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Incident/defect log entry; localized adoption-metric dip; supervisor observation.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Confirm the regression is tied to a specific incident, not a general readiness failure</w:t>
            </w:r>
          </w:p>
          <w:p>
            <w:pPr>
              <w:jc w:val="left"/>
            </w:pPr>
            <w:r>
              <w:rPr>
                <w:rFonts w:ascii="Times New Roman" w:cs="Times New Roman" w:eastAsia="Times New Roman" w:hAnsi="Times New Roman"/>
                <w:b w:val="false"/>
                <w:bCs w:val="false"/>
                <w:color w:val="58595B"/>
                <w:sz w:val="19"/>
                <w:szCs w:val="19"/>
              </w:rPr>
              <w:t xml:space="preserve">2. Resolve or clearly communicate the status of the triggering defect</w:t>
            </w:r>
          </w:p>
          <w:p>
            <w:pPr>
              <w:jc w:val="left"/>
            </w:pPr>
            <w:r>
              <w:rPr>
                <w:rFonts w:ascii="Times New Roman" w:cs="Times New Roman" w:eastAsia="Times New Roman" w:hAnsi="Times New Roman"/>
                <w:b w:val="false"/>
                <w:bCs w:val="false"/>
                <w:color w:val="58595B"/>
                <w:sz w:val="19"/>
                <w:szCs w:val="19"/>
              </w:rPr>
              <w:t xml:space="preserve">3. Have the supervisor directly acknowledge the setback with the affected team</w:t>
            </w:r>
          </w:p>
          <w:p>
            <w:pPr>
              <w:jc w:val="left"/>
            </w:pPr>
            <w:r>
              <w:rPr>
                <w:rFonts w:ascii="Times New Roman" w:cs="Times New Roman" w:eastAsia="Times New Roman" w:hAnsi="Times New Roman"/>
                <w:b w:val="false"/>
                <w:bCs w:val="false"/>
                <w:color w:val="58595B"/>
                <w:sz w:val="19"/>
                <w:szCs w:val="19"/>
              </w:rPr>
              <w:t xml:space="preserve">4. Provide targeted, in-context coaching on the specific process step affected</w:t>
            </w:r>
          </w:p>
          <w:p>
            <w:pPr>
              <w:jc w:val="left"/>
            </w:pPr>
            <w:r>
              <w:rPr>
                <w:rFonts w:ascii="Times New Roman" w:cs="Times New Roman" w:eastAsia="Times New Roman" w:hAnsi="Times New Roman"/>
                <w:b w:val="false"/>
                <w:bCs w:val="false"/>
                <w:color w:val="58595B"/>
                <w:sz w:val="19"/>
                <w:szCs w:val="19"/>
              </w:rPr>
              <w:t xml:space="preserve">5. Re-pulse the affected cohort only, at 1–2 weeks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Resolved or communicated incident; documented regression event and response; confirmed recovery or continued monitoring.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Affected team; Change Manager (regression log); Steering Committee (only if widespread).</w:t>
            </w:r>
          </w:p>
        </w:tc>
      </w:tr>
    </w:tbl>
    <w:p>
      <w:pPr>
        <w:spacing w:after="200" w:before="60"/>
        <w:jc w:val="left"/>
      </w:pPr>
      <w:r>
        <w:rPr>
          <w:rFonts w:ascii="Times New Roman" w:cs="Times New Roman" w:eastAsia="Times New Roman" w:hAnsi="Times New Roman"/>
          <w:i/>
          <w:iCs/>
          <w:color w:val="58595B"/>
          <w:sz w:val="19"/>
          <w:szCs w:val="19"/>
        </w:rPr>
        <w:t xml:space="preserve">SIPOC for E4 — Sentiment Regression During Hypercare. The Process column lists this exception's five recovery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Confirm the regression is tied to a specific incident, not a general readiness failure</w:t>
      </w:r>
    </w:p>
    <w:p>
      <w:pPr>
        <w:spacing w:after="90" w:before="180"/>
      </w:pPr>
      <w:r>
        <w:rPr>
          <w:rFonts w:ascii="Times New Roman" w:cs="Times New Roman" w:eastAsia="Times New Roman" w:hAnsi="Times New Roman"/>
          <w:b/>
          <w:bCs/>
          <w:color w:val="E07B00"/>
          <w:sz w:val="22"/>
          <w:szCs w:val="22"/>
        </w:rPr>
        <w:t xml:space="preserve">Step 1 — Correlate the regression to an incident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This single check determines everything that follows: a confirmed incident link means a fast, localized fix; no clear link means the concern may be broader than one team.</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IT/Technical Lead (incident owner); Change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Incident/defect log entry; localized adoption-metric dip; supervisor observation.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Correlation check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or ruled-out incident linkage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Affected team; Change Manager (regression log); Steering Committee (only if widespread).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Correlation check</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Verify the regression traces to a specific incident.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Overlay the timing of the score regression against the incident/defect log for that cohort's process area.</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w:t>
            </w:r>
          </w:p>
        </w:tc>
      </w:tr>
    </w:tbl>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58595B"/>
          <w:sz w:val="23"/>
          <w:szCs w:val="23"/>
        </w:rPr>
        <w:t xml:space="preserve">[PROJECT] </w:t>
      </w:r>
      <w:r>
        <w:rPr>
          <w:rFonts w:ascii="Times New Roman" w:cs="Times New Roman" w:eastAsia="Times New Roman" w:hAnsi="Times New Roman"/>
          <w:b/>
          <w:bCs/>
          <w:color w:val="3A3A3C"/>
          <w:sz w:val="23"/>
          <w:szCs w:val="23"/>
        </w:rPr>
        <w:t xml:space="preserve">Resolve or clearly communicate the status of the triggering defect</w:t>
      </w:r>
    </w:p>
    <w:p>
      <w:pPr>
        <w:spacing w:after="90" w:before="180"/>
      </w:pPr>
      <w:r>
        <w:rPr>
          <w:rFonts w:ascii="Times New Roman" w:cs="Times New Roman" w:eastAsia="Times New Roman" w:hAnsi="Times New Roman"/>
          <w:b/>
          <w:bCs/>
          <w:color w:val="E07B00"/>
          <w:sz w:val="22"/>
          <w:szCs w:val="22"/>
        </w:rPr>
        <w:t xml:space="preserve">Step 1 — Communicate the incident status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Silence after a visible incident is what allows a minor setback to be reinterpreted as evidence the whole program is failing; a fast, honest update prevents that reframing.</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IT/Technical Lead (incident owner); Change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Incident/defect log entry; localized adoption-metric dip; supervisor observation.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 communication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Sent incident status update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Affected team; Change Manager (regression log); Steering Committee (only if widespread).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 communication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Close the loop visibly so rumor doesn't fill the gap.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Send a short, honest status update on the triggering incident to the affected team within 24 hours.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Listmonk</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Have the supervisor directly acknowledge the setback with the affected team</w:t>
      </w:r>
    </w:p>
    <w:p>
      <w:pPr>
        <w:spacing w:after="90" w:before="180"/>
      </w:pPr>
      <w:r>
        <w:rPr>
          <w:rFonts w:ascii="Times New Roman" w:cs="Times New Roman" w:eastAsia="Times New Roman" w:hAnsi="Times New Roman"/>
          <w:b/>
          <w:bCs/>
          <w:color w:val="E07B00"/>
          <w:sz w:val="22"/>
          <w:szCs w:val="22"/>
        </w:rPr>
        <w:t xml:space="preserve">Step 1 — Acknowledge the setback openly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Downplaying a visible setback reads as dishonest to a team that just lived through it; naming it directly, with a concrete next step, rebuilds trust faster than silence.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IT/Technical Lead (incident owner); Change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Incident/defect log entry; localized adoption-metric dip; supervisor observation.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Team huddle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Delivered team acknowledgment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Affected team; Change Manager (regression log); Steering Committee (only if widespread).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Team huddle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Name the setback openly rather than downplaying it.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standing huddle where the supervisor names the setback directly and outlines the next concrete step.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Mattermost</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FPO,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Provide targeted, in-context coaching on the specific process step affected</w:t>
      </w:r>
    </w:p>
    <w:p>
      <w:pPr>
        <w:spacing w:after="90" w:before="180"/>
      </w:pPr>
      <w:r>
        <w:rPr>
          <w:rFonts w:ascii="Times New Roman" w:cs="Times New Roman" w:eastAsia="Times New Roman" w:hAnsi="Times New Roman"/>
          <w:b/>
          <w:bCs/>
          <w:color w:val="E07B00"/>
          <w:sz w:val="22"/>
          <w:szCs w:val="22"/>
        </w:rPr>
        <w:t xml:space="preserve">Step 1 — Coach the specific step at the desk</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The same twenty-minute, at-the-desk principle used in Phase 7's regular regression coaching applies here — fast, specific, and scoped to the one step involved.</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IT/Technical Lead (incident owner); Change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Incident/defect log entry; localized adoption-metric dip; supervisor observation.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On-the-job coaching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Completed targeted coaching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Affected team; Change Manager (regression log); Steering Committee (only if widespread).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On-the-job coaching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Correct the specific step affected, not a full retrain.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20-minute, at-the-desk coaching session focused only on the affected step.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Re-pulse the affected cohort only, at 1–2 weeks</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90" w:before="180"/>
      </w:pPr>
      <w:r>
        <w:rPr>
          <w:rFonts w:ascii="Times New Roman" w:cs="Times New Roman" w:eastAsia="Times New Roman" w:hAnsi="Times New Roman"/>
          <w:b/>
          <w:bCs/>
          <w:color w:val="E07B00"/>
          <w:sz w:val="22"/>
          <w:szCs w:val="22"/>
        </w:rPr>
        <w:t xml:space="preserve">Step 1 — Re-pulse the affected cohort</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Surveying only the affected cohort, rather than the whole population, keeps the response burden proportional to the actual scope of the problem.</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IT/Technical Lead (incident owner); Change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Incident/defect log entry; localized adoption-metric dip; supervisor observation.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Scoped pulse survey</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cohort recovery status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Affected team; Change Manager (regression log); Steering Committee (only if widespread).</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Scoped pulse survey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recovery without re-surveying the whole population.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Issue a short Kübler-Ross-only instrument to the affected cohort 1–2 weeks after the coaching intervention.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7.</w:t>
      </w:r>
    </w:p>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EU</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ITL</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9.5 E5 — Reinforcement Gap at Sustainment &amp; Closure</w:t>
      </w:r>
    </w:p>
    <w:p>
      <w:pPr>
        <w:spacing w:after="160" w:line="276"/>
        <w:jc w:val="both"/>
      </w:pPr>
      <w:r>
        <w:rPr>
          <w:rFonts w:ascii="Times New Roman" w:cs="Times New Roman" w:eastAsia="Times New Roman" w:hAnsi="Times New Roman"/>
          <w:b w:val="false"/>
          <w:bCs w:val="false"/>
          <w:i/>
          <w:iCs/>
          <w:color w:val="58595B"/>
          <w:sz w:val="24"/>
          <w:szCs w:val="24"/>
        </w:rPr>
        <w:t xml:space="preserve">Related to Phase 8</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683"/>
        <w:gridCol w:w="7667"/>
      </w:tblGrid>
      <w:tr>
        <w:trPr>
          <w:tblHeader/>
        </w:trPr>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66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Trigger</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ADKAR Reinforcement score stalls below 3 as the program's formal end date approaches, with no forcing deadline prompting continued attention.</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Timeline Impact</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Extends the formal project-closure date by however long it takes to accumulate 2–3 consecutive healthy checkpoints — commonly 4–8 weeks.</w:t>
            </w:r>
          </w:p>
        </w:tc>
      </w:tr>
    </w:tbl>
    <w:p>
      <w:pPr>
        <w:spacing w:after="200" w:before="60"/>
        <w:jc w:val="left"/>
      </w:pPr>
      <w:r>
        <w:rPr>
          <w:rFonts w:ascii="Times New Roman" w:cs="Times New Roman" w:eastAsia="Times New Roman" w:hAnsi="Times New Roman"/>
          <w:i/>
          <w:iCs/>
          <w:color w:val="58595B"/>
          <w:sz w:val="19"/>
          <w:szCs w:val="19"/>
        </w:rPr>
        <w:t xml:space="preserve">Trigger and timeline impact for E5.</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Stalled Reinforcement score; adoption-metric plateau data; original sustainment/checkpoint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Flag the Reinforcement stall explicitly rather than letting the project close on schedule</w:t>
            </w:r>
          </w:p>
          <w:p>
            <w:pPr>
              <w:jc w:val="left"/>
            </w:pPr>
            <w:r>
              <w:rPr>
                <w:rFonts w:ascii="Times New Roman" w:cs="Times New Roman" w:eastAsia="Times New Roman" w:hAnsi="Times New Roman"/>
                <w:b w:val="false"/>
                <w:bCs w:val="false"/>
                <w:color w:val="58595B"/>
                <w:sz w:val="19"/>
                <w:szCs w:val="19"/>
              </w:rPr>
              <w:t xml:space="preserve">2. Reconvene the Sponsor to re-authorize a defined checkpoint cadence</w:t>
            </w:r>
          </w:p>
          <w:p>
            <w:pPr>
              <w:jc w:val="left"/>
            </w:pPr>
            <w:r>
              <w:rPr>
                <w:rFonts w:ascii="Times New Roman" w:cs="Times New Roman" w:eastAsia="Times New Roman" w:hAnsi="Times New Roman"/>
                <w:b w:val="false"/>
                <w:bCs w:val="false"/>
                <w:color w:val="58595B"/>
                <w:sz w:val="19"/>
                <w:szCs w:val="19"/>
              </w:rPr>
              <w:t xml:space="preserve">3. Re-activate or formally re-charter the champion network</w:t>
            </w:r>
          </w:p>
          <w:p>
            <w:pPr>
              <w:jc w:val="left"/>
            </w:pPr>
            <w:r>
              <w:rPr>
                <w:rFonts w:ascii="Times New Roman" w:cs="Times New Roman" w:eastAsia="Times New Roman" w:hAnsi="Times New Roman"/>
                <w:b w:val="false"/>
                <w:bCs w:val="false"/>
                <w:color w:val="58595B"/>
                <w:sz w:val="19"/>
                <w:szCs w:val="19"/>
              </w:rPr>
              <w:t xml:space="preserve">4. Embed adoption metrics into the next performance-review cycle</w:t>
            </w:r>
          </w:p>
          <w:p>
            <w:pPr>
              <w:jc w:val="left"/>
            </w:pPr>
            <w:r>
              <w:rPr>
                <w:rFonts w:ascii="Times New Roman" w:cs="Times New Roman" w:eastAsia="Times New Roman" w:hAnsi="Times New Roman"/>
                <w:b w:val="false"/>
                <w:bCs w:val="false"/>
                <w:color w:val="58595B"/>
                <w:sz w:val="19"/>
                <w:szCs w:val="19"/>
              </w:rPr>
              <w:t xml:space="preserve">5. Delay the formal Refreeze / closure call until checkpoints show target Reinforcement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Reinforcement stall and remediation plan; re-authorized checkpoint cadence; re-chartered champion network; delayed, evidence-based Refreeze call.</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business-as-usual process owner; future Change Management projects.</w:t>
            </w:r>
          </w:p>
        </w:tc>
      </w:tr>
    </w:tbl>
    <w:p>
      <w:pPr>
        <w:spacing w:after="200" w:before="60"/>
        <w:jc w:val="left"/>
      </w:pPr>
      <w:r>
        <w:rPr>
          <w:rFonts w:ascii="Times New Roman" w:cs="Times New Roman" w:eastAsia="Times New Roman" w:hAnsi="Times New Roman"/>
          <w:i/>
          <w:iCs/>
          <w:color w:val="58595B"/>
          <w:sz w:val="19"/>
          <w:szCs w:val="19"/>
        </w:rPr>
        <w:t xml:space="preserve">SIPOC for E5 — Reinforcement Gap at Sustainment &amp; Closure. The Process column lists this exception's five recovery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Flag the Reinforcement stall explicitly rather than letting the project close on schedule</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90" w:before="180"/>
      </w:pPr>
      <w:r>
        <w:rPr>
          <w:rFonts w:ascii="Times New Roman" w:cs="Times New Roman" w:eastAsia="Times New Roman" w:hAnsi="Times New Roman"/>
          <w:b/>
          <w:bCs/>
          <w:color w:val="E07B00"/>
          <w:sz w:val="22"/>
          <w:szCs w:val="22"/>
        </w:rPr>
        <w:t xml:space="preserve">Step 1 — Confirm the Reinforcement flag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Without a natural forcing deadline, this stall is the easiest of all six exceptions to quietly let slide as attention shifts to the next initiative — confirming the flag is a deliberate act against that drift.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Stalled Reinforcement score; adoption-metric plateau data; original sustainment/checkpoint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Threshold-triggered flagging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Reinforcement flag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business-as-usual process owner; future Change Management projects.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Threshold-triggered flagging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Surface the stall before the project closes on schedule.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the automatic Module 6 flag for Reinforcement &lt; 3 has been reviewed and is not being silently overridden by the closing deadline.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6.</w:t>
      </w:r>
    </w:p>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SUP,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Reconvene the Sponsor to re-authorize a defined checkpoint cadence</w:t>
      </w:r>
    </w:p>
    <w:p>
      <w:pPr>
        <w:spacing w:after="90" w:before="180"/>
      </w:pPr>
      <w:r>
        <w:rPr>
          <w:rFonts w:ascii="Times New Roman" w:cs="Times New Roman" w:eastAsia="Times New Roman" w:hAnsi="Times New Roman"/>
          <w:b/>
          <w:bCs/>
          <w:color w:val="E07B00"/>
          <w:sz w:val="22"/>
          <w:szCs w:val="22"/>
        </w:rPr>
        <w:t xml:space="preserve">Step 1 — Re-engage the sponsor</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Getting explicit renewed authority, rather than continuing informally, is what gives the Change Manager standing to keep the checkpoint cadence running past the original closure date.</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Stalled Reinforcement score; adoption-metric plateau data; original sustainment/checkpoint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Sponsor re-engagement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Re-authorized checkpoint cadence</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business-as-usual process owner; future Change Management projects.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Sponsor re-engagement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Get renewed authority and time for continued checkpoints.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session with the Sponsor to agree an explicit extended checkpoint cadence and closure criteria.</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Re-activate or formally re-charter the champion network</w:t>
      </w:r>
    </w:p>
    <w:p>
      <w:pPr>
        <w:spacing w:after="90" w:before="180"/>
      </w:pPr>
      <w:r>
        <w:rPr>
          <w:rFonts w:ascii="Times New Roman" w:cs="Times New Roman" w:eastAsia="Times New Roman" w:hAnsi="Times New Roman"/>
          <w:b/>
          <w:bCs/>
          <w:color w:val="E07B00"/>
          <w:sz w:val="22"/>
          <w:szCs w:val="22"/>
        </w:rPr>
        <w:t xml:space="preserve">Step 1 — Re-charter the champion network</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champion network that quietly dissolved once go-live passed needs an explicit reactivation, not an assumption that it is still running.</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Stalled Reinforcement score; adoption-metric plateau data; original sustainment/checkpoint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Charter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Re-chartered champion network</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business-as-usual process owner; future Change Management projects.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Charter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Reactivate champions with clear, named accountabilities.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Reconfirm each champion's continued availability and assign one specific, named accountability per champion.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Mattermost</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Embed adoption metrics into the next performance-review cycle</w:t>
      </w:r>
    </w:p>
    <w:p>
      <w:pPr>
        <w:spacing w:after="90" w:before="180"/>
      </w:pPr>
      <w:r>
        <w:rPr>
          <w:rFonts w:ascii="Times New Roman" w:cs="Times New Roman" w:eastAsia="Times New Roman" w:hAnsi="Times New Roman"/>
          <w:b/>
          <w:bCs/>
          <w:color w:val="E07B00"/>
          <w:sz w:val="22"/>
          <w:szCs w:val="22"/>
        </w:rPr>
        <w:t xml:space="preserve">Step 1 — Confirm HR policy integration</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metric that is documented but never actually scheduled into a review cycle provides no real reinforcement — this confirms it is genuinely in the cycle, not just on paper.</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Stalled Reinforcement score; adoption-metric plateau data; original sustainment/checkpoint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HR policy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Confirmed HR policy integration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business-as-usual process owner; future Change Management projects.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HR policy integration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Tie adoption metrics to the next review cycle.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with HR that the agreed adoption metrics are actually scheduled into the next formal review cycle, not just documented.</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BookStack</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ITL,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Delay the formal Refreeze / closure call until checkpoints show target Reinforcement</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90" w:before="180"/>
      </w:pPr>
      <w:r>
        <w:rPr>
          <w:rFonts w:ascii="Times New Roman" w:cs="Times New Roman" w:eastAsia="Times New Roman" w:hAnsi="Times New Roman"/>
          <w:b/>
          <w:bCs/>
          <w:color w:val="E07B00"/>
          <w:sz w:val="22"/>
          <w:szCs w:val="22"/>
        </w:rPr>
        <w:t xml:space="preserve">Step 1 — Gate the closure decision on evidence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Closing on schedule with an unresolved Reinforcement gap doesn't remove the regression risk — it just defers it to whoever inherits the process next, usually with less context than the Change Manager has now.</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Executive Sponsor; HR Business Partner.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Stalled Reinforcement score; adoption-metric plateau data; original sustainment/checkpoint plan.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gate review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Evidence-gated closure decision</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business-as-usual process owner; future Change Management projects.</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gate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Prevent a premature closure call.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Hold the closure call open until 2–3 consecutive checkpoints show Reinforcement at or above target.</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4.</w:t>
      </w:r>
    </w:p>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 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 EU</w:t>
            </w:r>
          </w:p>
        </w:tc>
      </w:tr>
    </w:tbl>
    <w:p>
      <w:r>
        <w:br w:type="page"/>
      </w:r>
    </w:p>
    <w:p>
      <w:pPr>
        <w:pStyle w:val="Heading2"/>
        <w:spacing w:after="150" w:before="300"/>
      </w:pPr>
      <w:r>
        <w:rPr>
          <w:rFonts w:ascii="Times New Roman" w:cs="Times New Roman" w:eastAsia="Times New Roman" w:hAnsi="Times New Roman"/>
          <w:b/>
          <w:bCs/>
          <w:color w:val="3A3A3C"/>
          <w:sz w:val="27"/>
          <w:szCs w:val="27"/>
        </w:rPr>
        <w:t xml:space="preserve">9.6 E6 — Cohort Divergence Across Sites or Departments</w:t>
      </w:r>
    </w:p>
    <w:p>
      <w:pPr>
        <w:spacing w:after="160" w:line="276"/>
        <w:jc w:val="both"/>
      </w:pPr>
      <w:r>
        <w:rPr>
          <w:rFonts w:ascii="Times New Roman" w:cs="Times New Roman" w:eastAsia="Times New Roman" w:hAnsi="Times New Roman"/>
          <w:b w:val="false"/>
          <w:bCs w:val="false"/>
          <w:i/>
          <w:iCs/>
          <w:color w:val="58595B"/>
          <w:sz w:val="24"/>
          <w:szCs w:val="24"/>
        </w:rPr>
        <w:t xml:space="preserve">Cross-cutting, Phases 4–7</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683"/>
        <w:gridCol w:w="7667"/>
      </w:tblGrid>
      <w:tr>
        <w:trPr>
          <w:tblHeader/>
        </w:trPr>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66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Trigger</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single project-level framework reading becomes misleading because different cohorts are genuinely in different places across all four frameworks.</w:t>
            </w:r>
          </w:p>
        </w:tc>
      </w:tr>
      <w:tr>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Timeline Impact</w:t>
            </w:r>
          </w:p>
        </w:tc>
        <w:tc>
          <w:tcPr>
            <w:tcW w:type="dxa" w:w="766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Runs continuously alongside the main flow; enables a cohort-by-cohort go/no-go instead of a single all-or-nothing gate.</w:t>
            </w:r>
          </w:p>
        </w:tc>
      </w:tr>
    </w:tbl>
    <w:p>
      <w:pPr>
        <w:spacing w:after="200" w:before="60"/>
        <w:jc w:val="left"/>
      </w:pPr>
      <w:r>
        <w:rPr>
          <w:rFonts w:ascii="Times New Roman" w:cs="Times New Roman" w:eastAsia="Times New Roman" w:hAnsi="Times New Roman"/>
          <w:i/>
          <w:iCs/>
          <w:color w:val="58595B"/>
          <w:sz w:val="19"/>
          <w:szCs w:val="19"/>
        </w:rPr>
        <w:t xml:space="preserve">Trigger and timeline impact for E6.</w:t>
      </w:r>
    </w:p>
    <w:p>
      <w:pPr>
        <w:pStyle w:val="Heading3"/>
        <w:spacing w:after="120" w:before="220"/>
      </w:pPr>
      <w:r>
        <w:rPr>
          <w:rFonts w:ascii="Times New Roman" w:cs="Times New Roman" w:eastAsia="Times New Roman" w:hAnsi="Times New Roman"/>
          <w:b/>
          <w:bCs/>
          <w:color w:val="E07B00"/>
          <w:sz w:val="24"/>
          <w:szCs w:val="24"/>
        </w:rPr>
        <w:t xml:space="preserve">SIPOC</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 (Tasks)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Site/Department leads; Program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Stakeholder Map; cohort-level ADKAR/Bridges/Kübler-Ross scores; site/department readiness benchmarks.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1. Disaggregate the Composite Readiness Index by stakeholder group</w:t>
            </w:r>
          </w:p>
          <w:p>
            <w:pPr>
              <w:jc w:val="left"/>
            </w:pPr>
            <w:r>
              <w:rPr>
                <w:rFonts w:ascii="Times New Roman" w:cs="Times New Roman" w:eastAsia="Times New Roman" w:hAnsi="Times New Roman"/>
                <w:b w:val="false"/>
                <w:bCs w:val="false"/>
                <w:color w:val="58595B"/>
                <w:sz w:val="19"/>
                <w:szCs w:val="19"/>
              </w:rPr>
              <w:t xml:space="preserve">2. Identify the specific cohorts driving the spread, high and low</w:t>
            </w:r>
          </w:p>
          <w:p>
            <w:pPr>
              <w:jc w:val="left"/>
            </w:pPr>
            <w:r>
              <w:rPr>
                <w:rFonts w:ascii="Times New Roman" w:cs="Times New Roman" w:eastAsia="Times New Roman" w:hAnsi="Times New Roman"/>
                <w:b w:val="false"/>
                <w:bCs w:val="false"/>
                <w:color w:val="58595B"/>
                <w:sz w:val="19"/>
                <w:szCs w:val="19"/>
              </w:rPr>
              <w:t xml:space="preserve">3. Investigate what the strongest cohort did differently and what the weakest is missing</w:t>
            </w:r>
          </w:p>
          <w:p>
            <w:pPr>
              <w:jc w:val="left"/>
            </w:pPr>
            <w:r>
              <w:rPr>
                <w:rFonts w:ascii="Times New Roman" w:cs="Times New Roman" w:eastAsia="Times New Roman" w:hAnsi="Times New Roman"/>
                <w:b w:val="false"/>
                <w:bCs w:val="false"/>
                <w:color w:val="58595B"/>
                <w:sz w:val="19"/>
                <w:szCs w:val="19"/>
              </w:rPr>
              <w:t xml:space="preserve">4. Transfer specific, concrete practices from the strongest cohort to the weakest</w:t>
            </w:r>
          </w:p>
          <w:p>
            <w:pPr>
              <w:jc w:val="left"/>
            </w:pPr>
            <w:r>
              <w:rPr>
                <w:rFonts w:ascii="Times New Roman" w:cs="Times New Roman" w:eastAsia="Times New Roman" w:hAnsi="Times New Roman"/>
                <w:b w:val="false"/>
                <w:bCs w:val="false"/>
                <w:color w:val="58595B"/>
                <w:sz w:val="19"/>
                <w:szCs w:val="19"/>
              </w:rPr>
              <w:t xml:space="preserve">5. Continue reporting cohort-level readiness alongside the project-level number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Disaggregated, cohort-level readiness report; root-cause comparison between strongest and weakest cohorts; revised go/no-go recommendation by cohort.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Site/Department leads; Change Manager.</w:t>
            </w:r>
          </w:p>
        </w:tc>
      </w:tr>
    </w:tbl>
    <w:p>
      <w:pPr>
        <w:spacing w:after="200" w:before="60"/>
        <w:jc w:val="left"/>
      </w:pPr>
      <w:r>
        <w:rPr>
          <w:rFonts w:ascii="Times New Roman" w:cs="Times New Roman" w:eastAsia="Times New Roman" w:hAnsi="Times New Roman"/>
          <w:i/>
          <w:iCs/>
          <w:color w:val="58595B"/>
          <w:sz w:val="19"/>
          <w:szCs w:val="19"/>
        </w:rPr>
        <w:t xml:space="preserve">SIPOC for E6 — Cohort Divergence Across Sites or Departments. The Process column lists this exception's five recovery Tasks in sequence.</w:t>
      </w:r>
    </w:p>
    <w:p>
      <w:pPr>
        <w:pStyle w:val="Heading3"/>
        <w:spacing w:after="120" w:before="220"/>
      </w:pPr>
      <w:r>
        <w:rPr>
          <w:rFonts w:ascii="Times New Roman" w:cs="Times New Roman" w:eastAsia="Times New Roman" w:hAnsi="Times New Roman"/>
          <w:b/>
          <w:bCs/>
          <w:color w:val="E07B00"/>
          <w:sz w:val="24"/>
          <w:szCs w:val="24"/>
        </w:rPr>
        <w:t xml:space="preserve">Tasks, Steps, Techniques &amp; RACSI</w:t>
      </w:r>
    </w:p>
    <w:p>
      <w:pPr>
        <w:spacing w:after="80" w:before="260"/>
      </w:pPr>
      <w:r>
        <w:rPr>
          <w:rFonts w:ascii="Times New Roman" w:cs="Times New Roman" w:eastAsia="Times New Roman" w:hAnsi="Times New Roman"/>
          <w:b/>
          <w:bCs/>
          <w:color w:val="3A3A3C"/>
          <w:sz w:val="23"/>
          <w:szCs w:val="23"/>
        </w:rPr>
        <w:t xml:space="preserve">Task 1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Disaggregate the Composite Readiness Index by stakeholder group</w:t>
      </w:r>
    </w:p>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5.</w:t>
      </w:r>
    </w:p>
    <w:p>
      <w:pPr>
        <w:spacing w:after="90" w:before="180"/>
      </w:pPr>
      <w:r>
        <w:rPr>
          <w:rFonts w:ascii="Times New Roman" w:cs="Times New Roman" w:eastAsia="Times New Roman" w:hAnsi="Times New Roman"/>
          <w:b/>
          <w:bCs/>
          <w:color w:val="E07B00"/>
          <w:sz w:val="22"/>
          <w:szCs w:val="22"/>
        </w:rPr>
        <w:t xml:space="preserve">Step 1 — Disaggregate the readiness index</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single blended project-level number is exactly what hides the kind of divergence this exception exists to catch — disaggregating by site and department is the fix.</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Site/Department leads; Program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Stakeholder Map; cohort-level ADKAR/Bridges/Kübler-Ross scores; site/department readiness benchmarks.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segmentation analysis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Disaggregated readiness 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Site/Department leads;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segmentation analysis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Replace one blended score with a per-cohort 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Rebuild the Composite Readiness Index view filtered by site and department rather than as a single project-level number.</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r>
    </w:tbl>
    <w:p>
      <w:pPr>
        <w:spacing w:after="120" w:before="40"/>
      </w:pPr>
      <w:r>
        <w:rPr>
          <w:rFonts w:ascii="Times New Roman" w:cs="Times New Roman" w:eastAsia="Times New Roman" w:hAnsi="Times New Roman"/>
          <w:b/>
          <w:bCs/>
          <w:color w:val="E07B00"/>
          <w:sz w:val="19"/>
          <w:szCs w:val="19"/>
        </w:rPr>
        <w:t xml:space="preserve">journi: </w:t>
      </w:r>
      <w:r>
        <w:rPr>
          <w:rFonts w:ascii="Times New Roman" w:cs="Times New Roman" w:eastAsia="Times New Roman" w:hAnsi="Times New Roman"/>
          <w:i/>
          <w:iCs/>
          <w:color w:val="58595B"/>
          <w:sz w:val="19"/>
          <w:szCs w:val="19"/>
        </w:rPr>
        <w:t xml:space="preserve">This is entered/updated in journi — Module 5 — Stakeholder Map.</w:t>
      </w:r>
    </w:p>
    <w:p>
      <w:pPr>
        <w:spacing w:after="200" w:before="60"/>
        <w:jc w:val="left"/>
      </w:pPr>
      <w:r>
        <w:rPr>
          <w:rFonts w:ascii="Times New Roman" w:cs="Times New Roman" w:eastAsia="Times New Roman" w:hAnsi="Times New Roman"/>
          <w:i/>
          <w:iCs/>
          <w:color w:val="58595B"/>
          <w:sz w:val="19"/>
          <w:szCs w:val="19"/>
        </w:rPr>
        <w:t xml:space="preserve">RACSI for Task 1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SUP, EU</w:t>
            </w:r>
          </w:p>
        </w:tc>
      </w:tr>
    </w:tbl>
    <w:p>
      <w:pPr>
        <w:spacing w:after="80" w:before="260"/>
      </w:pPr>
      <w:r>
        <w:rPr>
          <w:rFonts w:ascii="Times New Roman" w:cs="Times New Roman" w:eastAsia="Times New Roman" w:hAnsi="Times New Roman"/>
          <w:b/>
          <w:bCs/>
          <w:color w:val="3A3A3C"/>
          <w:sz w:val="23"/>
          <w:szCs w:val="23"/>
        </w:rPr>
        <w:t xml:space="preserve">Task 2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Identify the specific cohorts driving the spread, high and low</w:t>
      </w:r>
    </w:p>
    <w:p>
      <w:pPr>
        <w:spacing w:after="90" w:before="180"/>
      </w:pPr>
      <w:r>
        <w:rPr>
          <w:rFonts w:ascii="Times New Roman" w:cs="Times New Roman" w:eastAsia="Times New Roman" w:hAnsi="Times New Roman"/>
          <w:b/>
          <w:bCs/>
          <w:color w:val="E07B00"/>
          <w:sz w:val="22"/>
          <w:szCs w:val="22"/>
        </w:rPr>
        <w:t xml:space="preserve">Step 1 — Rank cohorts by readiness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Ranking every cohort, rather than reacting to whichever one complained loudest, ensures the investigation targets the genuine statistical outliers.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Site/Department leads; Program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Stakeholder Map; cohort-level ADKAR/Bridges/Kübler-Ross scores; site/department readiness benchmarks.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Outlier analysis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Ranked cohort outlier list</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Site/Department leads;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Outlier analysis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Pinpoint the best- and worst-performing cohorts.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Rank all cohorts by Composite Readiness Index and flag the top and bottom two for closer review.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Superset</w:t>
            </w:r>
          </w:p>
        </w:tc>
      </w:tr>
    </w:tbl>
    <w:p>
      <w:pPr>
        <w:spacing w:after="200" w:before="60"/>
        <w:jc w:val="left"/>
      </w:pPr>
      <w:r>
        <w:rPr>
          <w:rFonts w:ascii="Times New Roman" w:cs="Times New Roman" w:eastAsia="Times New Roman" w:hAnsi="Times New Roman"/>
          <w:i/>
          <w:iCs/>
          <w:color w:val="58595B"/>
          <w:sz w:val="19"/>
          <w:szCs w:val="19"/>
        </w:rPr>
        <w:t xml:space="preserve">RACSI for Task 2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 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SUP, EU</w:t>
            </w:r>
          </w:p>
        </w:tc>
      </w:tr>
    </w:tbl>
    <w:p>
      <w:pPr>
        <w:spacing w:after="80" w:before="260"/>
      </w:pPr>
      <w:r>
        <w:rPr>
          <w:rFonts w:ascii="Times New Roman" w:cs="Times New Roman" w:eastAsia="Times New Roman" w:hAnsi="Times New Roman"/>
          <w:b/>
          <w:bCs/>
          <w:color w:val="3A3A3C"/>
          <w:sz w:val="23"/>
          <w:szCs w:val="23"/>
        </w:rPr>
        <w:t xml:space="preserve">Task 3 — </w:t>
      </w:r>
      <w:r>
        <w:rPr>
          <w:rFonts w:ascii="Times New Roman" w:cs="Times New Roman" w:eastAsia="Times New Roman" w:hAnsi="Times New Roman"/>
          <w:b/>
          <w:bCs/>
          <w:color w:val="E07B00"/>
          <w:sz w:val="23"/>
          <w:szCs w:val="23"/>
        </w:rPr>
        <w:t xml:space="preserve">[CHANGE] </w:t>
      </w:r>
      <w:r>
        <w:rPr>
          <w:rFonts w:ascii="Times New Roman" w:cs="Times New Roman" w:eastAsia="Times New Roman" w:hAnsi="Times New Roman"/>
          <w:b/>
          <w:bCs/>
          <w:color w:val="3A3A3C"/>
          <w:sz w:val="23"/>
          <w:szCs w:val="23"/>
        </w:rPr>
        <w:t xml:space="preserve">Investigate what the strongest cohort did differently and what the weakest is missing</w:t>
      </w:r>
    </w:p>
    <w:p>
      <w:pPr>
        <w:spacing w:after="90" w:before="180"/>
      </w:pPr>
      <w:r>
        <w:rPr>
          <w:rFonts w:ascii="Times New Roman" w:cs="Times New Roman" w:eastAsia="Times New Roman" w:hAnsi="Times New Roman"/>
          <w:b/>
          <w:bCs/>
          <w:color w:val="E07B00"/>
          <w:sz w:val="22"/>
          <w:szCs w:val="22"/>
        </w:rPr>
        <w:t xml:space="preserve">Step 1 — Compare strong and weak cohorts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Using the identical question guide for both the strongest and weakest cohort is what makes the comparison genuinely apples-to-apples rather than two unrelated conversations.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Site/Department leads; Program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Stakeholder Map; cohort-level ADKAR/Bridges/Kübler-Ross scores; site/department readiness benchmarks.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Comparative root-cause interview</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Comparative root-cause findings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Site/Department leads;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Comparative root-cause interview</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Learn what the strong cohort did differently.</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Interview supervisors and champions from both the strongest and weakest cohorts using the same question guide for a clean comparison.</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r>
    </w:tbl>
    <w:p>
      <w:pPr>
        <w:spacing w:after="200" w:before="60"/>
        <w:jc w:val="left"/>
      </w:pPr>
      <w:r>
        <w:rPr>
          <w:rFonts w:ascii="Times New Roman" w:cs="Times New Roman" w:eastAsia="Times New Roman" w:hAnsi="Times New Roman"/>
          <w:i/>
          <w:iCs/>
          <w:color w:val="58595B"/>
          <w:sz w:val="19"/>
          <w:szCs w:val="19"/>
        </w:rPr>
        <w:t xml:space="preserve">RACSI for Task 3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4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Transfer specific, concrete practices from the strongest cohort to the weakest</w:t>
      </w:r>
    </w:p>
    <w:p>
      <w:pPr>
        <w:spacing w:after="90" w:before="180"/>
      </w:pPr>
      <w:r>
        <w:rPr>
          <w:rFonts w:ascii="Times New Roman" w:cs="Times New Roman" w:eastAsia="Times New Roman" w:hAnsi="Times New Roman"/>
          <w:b/>
          <w:bCs/>
          <w:color w:val="E07B00"/>
          <w:sz w:val="22"/>
          <w:szCs w:val="22"/>
        </w:rPr>
        <w:t xml:space="preserve">Step 1 — Transfer the practice directly</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generic reminder to “communicate more” rarely changes anything; watching the strong cohort's champion demonstrate the exact practice live is what actually transfers.</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Site/Department leads; Program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Stakeholder Map; cohort-level ADKAR/Bridges/Kübler-Ross scores; site/department readiness benchmarks.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Practice-transfer workshop</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Documented transferred practices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Site/Department leads;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Practice-transfer workshop</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Replicate specific, concrete actions, not generic reminders.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working session where the strong cohort's champion walks the weak cohort's champion through the exact practice, live.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Mattermost</w:t>
            </w:r>
          </w:p>
        </w:tc>
      </w:tr>
    </w:tbl>
    <w:p>
      <w:pPr>
        <w:spacing w:after="200" w:before="60"/>
        <w:jc w:val="left"/>
      </w:pPr>
      <w:r>
        <w:rPr>
          <w:rFonts w:ascii="Times New Roman" w:cs="Times New Roman" w:eastAsia="Times New Roman" w:hAnsi="Times New Roman"/>
          <w:i/>
          <w:iCs/>
          <w:color w:val="58595B"/>
          <w:sz w:val="19"/>
          <w:szCs w:val="19"/>
        </w:rPr>
        <w:t xml:space="preserve">RACSI for Task 4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 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EU</w:t>
            </w:r>
          </w:p>
        </w:tc>
      </w:tr>
    </w:tbl>
    <w:p>
      <w:pPr>
        <w:spacing w:after="80" w:before="260"/>
      </w:pPr>
      <w:r>
        <w:rPr>
          <w:rFonts w:ascii="Times New Roman" w:cs="Times New Roman" w:eastAsia="Times New Roman" w:hAnsi="Times New Roman"/>
          <w:b/>
          <w:bCs/>
          <w:color w:val="3A3A3C"/>
          <w:sz w:val="23"/>
          <w:szCs w:val="23"/>
        </w:rPr>
        <w:t xml:space="preserve">Task 5 — </w:t>
      </w:r>
      <w:r>
        <w:rPr>
          <w:rFonts w:ascii="Times New Roman" w:cs="Times New Roman" w:eastAsia="Times New Roman" w:hAnsi="Times New Roman"/>
          <w:b/>
          <w:bCs/>
          <w:color w:val="3A3A3C"/>
          <w:sz w:val="23"/>
          <w:szCs w:val="23"/>
        </w:rPr>
        <w:t xml:space="preserve">[JOINT] </w:t>
      </w:r>
      <w:r>
        <w:rPr>
          <w:rFonts w:ascii="Times New Roman" w:cs="Times New Roman" w:eastAsia="Times New Roman" w:hAnsi="Times New Roman"/>
          <w:b/>
          <w:bCs/>
          <w:color w:val="3A3A3C"/>
          <w:sz w:val="23"/>
          <w:szCs w:val="23"/>
        </w:rPr>
        <w:t xml:space="preserve">Continue reporting cohort-level readiness alongside the project-level number</w:t>
      </w:r>
    </w:p>
    <w:p>
      <w:pPr>
        <w:spacing w:after="90" w:before="180"/>
      </w:pPr>
      <w:r>
        <w:rPr>
          <w:rFonts w:ascii="Times New Roman" w:cs="Times New Roman" w:eastAsia="Times New Roman" w:hAnsi="Times New Roman"/>
          <w:b/>
          <w:bCs/>
          <w:color w:val="E07B00"/>
          <w:sz w:val="22"/>
          <w:szCs w:val="22"/>
        </w:rPr>
        <w:t xml:space="preserve">Step 1 — Report the disaggregated view ongoing</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A one-time disaggregation exercise doesn't protect the rest of the program; making it a standing dashboard tab is what keeps the divergence visible at every future checkpoint.</w:t>
      </w:r>
    </w:p>
    <w:p>
      <w:pPr>
        <w:spacing w:after="200" w:before="60"/>
        <w:jc w:val="left"/>
      </w:pPr>
      <w:r>
        <w:rPr>
          <w:rFonts w:ascii="Times New Roman" w:cs="Times New Roman" w:eastAsia="Times New Roman" w:hAnsi="Times New Roman"/>
          <w:i/>
          <w:iCs/>
          <w:color w:val="58595B"/>
          <w:sz w:val="19"/>
          <w:szCs w:val="19"/>
        </w:rPr>
        <w:t xml:space="preserve">SIPOC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870"/>
        <w:gridCol w:w="1870"/>
        <w:gridCol w:w="1870"/>
        <w:gridCol w:w="1870"/>
        <w:gridCol w:w="1870"/>
      </w:tblGrid>
      <w:tr>
        <w:trPr>
          <w:tblHeader/>
        </w:trPr>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Suppliers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Process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Outputs</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Customers</w:t>
            </w:r>
          </w:p>
        </w:tc>
      </w:tr>
      <w:tr>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Site/Department leads; Program Manager.</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Stakeholder Map; cohort-level ADKAR/Bridges/Kübler-Ross scores; site/department readiness benchmarks.</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Recurring dashboard reporting</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Standing disaggregated dashboard tab</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Site/Department leads; Change Manager.</w:t>
            </w:r>
          </w:p>
        </w:tc>
      </w:tr>
    </w:tbl>
    <w:p>
      <w:pPr>
        <w:spacing w:after="200" w:before="60"/>
        <w:jc w:val="left"/>
      </w:pPr>
      <w:r>
        <w:rPr>
          <w:rFonts w:ascii="Times New Roman" w:cs="Times New Roman" w:eastAsia="Times New Roman" w:hAnsi="Times New Roman"/>
          <w:i/>
          <w:iCs/>
          <w:color w:val="58595B"/>
          <w:sz w:val="19"/>
          <w:szCs w:val="19"/>
        </w:rPr>
        <w:t xml:space="preserve">Technique detail for this step.</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729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Element</w:t>
            </w:r>
          </w:p>
        </w:tc>
        <w:tc>
          <w:tcPr>
            <w:tcW w:type="dxa" w:w="729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Detail</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Name</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Recurring dashboard reporting</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Goal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Keep the disaggregated view visible at every go/no-go.</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Technique Details</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Add the disaggregated cohort view as a standing tab on the Steering Committee dashboard for the remainder of the program.</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Recommended Open-Source Tool</w:t>
            </w:r>
          </w:p>
        </w:tc>
        <w:tc>
          <w:tcPr>
            <w:tcW w:type="dxa" w:w="729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Superset</w:t>
            </w:r>
          </w:p>
        </w:tc>
      </w:tr>
    </w:tbl>
    <w:p>
      <w:pPr>
        <w:spacing w:after="200" w:before="60"/>
        <w:jc w:val="left"/>
      </w:pPr>
      <w:r>
        <w:rPr>
          <w:rFonts w:ascii="Times New Roman" w:cs="Times New Roman" w:eastAsia="Times New Roman" w:hAnsi="Times New Roman"/>
          <w:i/>
          <w:iCs/>
          <w:color w:val="58595B"/>
          <w:sz w:val="19"/>
          <w:szCs w:val="19"/>
        </w:rPr>
        <w:t xml:space="preserve">RACSI for Task 5 — multiple roles may share Responsible; exactly one role is Accountable.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805"/>
        <w:gridCol w:w="1870"/>
        <w:gridCol w:w="1683"/>
        <w:gridCol w:w="1496"/>
        <w:gridCol w:w="1496"/>
      </w:tblGrid>
      <w:tr>
        <w:trPr>
          <w:tblHeader/>
        </w:trPr>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 (Responsible — may be multiple)</w:t>
            </w:r>
          </w:p>
        </w:tc>
        <w:tc>
          <w:tcPr>
            <w:tcW w:type="dxa" w:w="1870"/>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 (Accountable — exactly one)</w:t>
            </w:r>
          </w:p>
        </w:tc>
        <w:tc>
          <w:tcPr>
            <w:tcW w:type="dxa" w:w="168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 (Consulted)</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 (Support)</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 (Informed)</w:t>
            </w:r>
          </w:p>
        </w:tc>
      </w:tr>
      <w:tr>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870"/>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168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FPO, SUP, EU</w:t>
            </w:r>
          </w:p>
        </w:tc>
      </w:tr>
    </w:tbl>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10. Governance &amp; Reporting Cadence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057"/>
        <w:gridCol w:w="1496"/>
        <w:gridCol w:w="2244"/>
        <w:gridCol w:w="3553"/>
      </w:tblGrid>
      <w:tr>
        <w:trPr>
          <w:tblHeader/>
        </w:trPr>
        <w:tc>
          <w:tcPr>
            <w:tcW w:type="dxa" w:w="205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Forum</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Frequency</w:t>
            </w:r>
          </w:p>
        </w:tc>
        <w:tc>
          <w:tcPr>
            <w:tcW w:type="dxa" w:w="2244"/>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Attendees</w:t>
            </w:r>
          </w:p>
        </w:tc>
        <w:tc>
          <w:tcPr>
            <w:tcW w:type="dxa" w:w="355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Purpose</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Standup</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Weekly</w:t>
            </w:r>
          </w:p>
        </w:tc>
        <w:tc>
          <w:tcPr>
            <w:tcW w:type="dxa" w:w="224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training lead, champion leads</w:t>
            </w:r>
          </w:p>
        </w:tc>
        <w:tc>
          <w:tcPr>
            <w:tcW w:type="dxa" w:w="355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barrier-reason notes, champion feedback, and the weekly dashboard (Table 7.6).</w:t>
            </w:r>
          </w:p>
        </w:tc>
      </w:tr>
      <w:tr>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Network Check-in</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Bi-weekly</w:t>
            </w:r>
          </w:p>
        </w:tc>
        <w:tc>
          <w:tcPr>
            <w:tcW w:type="dxa" w:w="224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 champions</w:t>
            </w:r>
          </w:p>
        </w:tc>
        <w:tc>
          <w:tcPr>
            <w:tcW w:type="dxa" w:w="355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Surface early Desire and sentiment signals before they show up in formal pulses.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Committee Readout</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Monthly</w:t>
            </w:r>
          </w:p>
        </w:tc>
        <w:tc>
          <w:tcPr>
            <w:tcW w:type="dxa" w:w="224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CM, FPOs</w:t>
            </w:r>
          </w:p>
        </w:tc>
        <w:tc>
          <w:tcPr>
            <w:tcW w:type="dxa" w:w="355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 the Composite Readiness Index trend, Lewin phase justification, and open risk register items.</w:t>
            </w:r>
          </w:p>
        </w:tc>
      </w:tr>
      <w:tr>
        <w:tc>
          <w:tcPr>
            <w:tcW w:type="dxa" w:w="205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Gate Review</w:t>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of each phase (Section 5)</w:t>
            </w:r>
          </w:p>
        </w:tc>
        <w:tc>
          <w:tcPr>
            <w:tcW w:type="dxa" w:w="224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CM</w:t>
            </w:r>
          </w:p>
        </w:tc>
        <w:tc>
          <w:tcPr>
            <w:tcW w:type="dxa" w:w="355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the phase's framework reading against evidence before the next phase opens.</w:t>
            </w:r>
          </w:p>
        </w:tc>
      </w:tr>
      <w:tr>
        <w:tc>
          <w:tcPr>
            <w:tcW w:type="dxa" w:w="205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Go/No-Go Decision</w:t>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of Phase 5, and at Cutover</w:t>
            </w:r>
          </w:p>
        </w:tc>
        <w:tc>
          <w:tcPr>
            <w:tcW w:type="dxa" w:w="224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 PM, CM, FPOs</w:t>
            </w:r>
          </w:p>
        </w:tc>
        <w:tc>
          <w:tcPr>
            <w:tcW w:type="dxa" w:w="355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 cohort-level (not just blended) readiness against Module 15 benchmarking bands.</w:t>
            </w:r>
          </w:p>
        </w:tc>
      </w:tr>
    </w:tbl>
    <w:p>
      <w:pPr>
        <w:spacing w:after="200" w:before="60"/>
        <w:jc w:val="left"/>
      </w:pPr>
      <w:r>
        <w:rPr>
          <w:rFonts w:ascii="Times New Roman" w:cs="Times New Roman" w:eastAsia="Times New Roman" w:hAnsi="Times New Roman"/>
          <w:i/>
          <w:iCs/>
          <w:color w:val="58595B"/>
          <w:sz w:val="19"/>
          <w:szCs w:val="19"/>
        </w:rPr>
        <w:t xml:space="preserve">Table 10.1 — Standing governance cadence, cross-referenced to the weekly timeline in Section 5.</w:t>
      </w:r>
    </w:p>
    <w:p>
      <w:r>
        <w:br w:type="page"/>
      </w:r>
    </w:p>
    <w:p>
      <w:pPr>
        <w:pStyle w:val="Heading1"/>
        <w:pBdr>
          <w:bottom w:val="single" w:color="E07B00" w:sz="6" w:space="4"/>
        </w:pBdr>
        <w:spacing w:after="200" w:before="400"/>
      </w:pPr>
      <w:r>
        <w:rPr>
          <w:rFonts w:ascii="Times New Roman" w:cs="Times New Roman" w:eastAsia="Times New Roman" w:hAnsi="Times New Roman"/>
          <w:b/>
          <w:bCs/>
          <w:color w:val="E07B00"/>
          <w:sz w:val="34"/>
          <w:szCs w:val="34"/>
        </w:rPr>
        <w:t xml:space="preserve">Appendix — Quick Reference</w:t>
      </w:r>
    </w:p>
    <w:p>
      <w:pPr>
        <w:pStyle w:val="Heading2"/>
        <w:spacing w:after="150" w:before="300"/>
      </w:pPr>
      <w:r>
        <w:rPr>
          <w:rFonts w:ascii="Times New Roman" w:cs="Times New Roman" w:eastAsia="Times New Roman" w:hAnsi="Times New Roman"/>
          <w:b/>
          <w:bCs/>
          <w:color w:val="3A3A3C"/>
          <w:sz w:val="27"/>
          <w:szCs w:val="27"/>
        </w:rPr>
        <w:t xml:space="preserve">A.1 Role Legend</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122"/>
        <w:gridCol w:w="8228"/>
      </w:tblGrid>
      <w:tr>
        <w:trPr>
          <w:tblHeader/>
        </w:trPr>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Code</w:t>
            </w:r>
          </w:p>
        </w:tc>
        <w:tc>
          <w:tcPr>
            <w:tcW w:type="dxa" w:w="8228"/>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 owns the business case and clears organizational barriers.</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CM</w:t>
            </w:r>
          </w:p>
        </w:tc>
        <w:tc>
          <w:tcPr>
            <w:tcW w:type="dxa" w:w="822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 owns the journi project, the four framework readings, and the adoption plan.</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PM</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 Project Manager — owns scope, schedule, budget and delivery milestones.</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FPO</w:t>
            </w:r>
          </w:p>
        </w:tc>
        <w:tc>
          <w:tcPr>
            <w:tcW w:type="dxa" w:w="822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Functional Process Owner — the business SME who owns the future-state process.</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ITL</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 / Technical Lead — owns configuration, data, integration and technical cutover.</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w:t>
            </w:r>
          </w:p>
        </w:tc>
        <w:tc>
          <w:tcPr>
            <w:tcW w:type="dxa" w:w="822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 People Manager — coaches the cohort day to day.</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EU</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End User / Impacted Employee cohort — performs the process.</w:t>
            </w:r>
          </w:p>
        </w:tc>
      </w:tr>
    </w:tbl>
    <w:p>
      <w:pPr>
        <w:pStyle w:val="Heading2"/>
        <w:spacing w:after="150" w:before="300"/>
      </w:pPr>
      <w:r>
        <w:rPr>
          <w:rFonts w:ascii="Times New Roman" w:cs="Times New Roman" w:eastAsia="Times New Roman" w:hAnsi="Times New Roman"/>
          <w:b/>
          <w:bCs/>
          <w:color w:val="3A3A3C"/>
          <w:sz w:val="27"/>
          <w:szCs w:val="27"/>
        </w:rPr>
        <w:t xml:space="preserve">A.2 RACSI Legend</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122"/>
        <w:gridCol w:w="8228"/>
      </w:tblGrid>
      <w:tr>
        <w:trPr>
          <w:tblHeader/>
        </w:trPr>
        <w:tc>
          <w:tcPr>
            <w:tcW w:type="dxa" w:w="1122"/>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Code</w:t>
            </w:r>
          </w:p>
        </w:tc>
        <w:tc>
          <w:tcPr>
            <w:tcW w:type="dxa" w:w="8228"/>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Responsible — does the work. More than one role may be Responsible for the same Task.</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w:t>
            </w:r>
          </w:p>
        </w:tc>
        <w:tc>
          <w:tcPr>
            <w:tcW w:type="dxa" w:w="822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Accountable — owns the outcome; exactly one role per Task.</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Consulted — two-way input sought before/during the Task.</w:t>
            </w:r>
          </w:p>
        </w:tc>
      </w:tr>
      <w:tr>
        <w:tc>
          <w:tcPr>
            <w:tcW w:type="dxa" w:w="1122"/>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w:t>
            </w:r>
          </w:p>
        </w:tc>
        <w:tc>
          <w:tcPr>
            <w:tcW w:type="dxa" w:w="8228"/>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Support — provides resources or assistance without owning the Task.</w:t>
            </w:r>
          </w:p>
        </w:tc>
      </w:tr>
      <w:tr>
        <w:tc>
          <w:tcPr>
            <w:tcW w:type="dxa" w:w="1122"/>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w:t>
            </w:r>
          </w:p>
        </w:tc>
        <w:tc>
          <w:tcPr>
            <w:tcW w:type="dxa" w:w="8228"/>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Informed — kept up to date, one-way.</w:t>
            </w:r>
          </w:p>
        </w:tc>
      </w:tr>
    </w:tbl>
    <w:p>
      <w:pPr>
        <w:pStyle w:val="Heading2"/>
        <w:spacing w:after="150" w:before="300"/>
      </w:pPr>
      <w:r>
        <w:rPr>
          <w:rFonts w:ascii="Times New Roman" w:cs="Times New Roman" w:eastAsia="Times New Roman" w:hAnsi="Times New Roman"/>
          <w:b/>
          <w:bCs/>
          <w:color w:val="3A3A3C"/>
          <w:sz w:val="27"/>
          <w:szCs w:val="27"/>
        </w:rPr>
        <w:t xml:space="preserve">A.3 Project / Change Tag Legend</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496"/>
        <w:gridCol w:w="7854"/>
      </w:tblGrid>
      <w:tr>
        <w:trPr>
          <w:tblHeader/>
        </w:trPr>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Tag</w:t>
            </w:r>
          </w:p>
        </w:tc>
        <w:tc>
          <w:tcPr>
            <w:tcW w:type="dxa" w:w="7854"/>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Meaning</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w:t>
            </w:r>
          </w:p>
        </w:tc>
        <w:tc>
          <w:tcPr>
            <w:tcW w:type="dxa" w:w="785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Delivery-owned: scope, schedule, budget, configuration, data, technical cutover.</w:t>
            </w:r>
          </w:p>
        </w:tc>
      </w:tr>
      <w:tr>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w:t>
            </w:r>
          </w:p>
        </w:tc>
        <w:tc>
          <w:tcPr>
            <w:tcW w:type="dxa" w:w="785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Adoption-owned: awareness, desire, capability coaching, sentiment, identity/transition work.</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[JOINT]</w:t>
            </w:r>
          </w:p>
        </w:tc>
        <w:tc>
          <w:tcPr>
            <w:tcW w:type="dxa" w:w="785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Cannot be meaningfully split — a delivery decision and an adoption decision are fused into one action.</w:t>
            </w:r>
          </w:p>
        </w:tc>
      </w:tr>
    </w:tbl>
    <w:p>
      <w:pPr>
        <w:pStyle w:val="Heading2"/>
        <w:spacing w:after="150" w:before="300"/>
      </w:pPr>
      <w:r>
        <w:rPr>
          <w:rFonts w:ascii="Times New Roman" w:cs="Times New Roman" w:eastAsia="Times New Roman" w:hAnsi="Times New Roman"/>
          <w:b/>
          <w:bCs/>
          <w:color w:val="3A3A3C"/>
          <w:sz w:val="27"/>
          <w:szCs w:val="27"/>
        </w:rPr>
        <w:t xml:space="preserve">A.4 Blank Weekly Tracker Template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Duplicate this table for each week of the live program.</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935"/>
        <w:gridCol w:w="1496"/>
        <w:gridCol w:w="2805"/>
        <w:gridCol w:w="1403"/>
        <w:gridCol w:w="1403"/>
        <w:gridCol w:w="1309"/>
      </w:tblGrid>
      <w:tr>
        <w:trPr>
          <w:tblHeader/>
        </w:trPr>
        <w:tc>
          <w:tcPr>
            <w:tcW w:type="dxa" w:w="93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Week</w:t>
            </w:r>
          </w:p>
        </w:tc>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Phase</w:t>
            </w:r>
          </w:p>
        </w:tc>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Key Actions Completed</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Modules Updated</w:t>
            </w:r>
          </w:p>
        </w:tc>
        <w:tc>
          <w:tcPr>
            <w:tcW w:type="dxa" w:w="1403"/>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Signals Observed</w:t>
            </w:r>
          </w:p>
        </w:tc>
        <w:tc>
          <w:tcPr>
            <w:tcW w:type="dxa" w:w="130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Escalations Raised</w:t>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r>
      <w:tr>
        <w:tc>
          <w:tcPr>
            <w:tcW w:type="dxa" w:w="93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03"/>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30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r>
      <w:tr>
        <w:tc>
          <w:tcPr>
            <w:tcW w:type="dxa" w:w="93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403"/>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c>
          <w:tcPr>
            <w:tcW w:type="dxa" w:w="130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
            </w:r>
          </w:p>
        </w:tc>
      </w:tr>
    </w:tbl>
    <w:p>
      <w:pPr>
        <w:pStyle w:val="Heading2"/>
        <w:spacing w:after="150" w:before="300"/>
      </w:pPr>
      <w:r>
        <w:rPr>
          <w:rFonts w:ascii="Times New Roman" w:cs="Times New Roman" w:eastAsia="Times New Roman" w:hAnsi="Times New Roman"/>
          <w:b/>
          <w:bCs/>
          <w:color w:val="3A3A3C"/>
          <w:sz w:val="27"/>
          <w:szCs w:val="27"/>
        </w:rPr>
        <w:t xml:space="preserve">A.5 Consolidated Open-Source Tool Reference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 open-source tool recommended in Sections 6 and 9, gathered in one place for procurement or IT-approval purposes. Where a proprietary equivalent is already standard in your organization, substitute it — the technique and its goal matter more than the specific tool.</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431"/>
        <w:gridCol w:w="2805"/>
        <w:gridCol w:w="4114"/>
      </w:tblGrid>
      <w:tr>
        <w:trPr>
          <w:tblHeader/>
        </w:trPr>
        <w:tc>
          <w:tcPr>
            <w:tcW w:type="dxa" w:w="2431"/>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Tool</w:t>
            </w:r>
          </w:p>
        </w:tc>
        <w:tc>
          <w:tcPr>
            <w:tcW w:type="dxa" w:w="2805"/>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Category</w:t>
            </w:r>
          </w:p>
        </w:tc>
        <w:tc>
          <w:tcPr>
            <w:tcW w:type="dxa" w:w="4114"/>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Typical Use in This Guide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BPMN.io</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Process mapping</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Current-state and future-state process diagrams.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Taguette</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Qualitative coding</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Coding interview and 1:1 transcripts for themes.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OpenRefine</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profiling / cleansing</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Assessing and cleaning data quality before migration.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Calc</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Spreadsheet</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Cost-of-inaction models, reconciliation checklists, trackers.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draw.io (diagrams.net)</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Diagramming</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Design principles, integration contracts, affinity mapping.</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OpenProject</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Project / work management</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Initiative registry, backlogs, decision logs, checklists.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LimeSurvey</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Survey platform</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ADKAR, Bridges and Kübler-Ross pulse surveys.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spaCy</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NLP / text analytics</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Mining open-text pulse comments for themes.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GitLab</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Version control / review</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Configuration-as-code peer review.</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BigBlueButton</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Video conferencing</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Demos, workshops, 1:1s, listening sessions, huddles.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Listmonk</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Email / mailing lists</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 communications and go-live announcements.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BookStack</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Knowledge base / wiki</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FAQ channels, policy documentation, handover materials.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Mattermost</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Team chat</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Champion-network coordination and practice-transfer.</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Metabase</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 / dashboards</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Trend analysis, Composite Readiness Index, Divergence alerts.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Superset</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BI / dashboards</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Adoption dashboards and cohort disaggregation views.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NiFi</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ETL / data flow</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transformation, migration runs, legacy archival.</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Apache JMeter</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Integration / load testing</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Validating interface behavior between systems.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Rundeck</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Runbook automation</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Mock migration rehearsals and cutover runbook execution.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Kiwi TCMS</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Test case management</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SIT/UAT scripted execution and readiness checklists.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Mantis BT</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tracking</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Logging, triaging and cross-referencing defects.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H5P / Moodle</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e-learning authoring / LMS</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Role-based training content and completion tracking.</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Scribus</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Desktop publishing</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Job aids and quick-reference guides.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ERPNext</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Open-source ERP</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Sandbox practice environment for hands-on training.</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FreeIPA</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Identity / access management</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Legacy access revocation at cutover.</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osTicket / Zammad</w:t>
            </w:r>
          </w:p>
        </w:tc>
        <w:tc>
          <w:tcPr>
            <w:tcW w:type="dxa" w:w="2805"/>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Help-desk ticketing</w:t>
            </w:r>
          </w:p>
        </w:tc>
        <w:tc>
          <w:tcPr>
            <w:tcW w:type="dxa" w:w="4114"/>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Hypercare support desk and taper handover.</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LibreOffice Impress / Writer</w:t>
            </w:r>
          </w:p>
        </w:tc>
        <w:tc>
          <w:tcPr>
            <w:tcW w:type="dxa" w:w="2805"/>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Presentation / documentation</w:t>
            </w:r>
          </w:p>
        </w:tc>
        <w:tc>
          <w:tcPr>
            <w:tcW w:type="dxa" w:w="4114"/>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readouts and formal sign-off memos.</w:t>
            </w:r>
          </w:p>
        </w:tc>
      </w:tr>
    </w:tbl>
    <w:p>
      <w:pPr>
        <w:pStyle w:val="Heading2"/>
        <w:spacing w:after="150" w:before="300"/>
      </w:pPr>
      <w:r>
        <w:rPr>
          <w:rFonts w:ascii="Times New Roman" w:cs="Times New Roman" w:eastAsia="Times New Roman" w:hAnsi="Times New Roman"/>
          <w:b/>
          <w:bCs/>
          <w:color w:val="3A3A3C"/>
          <w:sz w:val="27"/>
          <w:szCs w:val="27"/>
        </w:rPr>
        <w:t xml:space="preserve">A.6 Recommended Reading Order by Role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Not every reader needs every section on day one. Use the table below to prioritize.</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1496"/>
        <w:gridCol w:w="3927"/>
        <w:gridCol w:w="3927"/>
      </w:tblGrid>
      <w:tr>
        <w:trPr>
          <w:tblHeader/>
        </w:trPr>
        <w:tc>
          <w:tcPr>
            <w:tcW w:type="dxa" w:w="1496"/>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Role</w:t>
            </w:r>
          </w:p>
        </w:tc>
        <w:tc>
          <w:tcPr>
            <w:tcW w:type="dxa" w:w="392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Read First</w:t>
            </w:r>
          </w:p>
        </w:tc>
        <w:tc>
          <w:tcPr>
            <w:tcW w:type="dxa" w:w="3927"/>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Read as Needed</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Change Manager (CM)</w:t>
            </w:r>
          </w:p>
        </w:tc>
        <w:tc>
          <w:tcPr>
            <w:tcW w:type="dxa" w:w="392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Summary, Sections 2, 3, 4, 6 (all phases), 7</w:t>
            </w:r>
          </w:p>
        </w:tc>
        <w:tc>
          <w:tcPr>
            <w:tcW w:type="dxa" w:w="392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Section 8 (Meridian), Section 9 (exceptions), Appendix</w:t>
            </w:r>
          </w:p>
        </w:tc>
      </w:tr>
      <w:tr>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Program / Project Manager (PM)</w:t>
            </w:r>
          </w:p>
        </w:tc>
        <w:tc>
          <w:tcPr>
            <w:tcW w:type="dxa" w:w="392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Summary, Sections 1, 4, 5, 6 ([PROJECT] and [JOINT] Tasks)</w:t>
            </w:r>
          </w:p>
        </w:tc>
        <w:tc>
          <w:tcPr>
            <w:tcW w:type="dxa" w:w="392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Section 10 (governance), Section 7.5 (escalations)</w:t>
            </w:r>
          </w:p>
        </w:tc>
      </w:tr>
      <w:tr>
        <w:tc>
          <w:tcPr>
            <w:tcW w:type="dxa" w:w="1496"/>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Sponsor (ES)</w:t>
            </w:r>
          </w:p>
        </w:tc>
        <w:tc>
          <w:tcPr>
            <w:tcW w:type="dxa" w:w="392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Executive Summary, Sections 1, 4, 7.6, 10</w:t>
            </w:r>
          </w:p>
        </w:tc>
        <w:tc>
          <w:tcPr>
            <w:tcW w:type="dxa" w:w="3927"/>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Section 8 (Meridian) for a worked illustration</w:t>
            </w:r>
          </w:p>
        </w:tc>
      </w:tr>
      <w:tr>
        <w:tc>
          <w:tcPr>
            <w:tcW w:type="dxa" w:w="1496"/>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Frontline Supervisor (SUP)</w:t>
            </w:r>
          </w:p>
        </w:tc>
        <w:tc>
          <w:tcPr>
            <w:tcW w:type="dxa" w:w="392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Section 3 (signal catalogue), Section 6 ([CHANGE] Tasks in Phases 5–8)</w:t>
            </w:r>
          </w:p>
        </w:tc>
        <w:tc>
          <w:tcPr>
            <w:tcW w:type="dxa" w:w="3927"/>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Section 9, Exceptions E2 and E4</w:t>
            </w:r>
          </w:p>
        </w:tc>
      </w:tr>
    </w:tbl>
    <w:p>
      <w:pPr>
        <w:spacing w:after="200" w:before="60"/>
        <w:jc w:val="left"/>
      </w:pPr>
      <w:r>
        <w:rPr>
          <w:rFonts w:ascii="Times New Roman" w:cs="Times New Roman" w:eastAsia="Times New Roman" w:hAnsi="Times New Roman"/>
          <w:i/>
          <w:iCs/>
          <w:color w:val="58595B"/>
          <w:sz w:val="19"/>
          <w:szCs w:val="19"/>
        </w:rPr>
        <w:t xml:space="preserve">Table A.6 — Suggested reading path by role; every reader can still use the full guide as a reference.</w:t>
      </w:r>
    </w:p>
    <w:p>
      <w:pPr>
        <w:pStyle w:val="Heading2"/>
        <w:spacing w:after="150" w:before="300"/>
      </w:pPr>
      <w:r>
        <w:rPr>
          <w:rFonts w:ascii="Times New Roman" w:cs="Times New Roman" w:eastAsia="Times New Roman" w:hAnsi="Times New Roman"/>
          <w:b/>
          <w:bCs/>
          <w:color w:val="3A3A3C"/>
          <w:sz w:val="27"/>
          <w:szCs w:val="27"/>
        </w:rPr>
        <w:t xml:space="preserve">A.7 Frequently Asked Questions</w:t>
      </w:r>
    </w:p>
    <w:p>
      <w:pPr>
        <w:pStyle w:val="Heading3"/>
        <w:spacing w:after="120" w:before="220"/>
      </w:pPr>
      <w:r>
        <w:rPr>
          <w:rFonts w:ascii="Times New Roman" w:cs="Times New Roman" w:eastAsia="Times New Roman" w:hAnsi="Times New Roman"/>
          <w:b/>
          <w:bCs/>
          <w:color w:val="E07B00"/>
          <w:sz w:val="24"/>
          <w:szCs w:val="24"/>
        </w:rPr>
        <w:t xml:space="preserve">Why does journi never auto-compute Lewin, Bridges or Kübler-Ross?</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Because these three are judgment calls that depend on context a formula cannot see — who said what, in what tone, after what event. Automating them would trade real signal for false precision. The two metrics journi does compute (Composite Readiness Index and the Divergence Pattern Detector) were chosen precisely because they are numeric enough, and narrow enough, to blend safely.</w:t>
      </w:r>
    </w:p>
    <w:p>
      <w:pPr>
        <w:pStyle w:val="Heading3"/>
        <w:spacing w:after="120" w:before="220"/>
      </w:pPr>
      <w:r>
        <w:rPr>
          <w:rFonts w:ascii="Times New Roman" w:cs="Times New Roman" w:eastAsia="Times New Roman" w:hAnsi="Times New Roman"/>
          <w:b/>
          <w:bCs/>
          <w:color w:val="E07B00"/>
          <w:sz w:val="24"/>
          <w:szCs w:val="24"/>
        </w:rPr>
        <w:t xml:space="preserve">What if a Task's Responsible list and Accountable role overlap?</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That is expected and common in leaner project structures — the same role can be both Responsible and Accountable for a Task, especially for Change-Management-owned Tasks run largely by the Change Manager. What must never happen is more than one role carrying the Accountable designation for the same Task.</w:t>
      </w:r>
    </w:p>
    <w:p>
      <w:pPr>
        <w:pStyle w:val="Heading3"/>
        <w:spacing w:after="120" w:before="220"/>
      </w:pPr>
      <w:r>
        <w:rPr>
          <w:rFonts w:ascii="Times New Roman" w:cs="Times New Roman" w:eastAsia="Times New Roman" w:hAnsi="Times New Roman"/>
          <w:b/>
          <w:bCs/>
          <w:color w:val="E07B00"/>
          <w:sz w:val="24"/>
          <w:szCs w:val="24"/>
        </w:rPr>
        <w:t xml:space="preserve">Our program is shorter (or longer) than 12 months — how do we use the weekly timeline?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Scale the week numbers proportionally to your own program length rather than compressing phases unevenly. The phase order, the SIPOC content, the Tasks, Steps and RACSI assignments in Section 6 do not depend on the 12-month assumption and can be reused directly.</w:t>
      </w:r>
    </w:p>
    <w:p>
      <w:pPr>
        <w:pStyle w:val="Heading3"/>
        <w:spacing w:after="120" w:before="220"/>
      </w:pPr>
      <w:r>
        <w:rPr>
          <w:rFonts w:ascii="Times New Roman" w:cs="Times New Roman" w:eastAsia="Times New Roman" w:hAnsi="Times New Roman"/>
          <w:b/>
          <w:bCs/>
          <w:color w:val="E07B00"/>
          <w:sz w:val="24"/>
          <w:szCs w:val="24"/>
        </w:rPr>
        <w:t xml:space="preserve">Can we substitute our own tools for the open-source tools recommended in Section 6?</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Yes. The technique and its goal are the load-bearing part of each Step; the recommended tool is a concrete, zero-license-cost starting point, not a requirement. Appendix A.5 consolidates every tool mentioned for a single procurement conversation.</w:t>
      </w:r>
    </w:p>
    <w:p>
      <w:pPr>
        <w:pStyle w:val="Heading3"/>
        <w:spacing w:after="120" w:before="220"/>
      </w:pPr>
      <w:r>
        <w:rPr>
          <w:rFonts w:ascii="Times New Roman" w:cs="Times New Roman" w:eastAsia="Times New Roman" w:hAnsi="Times New Roman"/>
          <w:b/>
          <w:bCs/>
          <w:color w:val="E07B00"/>
          <w:sz w:val="24"/>
          <w:szCs w:val="24"/>
        </w:rPr>
        <w:t xml:space="preserve">What should we do if a phase's actual dates slip against the Section 5 timeline?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Update the week labels, not the sequence or the RACSI ownership. The dependencies between Tasks — for example, that Section 6's Divergence Pattern check depends on UAT data existing — are what matters; the calendar is a planning aid, not a constraint on the underlying logic.</w:t>
      </w:r>
    </w:p>
    <w:p>
      <w:pPr>
        <w:pStyle w:val="Heading2"/>
        <w:spacing w:after="150" w:before="300"/>
      </w:pPr>
      <w:r>
        <w:rPr>
          <w:rFonts w:ascii="Times New Roman" w:cs="Times New Roman" w:eastAsia="Times New Roman" w:hAnsi="Times New Roman"/>
          <w:b/>
          <w:bCs/>
          <w:color w:val="3A3A3C"/>
          <w:sz w:val="27"/>
          <w:szCs w:val="27"/>
        </w:rPr>
        <w:t xml:space="preserve">A.8 Glossary</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Task — a macro unit of work within a phase (or exception), tagged [PROJECT], [CHANGE] or [JOINT], and owned by a RACSI assignment. Each phase and exception has 5 Tasks.</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Step — the fine-grained breakdown of a Task; each Step names one technique, its goal, an execution description, a recommended open-source tool, its own mini-SIPOC, and (where relevant) a journi module cross-reference.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Technique — the specific facilitation, analysis or execution method used to carry out a Step (e.g. “Pulse survey,” “Affinity mapping”).</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Composite Readiness Index (CRI) — a 0–100 score blending ADKAR (50%), Kübler-Ross sentiment (25%) and training completion (25%); recalculated at least monthly.</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Divergence Pattern — strong ADKAR Knowledge/Ability scores paired with a Bridges reading still at “Ending”; a boolean alert, not a blended score.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Two-Clock Problem — the organizational/delivery clock (Lewin) and the emotional clock (Bridges, Kübler-Ross) moving at different speeds, most visible at go-live.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Barrier Reason — a mandatory written note explaining any ADKAR block scored 2 or below; required for the score to be actionable.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SIPOC — Suppliers – Inputs – Process – Outputs – Customers; defines what happens in a process and who touches it. Used at both Task level (the Process column lists all Steps) and Step level (the Process column names that one technique).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RACSI — Responsible – Accountable – Consulted – Support – Informed; defines who does what at each Task. More than one role may be Responsible; exactly one role is Accountable.</w:t>
      </w:r>
    </w:p>
    <w:p>
      <w:pPr>
        <w:pStyle w:val="ListParagraph"/>
        <w:numPr>
          <w:ilvl w:val="0"/>
          <w:numId w:val="1"/>
        </w:numPr>
        <w:spacing w:after="80" w:line="264"/>
      </w:pPr>
      <w:r>
        <w:rPr>
          <w:rFonts w:ascii="Times New Roman" w:cs="Times New Roman" w:eastAsia="Times New Roman" w:hAnsi="Times New Roman"/>
          <w:color w:val="58595B"/>
          <w:sz w:val="22"/>
          <w:szCs w:val="22"/>
        </w:rPr>
        <w:t xml:space="preserve">Cohort — a defined group of end users (by role, site or department) tracked separately in Module 5 so readiness can be disaggregated rather than blended.</w:t>
      </w:r>
    </w:p>
    <w:p>
      <w:pPr>
        <w:pStyle w:val="Heading2"/>
        <w:spacing w:after="150" w:before="300"/>
      </w:pPr>
      <w:r>
        <w:rPr>
          <w:rFonts w:ascii="Times New Roman" w:cs="Times New Roman" w:eastAsia="Times New Roman" w:hAnsi="Times New Roman"/>
          <w:b/>
          <w:bCs/>
          <w:color w:val="3A3A3C"/>
          <w:sz w:val="27"/>
          <w:szCs w:val="27"/>
        </w:rPr>
        <w:t xml:space="preserve">A.9 Technique Reference</w:t>
      </w:r>
    </w:p>
    <w:p>
      <w:pPr>
        <w:spacing w:after="160" w:line="276"/>
        <w:jc w:val="both"/>
      </w:pPr>
      <w:r>
        <w:rPr>
          <w:rFonts w:ascii="Times New Roman" w:cs="Times New Roman" w:eastAsia="Times New Roman" w:hAnsi="Times New Roman"/>
          <w:b w:val="false"/>
          <w:bCs w:val="false"/>
          <w:i w:val="false"/>
          <w:iCs w:val="false"/>
          <w:color w:val="58595B"/>
          <w:sz w:val="24"/>
          <w:szCs w:val="24"/>
        </w:rPr>
        <w:t xml:space="preserve">Every technique named in Sections 6 and 9 is explained below in general terms — what it is and when it is useful — independent of the specific step it supports in this guide. Near-identical variants (for example, the several pulse-survey re-issues used across the program) are consolidated into a single entry.</w:t>
      </w:r>
    </w:p>
    <w:tbl>
      <w:tblPr>
        <w:tblW w:type="dxa" w:w="9350"/>
        <w:tblBorders>
          <w:top w:val="single" w:color="E3E3E4" w:sz="2"/>
          <w:left w:val="single" w:color="E3E3E4" w:sz="2"/>
          <w:bottom w:val="single" w:color="E3E3E4" w:sz="2"/>
          <w:right w:val="single" w:color="E3E3E4" w:sz="2"/>
          <w:insideH w:val="single" w:color="E3E3E4" w:sz="2"/>
          <w:insideV w:val="single" w:color="E3E3E4" w:sz="2"/>
        </w:tblBorders>
      </w:tblPr>
      <w:tblGrid>
        <w:gridCol w:w="2431"/>
        <w:gridCol w:w="6919"/>
      </w:tblGrid>
      <w:tr>
        <w:trPr>
          <w:tblHeader/>
        </w:trPr>
        <w:tc>
          <w:tcPr>
            <w:tcW w:type="dxa" w:w="2431"/>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Technique</w:t>
            </w:r>
          </w:p>
        </w:tc>
        <w:tc>
          <w:tcPr>
            <w:tcW w:type="dxa" w:w="6919"/>
            <w:shd w:fill="F8931D"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Explanation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Access-revocation checklist</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procedure to remove or downgrade access to a system being retired, for all but a small audit or support group.</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Adoption dashboard</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visual display of usage and quality metrics — transaction volume, error rate, ticket volume — plotted against a pre-change baseline to make trends checkable at a glance.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Affinity mapping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clustering technique where individual notes or comments are grouped into a small number of named themes on a shared board, surfacing patterns that are invisible when reading each note in isolation.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Affinity Mapping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clustering technique where individual notes or comments are grouped into a small number of named themes on a shared board, surfacing patterns that are invisible when reading each note in isolation.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Alert triage</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Reviewing an automated alert against independent human observation before acting on it, since an automated rule can indicate a pattern is possible without confirming it is real for a specific case.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Automated integration testing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Scripted, repeatable test cases that validate an interface's behavior automatically, covering the expected path and the most likely failure modes.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Barrier-reason logging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mandatory, specific, written explanation required whenever a tracked score falls below an actionable threshold, turning a low number into something a reviewer can actually act 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Benchmarking review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Comparing current scores against a published reference band to judge whether a cohort or program is on track relative to an established standard.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Blended-learning course design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Structuring training as a sequence of short self-paced content followed immediately by live or hands-on practice, rather than a single long-format session.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Budget / staffing extension review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Confirming that resourcing for a time-bound activity remains at planned levels for as long as the activity's actual completion criteria require, rather than a fixed calendar date.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Champion kickoff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An onboarding session for a newly formed peer-champion network, covering their role, cadence and escalation path so they function as an active network from day one.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Charter workshop</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session that formally reconfirms a group's mandate, membership and specific accountabilities, used to reactivate a network that has gone quiet.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Coaching-plan template</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fill-in document that turns a general coaching responsibility into a concrete, named list of at-risk individuals and specific process steps to watch.</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segmentation analysis</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Rebuilding an aggregate metric as a set of views filtered by defined subgroup (site, department, role) so within-population variation becomes visible.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Cohort trend comparison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Plotting a cohort's tracked metrics over time against a reference call or benchmark, used to check whether a decision made earlier is still supported by the latest evidence.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Communications planning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Mapping out messages, audiences, channels and senders across a timeline so that communication is sequenced deliberately rather than improvised reactively.</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Comparative root-cause interview</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Interviewing two contrasting groups using an identical question guide, so differences in their answers can be attributed to the groups themselves rather than to the questions asked.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Configuration peer review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second qualified person examines every completed configuration change against agreed standards before it is marked complete, catching drift early and cheaply.</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Correlation check</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Comparing the timing of two events (such as a metric regression and a logged incident) to test whether one plausibly explains the other before concluding they are related.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Cost-of-inaction workshop</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facilitated session that converts qualitative pain points into a quantified, annualized business-case figure that leadership can act on.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Daily stand-up triage</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brief, recurring cross-functional meeting to review new issues and emerging patterns while they are still small and easy to address.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Dashboard publication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Making a metric or trend visible on a shared, regularly updated display for a defined audience, rather than communicating it only verbally or on request.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 profiling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Systematic examination of a data set — null rates, duplicates, out-of-range values, format inconsistencies — to establish its quality before it is used, mapped or migrated.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Data-freeze checklist</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coordinated procedure to lock write access to a source system at an agreed time, confirmed with every system owner in writing, so a migration runs against stable data.</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Decision log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running, dated record of every non-obvious decision and its rationale, so the reasoning behind a choice remains available long after the meeting where it was made.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Decision-rights clarification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Explicitly documenting which decisions belong to which role or process, preventing one decision (such as a delivery milestone) from being mistaken for authority over a separate decision.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remediation sprint</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focused work period dedicated to closing or formally accepting outstanding defects before a phase gate, rather than letting them carry forward indefinitely.</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Defect triage</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Reviewing newly logged defects promptly to assign severity and ownership, preventing a growing backlog of unprioritized issues.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Design-principles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facilitated session to agree a short list of non-negotiable rules that every later configuration or process decision must satisfy, reducing the need to relitigate the same debate repeatedly.</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Direct sponsor communication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message delivered personally and live by the Executive Sponsor rather than through a written channel or a delegate, used when the credibility of the messenger matters as much as the message.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Divergence Pattern review</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Running journi's automated rule — strong Knowledge/Ability paired with a Bridges reading still at Ending — against current scores to flag compliance-without-commitment cases.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Elevated help-desk staffing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Temporarily increasing support-desk capacity above standard levels to absorb a predictable, short-term spike in demand.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ETL scripting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Building repeatable Extract-Transform-Load flows that pull data from a source system, reshape it to a target model, and load it — documented so the flow can be re-run and audited.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gate review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Holding a planned decision or milestone open until defined evidence criteria are met, rather than letting it proceed automatically on a calendar date.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phase-call review</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disciplined review of two or more consecutive data points, rather than a single reading, before committing to a formal framework phase call.</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Evidence-based review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decision-making step that requires reviewing current data before finalizing or reversing an earlier call, rather than letting the earlier call stand by default.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phase-call review</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discussion, run against a defined signal catalogue, where the Change Manager and Sponsor jointly select a framework phase value from evidence rather than assumption.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UAT session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An observed session where a real end user attempts real-world tasks in the new system, paired with an observer who notes friction and defects as they occur.</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Facilitated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timeboxed group session led by a neutral facilitator to extract shared understanding — a process map, a set of principles, a decision — directly from the people who do the work.</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FAQ update</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Adding new, situation-specific content to an existing knowledge base to address the questions a particular moment (such as go-live week) is most likely to generate.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Final migration run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production execution of a previously rehearsed data-migration sequence, monitored in real time by a technical lead.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Focus group</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small, facilitated group discussion in a psychologically safe setting, used to validate a hypothesis (such as a suspected root cause) directly with the people affected by it.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 go/no-go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decision-making session where a Sponsor and stakeholders review evidence and record an explicit go, no-go, or conditional-go decision, rather than allowing a decision to happen by default.</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Formal sign-off</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Obtaining and filing an explicit, written confirmation from an accountable role, creating a durable record of when and why a decision was made.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Future-state process mapping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Diagramming the target-state workflow step by step, validated against real operating constraints, to serve as the reference every later configuration decision is checked against.</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Go-live announcement</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fast communication confirming a system is live and stating where to get help, prioritizing speed and clarity over polish.</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Handover documentation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single, organized package that gives a receiving owner everything needed to sustain a process or mechanism after the originating team steps back.</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HR policy integration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Confirming, directly with the owning HR function, that an agreed metric or practice is genuinely built into a formal process, not merely documented.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 communication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prompt, honest status update sent to an affected audience about a known issue, closing an information gap before it gets filled with speculation.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Incident-linkage check</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Systematically checking whether a change in a tracked score can be explained by a specific, known incident before treating it as a broader trend.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Initiative registration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The administrative act of creating a formal project record — scope, sponsor, timeline — in a system of record, making later tracking and reporting possible.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Instructor-led session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live training session with a trainer present to demonstrate, guide practice and answer unscripted questions in real time.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Integration design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working session with the owning technical teams on both sides of a system interface to agree the contract — format, frequency, error handling — before any code is written.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Iterative configuration sprints</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Building a system in short, fixed-length increments (commonly 1–2 weeks) with a review at the end of each, rather than one long, unreviewed build phase.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Job-aid authoring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Producing concise, task-specific reference material — typically one page — covering the small number of transactions a role performs most often.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KPI-integration workshop</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collaborative session with HR or another owning function to select metrics that are fair, measurable and genuinely tied to the behavior being reinforced.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Legacy archival</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Taking a final, verified snapshot of a system's data before it is decommissioned, preserving it for audit and historical-reporting purposes.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Lessons-learned retrospective</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facilitated session where a team reviews what worked and what didn't while the experience is still fresh, documenting it for reuse on the next initiative.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LMS completion tracking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Monitoring the percentage of assigned training content completed by cohort within a learning management system, used as a leading indicator of readiness.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Manager check-in cadence tracking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Sampling calendars or records to confirm that scheduled check-ins are genuinely occurring, rather than assuming a plan is being followed.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Mock-run rehearsal</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full, timed rehearsal of an operational sequence (such as a data migration or cutover) against realistic conditions, run before the real event to surface timing and sequencing issues.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Nomination survey</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survey asking supervisors or peers to nominate individuals for a role (such as a change champion) based on defined criteria, rather than the role being assigned top-down.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On-the-job coaching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brief, targeted coaching interaction delivered at the point of work, focused on one specific skill or step rather than a broader retraining.</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Outlier analysis</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Ranking a set of measured entities against a common metric to identify which are furthest from the average, focusing investigation on genuine extremes.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Participant briefing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orientation session that sets expectations, logistics and definitions for participants before an activity begins, so their contributions are usable rather than inconsistent.</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Phase-call annotation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Adding a visible qualifier (such as “provisional”) and rationale to a recorded phase value so that its evidentiary status is clear to everyone who later reads it.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Policy documentation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Writing a clear, unambiguous definition of a rule or metric so that different people applying it will interpret and apply it consistently.</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Practice-transfer workshop</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working session where a high-performing individual or group demonstrates a specific practice live to a group that has not yet adopted it.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Pulse Survey</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repeatable questionnaire issued to a population or cohort to capture ADKAR, Bridges or Kübler-Ross self-placement at a point in time. Using the identical instrument across waves is what makes wave-over-wave comparison valid; variants in this guide re-score a subset (a cohort, a single ADKAR block, or a single framework item) rather than the full population.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Readiness scorecard review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Compiling multiple readiness indicators for a cohort into a single comparable scorecard, checked against a common benchmarking band.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Reconciliation checklist</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comparison of record counts, control totals and sampled individual records between a source and a target, used to confirm a data movement was accurate and complete.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Recurring dashboard reporting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Establishing a metric or view as a standing, recurring part of a reporting cadence rather than a one-time analysis.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Reinforcement audit checklist</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review that checks planned reinforcement mechanisms for evidence they are actually operating, not just documented in a plan.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Ritual / closure facilitation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deliberate act — symbolic or practical — that explicitly acknowledges an ending, addressing the unmet need for closure that can otherwise prolong a transition.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 analysis (5 Whys)</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Repeatedly asking “why” in response to a stated concern to work back from a surface symptom to its underlying cause, typically five iterations or fewer.</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Root-cause-to-response mapping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Deliberately matching a specific, checkable response to a validated root cause, rather than defaulting to a general reassurance that does not address the actual concern.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Runbook execution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Working through a detailed, sequenced set of technical steps with a second person confirming each step's completion before the next begins.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Sandbox provisioning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Standing up a non-production environment loaded with representative data so people can practice without any risk to real operations.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Scripted test execution</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Running a predefined, ordered set of test cases against a system and logging pass/fail against each acceptance criterion, producing a traceable record of what was verified.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Self-serve FAQ / knowledge base</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searchable, continuously updated repository of common questions and answers that lets people find information without waiting on a person, reducing repeat questions and rumor.</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Sentiment / text analytics</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Automated or semi-automated analysis of free-text responses — keyword extraction, theme clustering — to surface recurring concerns that a numeric score alone would miss.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Service-level handover</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formal transfer of ownership of an ongoing responsibility (such as a support queue) from a temporary elevated team back to the standing team.</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Severity-based defect triage</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Re-ordering a defect queue by business impact each review cycle, so high-severity issues are addressed regardless of when they were originally logged.</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Shift-based support roster</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published schedule assigning named coverage, including backups, across every shift of a defined support period.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Show-and-tell demo</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informal walkthrough of current work-in-progress for stakeholders, designed to surface misunderstandings while they are still cheap to fix.</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Sign-off checklist</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concise, structured document that a named accountable role signs to formally confirm a set of conditions has been met before the next phase begins.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Skills checklist / practical assessment</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hands-on evaluation, scored against a fixed rubric, that verifies someone can actually perform a task under near-real conditions — not just describe how to do it.</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Smoke testing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set of high-priority transactions run end to end immediately after a system change, to catch a production-only failure before wider use begins.</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Sponsor re-engagement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session to re-secure a Sponsor's active attention and authority for a activity that has continued past its originally planned end date.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Steering readout</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concise, evidence-based presentation to a governance body that states findings and a clear recommendation, rather than an open-ended status update.</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Stratified sampling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Selecting participants proportionally across defined subgroups (role, site, tenure) so that no single subgroup dominates a sample meant to represent the whole population.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Structured interview</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one-to-one conversation run against a fixed question guide, recorded and coded afterward, used to surface individual perspectives that don't reliably emerge in a group setting.</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Supervisor workshop</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session that prepares frontline supervisors for a specific responsibility — such as real-time coaching — through explanation, example and practice.</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Taper-readiness checklist</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structured check confirming that key metrics have held at target for a defined period before support levels are stepped down.</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1:1</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focused one-to-one conversation aimed at a specific, narrow question (such as confirming a flagged pattern), rather than a general check-in.</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Targeted in-context coaching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one-on-one coaching session delivered at the person's own workstation, focused narrowly on the specific step that caused difficulty.</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Team huddle</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short, standing gathering where a leader addresses the team directly and names a situation openly, typically followed by a concrete next step.</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Threshold-triggered flagging</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Confirming that an automated rule which fires when a score crosses a defined threshold has actually been reviewed by a person, not silently dismissed.</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Ticket-tagging taxonomy</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consistent tagging scheme applied to support tickets (for example, by process step) so that recurring patterns become visible in aggregate rather than hidden across individual tickets.</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Trend analysis</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Comparing the same measurement across two or more points in time to identify direction and rate of change, rather than relying on a single snapshot.</w:t>
            </w:r>
          </w:p>
        </w:tc>
      </w:tr>
      <w:tr>
        <w:tc>
          <w:tcPr>
            <w:tcW w:type="dxa" w:w="2431"/>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Usability friction log</w:t>
            </w:r>
          </w:p>
        </w:tc>
        <w:tc>
          <w:tcPr>
            <w:tcW w:type="dxa" w:w="6919"/>
            <w:shd w:fill="FFFFFF"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A classification system that tags every reported issue as a defect, a usability problem, or a training gap, so each is routed to the team that can actually fix it.</w:t>
            </w:r>
          </w:p>
        </w:tc>
      </w:tr>
      <w:tr>
        <w:tc>
          <w:tcPr>
            <w:tcW w:type="dxa" w:w="2431"/>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Weighted index calculation</w:t>
            </w:r>
          </w:p>
        </w:tc>
        <w:tc>
          <w:tcPr>
            <w:tcW w:type="dxa" w:w="6919"/>
            <w:shd w:fill="F2F2F3" w:color="auto"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58595B"/>
                <w:sz w:val="19"/>
                <w:szCs w:val="19"/>
              </w:rPr>
              <w:t xml:space="preserve">Combining multiple underlying scores into a single blended metric using fixed, published weights, so the composite number is transparent and reproducible.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184"/>
        <w:sz w:val="16"/>
        <w:szCs w:val="16"/>
      </w:rPr>
      <w:t xml:space="preserve">Page </w:t>
    </w:r>
    <w:r>
      <w:rPr>
        <w:rFonts w:ascii="Times New Roman" w:cs="Times New Roman" w:eastAsia="Times New Roman" w:hAnsi="Times New Roman"/>
        <w:color w:val="808184"/>
        <w:sz w:val="16"/>
        <w:szCs w:val="16"/>
      </w:rPr>
      <w:fldChar w:fldCharType="begin"/>
      <w:instrText xml:space="preserve">PAGE</w:instrText>
      <w:fldChar w:fldCharType="separate"/>
      <w:fldChar w:fldCharType="end"/>
    </w:r>
    <w:r>
      <w:rPr>
        <w:rFonts w:ascii="Times New Roman" w:cs="Times New Roman" w:eastAsia="Times New Roman" w:hAnsi="Times New Roman"/>
        <w:color w:val="808184"/>
        <w:sz w:val="16"/>
        <w:szCs w:val="16"/>
      </w:rPr>
      <w:t xml:space="preserve"> of </w:t>
    </w:r>
    <w:r>
      <w:rPr>
        <w:rFonts w:ascii="Times New Roman" w:cs="Times New Roman" w:eastAsia="Times New Roman" w:hAnsi="Times New Roman"/>
        <w:color w:val="8081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3E4" w:sz="4" w:space="4"/>
      </w:pBdr>
      <w:tabs>
        <w:tab w:val="right" w:pos="9026"/>
      </w:tabs>
    </w:pPr>
    <w:r>
      <w:rPr>
        <w:rFonts w:ascii="Times New Roman" w:cs="Times New Roman" w:eastAsia="Times New Roman" w:hAnsi="Times New Roman"/>
        <w:color w:val="808184"/>
        <w:sz w:val="16"/>
        <w:szCs w:val="16"/>
      </w:rPr>
      <w:t xml:space="preserve">POWERACT Consulting · journi User Guide</w:t>
    </w:r>
    <w:r>
      <w:rPr>
        <w:sz w:val="16"/>
        <w:szCs w:val="16"/>
      </w:rPr>
      <w:t xml:space="preserve">	</w:t>
    </w:r>
    <w:r>
      <w:rPr>
        <w:rFonts w:ascii="Times New Roman" w:cs="Times New Roman" w:eastAsia="Times New Roman" w:hAnsi="Times New Roman"/>
        <w:color w:val="80818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58595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98ae9ebb1d7b7abf70ead1bb867ea3c97252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an ERP Implementation on journi — A Practical User Guide</dc:title>
  <dc:creator>POWERACT Consulting</dc:creator>
  <cp:lastModifiedBy>Un-named</cp:lastModifiedBy>
  <cp:revision>1</cp:revision>
  <dcterms:created xsi:type="dcterms:W3CDTF">2026-08-15T09:44:43.811Z</dcterms:created>
  <dcterms:modified xsi:type="dcterms:W3CDTF">2026-08-15T09:44:43.811Z</dcterms:modified>
</cp:coreProperties>
</file>

<file path=docProps/custom.xml><?xml version="1.0" encoding="utf-8"?>
<Properties xmlns="http://schemas.openxmlformats.org/officeDocument/2006/custom-properties" xmlns:vt="http://schemas.openxmlformats.org/officeDocument/2006/docPropsVTypes"/>
</file>