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ADMINISTRATION GUIDE</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Configure, govern and operate the platform</w:t>
      </w:r>
    </w:p>
    <w:p>
      <w:pPr>
        <w:pStyle w:val="Normal"/>
        <w:spacing w:before="0" w:after="60"/>
        <w:jc w:val="center"/>
        <w:rPr/>
      </w:pPr>
      <w:r>
        <w:rPr>
          <w:rFonts w:eastAsia="Open Sans" w:cs="Open Sans"/>
          <w:color w:val="5A6B7B"/>
          <w:sz w:val="20"/>
          <w:szCs w:val="20"/>
        </w:rPr>
        <w:t>Version 1.10.0 · 2026-10-12</w:t>
      </w:r>
    </w:p>
    <w:p>
      <w:pPr>
        <w:pStyle w:val="Normal"/>
        <w:spacing w:before="0" w:after="60"/>
        <w:jc w:val="center"/>
        <w:rPr/>
      </w:pPr>
      <w:r>
        <w:rPr>
          <w:rFonts w:eastAsia="Open Sans" w:cs="Open Sans"/>
          <w:color w:val="5A6B7B"/>
          <w:sz w:val="20"/>
          <w:szCs w:val="20"/>
        </w:rPr>
        <w:t>Prepared by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499_3373283034">
            <w:r>
              <w:rPr>
                <w:rStyle w:val="IndexLink"/>
              </w:rPr>
              <w:t>1. About this guide</w:t>
              <w:tab/>
              <w:t>3</w:t>
            </w:r>
          </w:hyperlink>
        </w:p>
        <w:p>
          <w:pPr>
            <w:pStyle w:val="TOC1"/>
            <w:tabs>
              <w:tab w:val="clear" w:pos="720"/>
              <w:tab w:val="right" w:pos="9637" w:leader="dot"/>
            </w:tabs>
            <w:rPr/>
          </w:pPr>
          <w:hyperlink w:anchor="__RefHeading___Toc501_3373283034">
            <w:r>
              <w:rPr>
                <w:rStyle w:val="IndexLink"/>
              </w:rPr>
              <w:t>2. Organizations, users and access</w:t>
              <w:tab/>
              <w:t>4</w:t>
            </w:r>
          </w:hyperlink>
        </w:p>
        <w:p>
          <w:pPr>
            <w:pStyle w:val="TOC1"/>
            <w:tabs>
              <w:tab w:val="clear" w:pos="720"/>
              <w:tab w:val="right" w:pos="9637" w:leader="dot"/>
            </w:tabs>
            <w:rPr/>
          </w:pPr>
          <w:hyperlink w:anchor="__RefHeading___Toc503_3373283034">
            <w:r>
              <w:rPr>
                <w:rStyle w:val="IndexLink"/>
              </w:rPr>
              <w:t>3. Configuration</w:t>
              <w:tab/>
              <w:t>8</w:t>
            </w:r>
          </w:hyperlink>
        </w:p>
        <w:p>
          <w:pPr>
            <w:pStyle w:val="TOC1"/>
            <w:tabs>
              <w:tab w:val="clear" w:pos="720"/>
              <w:tab w:val="right" w:pos="9637" w:leader="dot"/>
            </w:tabs>
            <w:rPr/>
          </w:pPr>
          <w:hyperlink w:anchor="__RefHeading___Toc505_3373283034">
            <w:r>
              <w:rPr>
                <w:rStyle w:val="IndexLink"/>
              </w:rPr>
              <w:t>4. Process design</w:t>
              <w:tab/>
              <w:t>10</w:t>
            </w:r>
          </w:hyperlink>
        </w:p>
        <w:p>
          <w:pPr>
            <w:pStyle w:val="TOC1"/>
            <w:tabs>
              <w:tab w:val="clear" w:pos="720"/>
              <w:tab w:val="right" w:pos="9637" w:leader="dot"/>
            </w:tabs>
            <w:rPr/>
          </w:pPr>
          <w:hyperlink w:anchor="__RefHeading___Toc507_3373283034">
            <w:r>
              <w:rPr>
                <w:rStyle w:val="IndexLink"/>
              </w:rPr>
              <w:t>5. Organization (OBS) and RACSI</w:t>
              <w:tab/>
              <w:t>12</w:t>
            </w:r>
          </w:hyperlink>
        </w:p>
        <w:p>
          <w:pPr>
            <w:pStyle w:val="TOC1"/>
            <w:tabs>
              <w:tab w:val="clear" w:pos="720"/>
              <w:tab w:val="right" w:pos="9637" w:leader="dot"/>
            </w:tabs>
            <w:rPr/>
          </w:pPr>
          <w:hyperlink w:anchor="__RefHeading___Toc509_3373283034">
            <w:r>
              <w:rPr>
                <w:rStyle w:val="IndexLink"/>
              </w:rPr>
              <w:t>6. Project templates and blueprints</w:t>
              <w:tab/>
              <w:t>14</w:t>
            </w:r>
          </w:hyperlink>
        </w:p>
        <w:p>
          <w:pPr>
            <w:pStyle w:val="TOC1"/>
            <w:tabs>
              <w:tab w:val="clear" w:pos="720"/>
              <w:tab w:val="right" w:pos="9637" w:leader="dot"/>
            </w:tabs>
            <w:rPr/>
          </w:pPr>
          <w:hyperlink w:anchor="__RefHeading___Toc511_3373283034">
            <w:r>
              <w:rPr>
                <w:rStyle w:val="IndexLink"/>
              </w:rPr>
              <w:t>7. Artificial intelligence</w:t>
              <w:tab/>
              <w:t>15</w:t>
            </w:r>
          </w:hyperlink>
        </w:p>
        <w:p>
          <w:pPr>
            <w:pStyle w:val="TOC1"/>
            <w:tabs>
              <w:tab w:val="clear" w:pos="720"/>
              <w:tab w:val="right" w:pos="9637" w:leader="dot"/>
            </w:tabs>
            <w:rPr/>
          </w:pPr>
          <w:hyperlink w:anchor="__RefHeading___Toc513_3373283034">
            <w:r>
              <w:rPr>
                <w:rStyle w:val="IndexLink"/>
              </w:rPr>
              <w:t>8. Documented information</w:t>
              <w:tab/>
              <w:t>17</w:t>
            </w:r>
          </w:hyperlink>
        </w:p>
        <w:p>
          <w:pPr>
            <w:pStyle w:val="TOC1"/>
            <w:tabs>
              <w:tab w:val="clear" w:pos="720"/>
              <w:tab w:val="right" w:pos="9637" w:leader="dot"/>
            </w:tabs>
            <w:rPr/>
          </w:pPr>
          <w:hyperlink w:anchor="__RefHeading___Toc515_3373283034">
            <w:r>
              <w:rPr>
                <w:rStyle w:val="IndexLink"/>
              </w:rPr>
              <w:t>9. Audits</w:t>
              <w:tab/>
              <w:t>19</w:t>
            </w:r>
          </w:hyperlink>
        </w:p>
        <w:p>
          <w:pPr>
            <w:pStyle w:val="TOC1"/>
            <w:tabs>
              <w:tab w:val="clear" w:pos="720"/>
              <w:tab w:val="right" w:pos="9637" w:leader="dot"/>
            </w:tabs>
            <w:rPr/>
          </w:pPr>
          <w:hyperlink w:anchor="__RefHeading___Toc517_3373283034">
            <w:r>
              <w:rPr>
                <w:rStyle w:val="IndexLink"/>
              </w:rPr>
              <w:t>10. Data protection and operations</w:t>
              <w:tab/>
              <w:t>20</w:t>
            </w:r>
          </w:hyperlink>
        </w:p>
        <w:p>
          <w:pPr>
            <w:pStyle w:val="TOC2"/>
            <w:tabs>
              <w:tab w:val="clear" w:pos="720"/>
              <w:tab w:val="right" w:pos="9637" w:leader="dot"/>
            </w:tabs>
            <w:rPr/>
          </w:pPr>
          <w:hyperlink w:anchor="__RefHeading___Toc519_3373283034">
            <w:r>
              <w:rPr>
                <w:rStyle w:val="IndexLink"/>
              </w:rPr>
              <w:t>Traceability</w:t>
              <w:tab/>
              <w:t>21</w:t>
            </w:r>
          </w:hyperlink>
        </w:p>
        <w:p>
          <w:pPr>
            <w:pStyle w:val="TOC1"/>
            <w:tabs>
              <w:tab w:val="clear" w:pos="720"/>
              <w:tab w:val="right" w:pos="9637" w:leader="dot"/>
            </w:tabs>
            <w:rPr/>
          </w:pPr>
          <w:hyperlink w:anchor="__RefHeading___Toc521_3373283034">
            <w:r>
              <w:rPr>
                <w:rStyle w:val="IndexLink"/>
              </w:rPr>
              <w:t>11. Production deployment</w:t>
              <w:tab/>
              <w:t>23</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499_3373283034"/>
      <w:bookmarkEnd w:id="0"/>
      <w:r>
        <w:rPr>
          <w:rFonts w:eastAsia="Montserrat" w:cs="Montserrat"/>
          <w:b/>
          <w:bCs/>
          <w:color w:val="123A5F"/>
          <w:sz w:val="40"/>
          <w:szCs w:val="40"/>
        </w:rPr>
        <w:t>1. About this guide</w:t>
      </w:r>
    </w:p>
    <w:p>
      <w:pPr>
        <w:pStyle w:val="Normal"/>
        <w:spacing w:lineRule="auto" w:line="288" w:before="0" w:after="160"/>
        <w:jc w:val="left"/>
        <w:rPr/>
      </w:pPr>
      <w:r>
        <w:rPr>
          <w:rFonts w:eastAsia="Open Sans" w:cs="Open Sans"/>
          <w:color w:val="2C3E50"/>
          <w:sz w:val="22"/>
          <w:szCs w:val="22"/>
        </w:rPr>
        <w:t>This guide is for the people who configure and run CortexSkills: the platform administrator, who manages every organization, and the organization administrator, who manages one organization. Every procedure is written as a step followed directly by what to type.</w:t>
      </w:r>
    </w:p>
    <w:tbl>
      <w:tblPr>
        <w:tblW w:w="9638" w:type="dxa"/>
        <w:jc w:val="left"/>
        <w:tblInd w:w="0" w:type="dxa"/>
        <w:tblLayout w:type="fixed"/>
        <w:tblCellMar>
          <w:top w:w="70" w:type="dxa"/>
          <w:left w:w="110" w:type="dxa"/>
          <w:bottom w:w="70" w:type="dxa"/>
          <w:right w:w="110" w:type="dxa"/>
        </w:tblCellMar>
      </w:tblPr>
      <w:tblGrid>
        <w:gridCol w:w="2571"/>
        <w:gridCol w:w="4251"/>
        <w:gridCol w:w="2816"/>
      </w:tblGrid>
      <w:tr>
        <w:trPr>
          <w:tblHeader w:val="true"/>
          <w:cantSplit w:val="true"/>
        </w:trPr>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Account</w:t>
            </w:r>
          </w:p>
        </w:tc>
        <w:tc>
          <w:tcPr>
            <w:tcW w:w="42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Scope</w:t>
            </w:r>
          </w:p>
        </w:tc>
        <w:tc>
          <w:tcPr>
            <w:tcW w:w="28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 in</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Platform administrator</w:t>
            </w:r>
          </w:p>
        </w:tc>
        <w:tc>
          <w:tcPr>
            <w:tcW w:w="4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All groups and organizations, licences, reference process design</w:t>
            </w:r>
          </w:p>
        </w:tc>
        <w:tc>
          <w:tcPr>
            <w:tcW w:w="2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admin@cortexskills.app · Admin#2026</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Organization administrator</w:t>
            </w:r>
          </w:p>
        </w:tc>
        <w:tc>
          <w:tcPr>
            <w:tcW w:w="42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One organization: users, configuration, design copy, OBS, AI, documents</w:t>
            </w:r>
          </w:p>
        </w:tc>
        <w:tc>
          <w:tcPr>
            <w:tcW w:w="2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admin@maghrebhospitalsgr.ma · CortexSkills#2026</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 of L&amp;D</w:t>
            </w:r>
          </w:p>
        </w:tc>
        <w:tc>
          <w:tcPr>
            <w:tcW w:w="42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Runs, templates, documents; approves with the HR Director</w:t>
            </w:r>
          </w:p>
        </w:tc>
        <w:tc>
          <w:tcPr>
            <w:tcW w:w="28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headld@maghrebhospitalsgr.ma · CortexSkills#2026</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 Director</w:t>
            </w:r>
          </w:p>
        </w:tc>
        <w:tc>
          <w:tcPr>
            <w:tcW w:w="42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Second approver: releases, documents, gates</w:t>
            </w:r>
          </w:p>
        </w:tc>
        <w:tc>
          <w:tcPr>
            <w:tcW w:w="28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hrd@maghrebhospitalsgr.ma · CortexSkills#2026</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Two-person rule</w:t>
            </w:r>
          </w:p>
          <w:p>
            <w:pPr>
              <w:pStyle w:val="Normal"/>
              <w:spacing w:lineRule="auto" w:line="288" w:before="0" w:after="60"/>
              <w:jc w:val="left"/>
              <w:rPr/>
            </w:pPr>
            <w:r>
              <w:rPr>
                <w:rFonts w:eastAsia="Open Sans" w:cs="Open Sans"/>
                <w:color w:val="2C3E50"/>
                <w:sz w:val="21"/>
                <w:szCs w:val="21"/>
              </w:rPr>
              <w:t>A process-design release, a document and a gate decision are published by a person other than the one who submitted them. Plan two administrators per organization.</w:t>
            </w:r>
          </w:p>
        </w:tc>
      </w:tr>
    </w:tbl>
    <w:p>
      <w:pPr>
        <w:pStyle w:val="Heading1"/>
        <w:pBdr>
          <w:bottom w:val="single" w:sz="6" w:space="6" w:color="E1E8F0"/>
        </w:pBdr>
        <w:spacing w:before="0" w:after="240"/>
        <w:rPr/>
      </w:pPr>
      <w:r>
        <w:br w:type="page"/>
      </w:r>
      <w:bookmarkStart w:id="1" w:name="__RefHeading___Toc501_3373283034"/>
      <w:bookmarkEnd w:id="1"/>
      <w:r>
        <w:rPr>
          <w:rFonts w:eastAsia="Montserrat" w:cs="Montserrat"/>
          <w:b/>
          <w:bCs/>
          <w:color w:val="123A5F"/>
          <w:sz w:val="40"/>
          <w:szCs w:val="40"/>
        </w:rPr>
        <w:t>2. Organizations, users and access</w:t>
      </w:r>
    </w:p>
    <w:p>
      <w:pPr>
        <w:pStyle w:val="Normal"/>
        <w:spacing w:lineRule="auto" w:line="288" w:before="0" w:after="160"/>
        <w:jc w:val="left"/>
        <w:rPr/>
      </w:pPr>
      <w:r>
        <w:rPr>
          <w:rFonts w:eastAsia="Open Sans" w:cs="Open Sans"/>
          <w:color w:val="2C3E50"/>
          <w:sz w:val="22"/>
          <w:szCs w:val="22"/>
        </w:rPr>
        <w:t>The demonstration holds 61 organizations: one large company and one SME for each of the 29 verticals, the multi-sector Horizon Services Group used for the sample documents, and two healthcare showcases (Santé Ora private clinic group and the Centre Hospitalier Régional). Each has a licence, a pack and its add-ons.</w:t>
      </w:r>
    </w:p>
    <w:p>
      <w:pPr>
        <w:pStyle w:val="Normal"/>
        <w:keepNext w:val="true"/>
        <w:spacing w:before="160" w:after="60"/>
        <w:rPr/>
      </w:pPr>
      <w:r>
        <w:rPr>
          <w:rFonts w:eastAsia="Open Sans" w:cs="Open Sans"/>
          <w:b/>
          <w:bCs/>
          <w:color w:val="123A5F"/>
          <w:sz w:val="23"/>
          <w:szCs w:val="23"/>
        </w:rPr>
        <w:t>Create an organization (production: server console)</w:t>
      </w:r>
    </w:p>
    <w:p>
      <w:pPr>
        <w:pStyle w:val="ListParagraph"/>
        <w:numPr>
          <w:ilvl w:val="0"/>
          <w:numId w:val="22"/>
        </w:numPr>
        <w:spacing w:lineRule="auto" w:line="288" w:before="0" w:after="80"/>
        <w:rPr/>
      </w:pPr>
      <w:r>
        <w:rPr>
          <w:rFonts w:eastAsia="Open Sans" w:cs="Open Sans"/>
          <w:color w:val="2C3E50"/>
          <w:sz w:val="22"/>
          <w:szCs w:val="22"/>
        </w:rPr>
        <w:t>On the server, open a terminal in the server folder.</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cd /opt/cortexskills/server</w:t>
      </w:r>
    </w:p>
    <w:p>
      <w:pPr>
        <w:pStyle w:val="ListParagraph"/>
        <w:numPr>
          <w:ilvl w:val="0"/>
          <w:numId w:val="1"/>
        </w:numPr>
        <w:spacing w:lineRule="auto" w:line="288" w:before="0" w:after="80"/>
        <w:rPr/>
      </w:pPr>
      <w:r>
        <w:rPr>
          <w:rFonts w:eastAsia="Open Sans" w:cs="Open Sans"/>
          <w:color w:val="2C3E50"/>
          <w:sz w:val="22"/>
          <w:szCs w:val="22"/>
        </w:rPr>
        <w:t>Create the organization, its licence and its first administrator in one command.</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npm run -s admin -- org-create --name "Atlas Cold Chain" --domain atlascoldchain.ma --segment SME --sector LOGI --pack SME-CMP --seats 25 --days 365 --lang fr --admin-email dsi@atlascoldchain.ma --admin-name "Youssef Amrani" --admin-password "Atlas#Cold2026x"</w:t>
      </w:r>
    </w:p>
    <w:p>
      <w:pPr>
        <w:pStyle w:val="ListParagraph"/>
        <w:numPr>
          <w:ilvl w:val="0"/>
          <w:numId w:val="1"/>
        </w:numPr>
        <w:spacing w:lineRule="auto" w:line="288" w:before="0" w:after="80"/>
        <w:rPr/>
      </w:pPr>
      <w:r>
        <w:rPr>
          <w:rFonts w:eastAsia="Open Sans" w:cs="Open Sans"/>
          <w:color w:val="2C3E50"/>
          <w:sz w:val="22"/>
          <w:szCs w:val="22"/>
        </w:rPr>
        <w:t>Note the Organization ID printed by the console. In OnPrem mode, send it to the vendor to receive the signed licence (licence-request, then licence-install). The Installation Guides describe each mode.</w:t>
      </w:r>
    </w:p>
    <w:p>
      <w:pPr>
        <w:pStyle w:val="Normal"/>
        <w:keepNext w:val="true"/>
        <w:spacing w:before="160" w:after="60"/>
        <w:rPr/>
      </w:pPr>
      <w:r>
        <w:rPr>
          <w:rFonts w:eastAsia="Open Sans" w:cs="Open Sans"/>
          <w:b/>
          <w:bCs/>
          <w:color w:val="123A5F"/>
          <w:sz w:val="23"/>
          <w:szCs w:val="23"/>
        </w:rPr>
        <w:t>Create an organization (platform administrator, through the API)</w:t>
      </w:r>
    </w:p>
    <w:p>
      <w:pPr>
        <w:pStyle w:val="ListParagraph"/>
        <w:numPr>
          <w:ilvl w:val="0"/>
          <w:numId w:val="23"/>
        </w:numPr>
        <w:spacing w:lineRule="auto" w:line="288" w:before="0" w:after="80"/>
        <w:rPr/>
      </w:pPr>
      <w:r>
        <w:rPr>
          <w:rFonts w:eastAsia="Open Sans" w:cs="Open Sans"/>
          <w:color w:val="2C3E50"/>
          <w:sz w:val="22"/>
          <w:szCs w:val="22"/>
        </w:rPr>
        <w:t>Sign in with the API as the platform administrator.</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POST /api/auth/login  {"email":"admin@cortexskills.app","password":"Admin#2026"}</w:t>
      </w:r>
    </w:p>
    <w:p>
      <w:pPr>
        <w:pStyle w:val="ListParagraph"/>
        <w:numPr>
          <w:ilvl w:val="0"/>
          <w:numId w:val="2"/>
        </w:numPr>
        <w:spacing w:lineRule="auto" w:line="288" w:before="0" w:after="80"/>
        <w:rPr/>
      </w:pPr>
      <w:r>
        <w:rPr>
          <w:rFonts w:eastAsia="Open Sans" w:cs="Open Sans"/>
          <w:color w:val="2C3E50"/>
          <w:sz w:val="22"/>
          <w:szCs w:val="22"/>
        </w:rPr>
        <w:t>Create the organization with the token received.</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POST /api/organizations  {"name":{"en":"Atlas Cold Chain","fr":"Atlas Cold Chain","ar":"</w:t>
      </w:r>
      <w:r>
        <w:rPr>
          <w:rFonts w:ascii="Open Sans" w:hAnsi="Open Sans" w:eastAsia="Open Sans"/>
          <w:color w:val="2C3E50"/>
          <w:sz w:val="21"/>
          <w:sz w:val="21"/>
          <w:szCs w:val="21"/>
          <w:rtl w:val="true"/>
        </w:rPr>
        <w:t>أطلس للتبريد</w:t>
      </w:r>
      <w:r>
        <w:rPr>
          <w:rFonts w:eastAsia="Open Sans" w:cs="Open Sans"/>
          <w:color w:val="2C3E50"/>
          <w:sz w:val="21"/>
          <w:szCs w:val="21"/>
        </w:rPr>
        <w:t>"},"sector":"LOGI","segment":"SME","employees":40,"city":"Agadir","email_domain":"atlascoldchain.ma","pack_id":"SME-CMP","seats":25,"starter_team":true,"default_language":"fr"}</w:t>
      </w:r>
    </w:p>
    <w:p>
      <w:pPr>
        <w:pStyle w:val="ListParagraph"/>
        <w:numPr>
          <w:ilvl w:val="0"/>
          <w:numId w:val="2"/>
        </w:numPr>
        <w:spacing w:lineRule="auto" w:line="288" w:before="0" w:after="80"/>
        <w:rPr/>
      </w:pPr>
      <w:r>
        <w:rPr>
          <w:rFonts w:eastAsia="Open Sans" w:cs="Open Sans"/>
          <w:color w:val="2C3E50"/>
          <w:sz w:val="22"/>
          <w:szCs w:val="22"/>
        </w:rPr>
        <w:t>The organization receives its functions, governance catalog, AI use cases and checklists; the starter team receives one account per role with the password Welcome#2026, to change at first sign-in.</w:t>
      </w:r>
    </w:p>
    <w:p>
      <w:pPr>
        <w:pStyle w:val="ListParagraph"/>
        <w:numPr>
          <w:ilvl w:val="0"/>
          <w:numId w:val="2"/>
        </w:numPr>
        <w:spacing w:lineRule="auto" w:line="288" w:before="0" w:after="80"/>
        <w:rPr/>
      </w:pPr>
      <w:r>
        <w:rPr>
          <w:rFonts w:eastAsia="Open Sans" w:cs="Open Sans"/>
          <w:color w:val="2C3E50"/>
          <w:sz w:val="22"/>
          <w:szCs w:val="22"/>
        </w:rPr>
        <w:t>Open Groups &amp; organizations to see it in the tree.</w:t>
      </w:r>
    </w:p>
    <w:p>
      <w:pPr>
        <w:pStyle w:val="Normal"/>
        <w:keepNext w:val="true"/>
        <w:spacing w:before="160" w:after="60"/>
        <w:rPr/>
      </w:pPr>
      <w:r>
        <w:rPr>
          <w:rFonts w:eastAsia="Open Sans" w:cs="Open Sans"/>
          <w:b/>
          <w:bCs/>
          <w:color w:val="123A5F"/>
          <w:sz w:val="23"/>
          <w:szCs w:val="23"/>
        </w:rPr>
        <w:t>Add a user and give a role</w:t>
      </w:r>
    </w:p>
    <w:p>
      <w:pPr>
        <w:pStyle w:val="ListParagraph"/>
        <w:numPr>
          <w:ilvl w:val="0"/>
          <w:numId w:val="24"/>
        </w:numPr>
        <w:spacing w:lineRule="auto" w:line="288" w:before="0" w:after="80"/>
        <w:rPr/>
      </w:pPr>
      <w:r>
        <w:rPr>
          <w:rFonts w:eastAsia="Open Sans" w:cs="Open Sans"/>
          <w:color w:val="2C3E50"/>
          <w:sz w:val="22"/>
          <w:szCs w:val="22"/>
        </w:rPr>
        <w:t>Open Administration › Users and click New user.</w:t>
      </w:r>
    </w:p>
    <w:p>
      <w:pPr>
        <w:pStyle w:val="ListParagraph"/>
        <w:numPr>
          <w:ilvl w:val="0"/>
          <w:numId w:val="3"/>
        </w:numPr>
        <w:spacing w:lineRule="auto" w:line="288" w:before="0" w:after="80"/>
        <w:rPr/>
      </w:pPr>
      <w:r>
        <w:rPr>
          <w:rFonts w:eastAsia="Open Sans" w:cs="Open Sans"/>
          <w:color w:val="2C3E50"/>
          <w:sz w:val="22"/>
          <w:szCs w:val="22"/>
        </w:rPr>
        <w:t>Type the identity.</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Name — Salma Tazi; E-mail — salma.tazi@maghrebhospitalsgr.ma; Language — French; Title — Training coordinator</w:t>
      </w:r>
    </w:p>
    <w:p>
      <w:pPr>
        <w:pStyle w:val="ListParagraph"/>
        <w:numPr>
          <w:ilvl w:val="0"/>
          <w:numId w:val="3"/>
        </w:numPr>
        <w:spacing w:lineRule="auto" w:line="288" w:before="0" w:after="80"/>
        <w:rPr/>
      </w:pPr>
      <w:r>
        <w:rPr>
          <w:rFonts w:eastAsia="Open Sans" w:cs="Open Sans"/>
          <w:color w:val="2C3E50"/>
          <w:sz w:val="22"/>
          <w:szCs w:val="22"/>
        </w:rPr>
        <w:t>Type a first password, tick the role L&amp;D Planner and click Save. Give the password to the user, who changes it in the profile menu › Change password.</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Welcome#2026</w:t>
      </w:r>
    </w:p>
    <w:p>
      <w:pPr>
        <w:pStyle w:val="Normal"/>
        <w:keepNext w:val="true"/>
        <w:spacing w:before="120" w:after="60"/>
        <w:jc w:val="center"/>
        <w:rPr/>
      </w:pPr>
      <w:r>
        <w:rPr/>
        <w:drawing>
          <wp:inline distT="0" distB="0" distL="0" distR="0">
            <wp:extent cx="5905500" cy="3695700"/>
            <wp:effectExtent l="0" t="0" r="0" b="0"/>
            <wp:docPr id="2" name="a_users.png" descr="Figure 1 — Users of the organization&#10;Figure 1 — Users of th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_users.png" descr="Figure 1 — Users of the organization&#10;Figure 1 — Users of the organization"/>
                    <pic:cNvPicPr>
                      <a:picLocks noChangeAspect="1" noChangeArrowheads="1"/>
                    </pic:cNvPicPr>
                  </pic:nvPicPr>
                  <pic:blipFill>
                    <a:blip r:embed="rId3"/>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 — Users of the organization</w:t>
      </w:r>
    </w:p>
    <w:p>
      <w:pPr>
        <w:pStyle w:val="Normal"/>
        <w:keepNext w:val="true"/>
        <w:spacing w:before="160" w:after="60"/>
        <w:rPr/>
      </w:pPr>
      <w:r>
        <w:rPr>
          <w:rFonts w:eastAsia="Open Sans" w:cs="Open Sans"/>
          <w:b/>
          <w:bCs/>
          <w:color w:val="123A5F"/>
          <w:sz w:val="23"/>
          <w:szCs w:val="23"/>
        </w:rPr>
        <w:t>Change your own password</w:t>
      </w:r>
    </w:p>
    <w:p>
      <w:pPr>
        <w:pStyle w:val="ListParagraph"/>
        <w:numPr>
          <w:ilvl w:val="0"/>
          <w:numId w:val="25"/>
        </w:numPr>
        <w:spacing w:lineRule="auto" w:line="288" w:before="0" w:after="80"/>
        <w:rPr/>
      </w:pPr>
      <w:r>
        <w:rPr>
          <w:rFonts w:eastAsia="Open Sans" w:cs="Open Sans"/>
          <w:color w:val="2C3E50"/>
          <w:sz w:val="22"/>
          <w:szCs w:val="22"/>
        </w:rPr>
        <w:t>Click the profile icon at the top right, then Change password.</w:t>
      </w:r>
    </w:p>
    <w:p>
      <w:pPr>
        <w:pStyle w:val="ListParagraph"/>
        <w:numPr>
          <w:ilvl w:val="0"/>
          <w:numId w:val="4"/>
        </w:numPr>
        <w:spacing w:lineRule="auto" w:line="288" w:before="0" w:after="80"/>
        <w:rPr/>
      </w:pPr>
      <w:r>
        <w:rPr>
          <w:rFonts w:eastAsia="Open Sans" w:cs="Open Sans"/>
          <w:color w:val="2C3E50"/>
          <w:sz w:val="22"/>
          <w:szCs w:val="22"/>
        </w:rPr>
        <w:t>Type the current password, then the new one twice and click Save.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At least 12 characters with upper and lower case letters, a digit and a symbol — for example Rabat#Skills2026</w:t>
      </w:r>
    </w:p>
    <w:p>
      <w:pPr>
        <w:pStyle w:val="ListParagraph"/>
        <w:numPr>
          <w:ilvl w:val="0"/>
          <w:numId w:val="4"/>
        </w:numPr>
        <w:spacing w:lineRule="auto" w:line="288" w:before="0" w:after="80"/>
        <w:rPr/>
      </w:pPr>
      <w:r>
        <w:rPr>
          <w:rFonts w:eastAsia="Open Sans" w:cs="Open Sans"/>
          <w:color w:val="2C3E50"/>
          <w:sz w:val="22"/>
          <w:szCs w:val="22"/>
        </w:rPr>
        <w:t>The change is written in the audit log (User · password.change). A user who forgot the password receives a temporary one from the organization administrator (Administration › Users).</w:t>
      </w:r>
    </w:p>
    <w:p>
      <w:pPr>
        <w:pStyle w:val="Normal"/>
        <w:keepNext w:val="true"/>
        <w:spacing w:before="120" w:after="60"/>
        <w:jc w:val="center"/>
        <w:rPr/>
      </w:pPr>
      <w:r>
        <w:rPr/>
        <w:drawing>
          <wp:inline distT="0" distB="0" distL="0" distR="0">
            <wp:extent cx="5905500" cy="3695700"/>
            <wp:effectExtent l="0" t="0" r="0" b="0"/>
            <wp:docPr id="3" name="a_password.png" descr="Figure 2 — Change password (profile menu)&#10;Figure 2 — Change password (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_password.png" descr="Figure 2 — Change password (profile menu)&#10;Figure 2 — Change password (profile menu)"/>
                    <pic:cNvPicPr>
                      <a:picLocks noChangeAspect="1" noChangeArrowheads="1"/>
                    </pic:cNvPicPr>
                  </pic:nvPicPr>
                  <pic:blipFill>
                    <a:blip r:embed="rId4"/>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2 — Change password (profile menu)</w:t>
      </w:r>
    </w:p>
    <w:p>
      <w:pPr>
        <w:pStyle w:val="Normal"/>
        <w:keepNext w:val="true"/>
        <w:spacing w:before="160" w:after="60"/>
        <w:rPr/>
      </w:pPr>
      <w:r>
        <w:rPr>
          <w:rFonts w:eastAsia="Open Sans" w:cs="Open Sans"/>
          <w:b/>
          <w:bCs/>
          <w:color w:val="123A5F"/>
          <w:sz w:val="23"/>
          <w:szCs w:val="23"/>
        </w:rPr>
        <w:t>Adjust a permission</w:t>
      </w:r>
    </w:p>
    <w:p>
      <w:pPr>
        <w:pStyle w:val="ListParagraph"/>
        <w:numPr>
          <w:ilvl w:val="0"/>
          <w:numId w:val="26"/>
        </w:numPr>
        <w:spacing w:lineRule="auto" w:line="288" w:before="0" w:after="80"/>
        <w:rPr/>
      </w:pPr>
      <w:r>
        <w:rPr>
          <w:rFonts w:eastAsia="Open Sans" w:cs="Open Sans"/>
          <w:color w:val="2C3E50"/>
          <w:sz w:val="22"/>
          <w:szCs w:val="22"/>
        </w:rPr>
        <w:t>Open Administration › Permissions. Rows are permissions, columns are roles.</w:t>
      </w:r>
    </w:p>
    <w:p>
      <w:pPr>
        <w:pStyle w:val="ListParagraph"/>
        <w:numPr>
          <w:ilvl w:val="0"/>
          <w:numId w:val="5"/>
        </w:numPr>
        <w:spacing w:lineRule="auto" w:line="288" w:before="0" w:after="80"/>
        <w:rPr/>
      </w:pPr>
      <w:r>
        <w:rPr>
          <w:rFonts w:eastAsia="Open Sans" w:cs="Open Sans"/>
          <w:color w:val="2C3E50"/>
          <w:sz w:val="22"/>
          <w:szCs w:val="22"/>
        </w:rPr>
        <w:t>Tick documents.approve for the role Quality Manager.</w:t>
      </w:r>
    </w:p>
    <w:p>
      <w:pPr>
        <w:pStyle w:val="ListParagraph"/>
        <w:numPr>
          <w:ilvl w:val="0"/>
          <w:numId w:val="5"/>
        </w:numPr>
        <w:spacing w:lineRule="auto" w:line="288" w:before="0" w:after="80"/>
        <w:rPr/>
      </w:pPr>
      <w:r>
        <w:rPr>
          <w:rFonts w:eastAsia="Open Sans" w:cs="Open Sans"/>
          <w:color w:val="2C3E50"/>
          <w:sz w:val="22"/>
          <w:szCs w:val="22"/>
        </w:rPr>
        <w:t>Type the justification and confirm. The change is in the audit log.</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Quality Manager approves procedures from 2026.</w:t>
      </w:r>
    </w:p>
    <w:p>
      <w:pPr>
        <w:pStyle w:val="Normal"/>
        <w:keepNext w:val="true"/>
        <w:spacing w:before="120" w:after="60"/>
        <w:jc w:val="center"/>
        <w:rPr/>
      </w:pPr>
      <w:r>
        <w:rPr/>
        <w:drawing>
          <wp:inline distT="0" distB="0" distL="0" distR="0">
            <wp:extent cx="5905500" cy="3695700"/>
            <wp:effectExtent l="0" t="0" r="0" b="0"/>
            <wp:docPr id="4" name="a_perm.png" descr="Figure 3 — Permission matrix&#10;Figure 3 — Permis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_perm.png" descr="Figure 3 — Permission matrix&#10;Figure 3 — Permission matrix"/>
                    <pic:cNvPicPr>
                      <a:picLocks noChangeAspect="1" noChangeArrowheads="1"/>
                    </pic:cNvPicPr>
                  </pic:nvPicPr>
                  <pic:blipFill>
                    <a:blip r:embed="rId5"/>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3 — Permission matrix</w:t>
      </w:r>
      <w:r>
        <w:br w:type="page"/>
      </w:r>
    </w:p>
    <w:p>
      <w:pPr>
        <w:pStyle w:val="Heading1"/>
        <w:pBdr>
          <w:bottom w:val="single" w:sz="6" w:space="6" w:color="E1E8F0"/>
        </w:pBdr>
        <w:spacing w:before="0" w:after="240"/>
        <w:rPr/>
      </w:pPr>
      <w:bookmarkStart w:id="2" w:name="__RefHeading___Toc503_3373283034"/>
      <w:bookmarkEnd w:id="2"/>
      <w:r>
        <w:rPr>
          <w:rFonts w:eastAsia="Montserrat" w:cs="Montserrat"/>
          <w:b/>
          <w:bCs/>
          <w:color w:val="123A5F"/>
          <w:sz w:val="40"/>
          <w:szCs w:val="40"/>
        </w:rPr>
        <w:t>3. Configuration</w:t>
      </w:r>
    </w:p>
    <w:p>
      <w:pPr>
        <w:pStyle w:val="Normal"/>
        <w:spacing w:lineRule="auto" w:line="288" w:before="0" w:after="160"/>
        <w:jc w:val="left"/>
        <w:rPr/>
      </w:pPr>
      <w:r>
        <w:rPr>
          <w:rFonts w:eastAsia="Open Sans" w:cs="Open Sans"/>
          <w:color w:val="2C3E50"/>
          <w:sz w:val="22"/>
          <w:szCs w:val="22"/>
        </w:rPr>
        <w:t>Configuration sets the pack, add-ons, compliance standards, quotas and the justification rule. A field marked as governed asks for a justification when it changes.</w:t>
      </w:r>
    </w:p>
    <w:p>
      <w:pPr>
        <w:pStyle w:val="Normal"/>
        <w:keepNext w:val="true"/>
        <w:spacing w:before="160" w:after="60"/>
        <w:rPr/>
      </w:pPr>
      <w:r>
        <w:rPr>
          <w:rFonts w:eastAsia="Open Sans" w:cs="Open Sans"/>
          <w:b/>
          <w:bCs/>
          <w:color w:val="123A5F"/>
          <w:sz w:val="23"/>
          <w:szCs w:val="23"/>
        </w:rPr>
        <w:t>Activate a compliance standard</w:t>
      </w:r>
    </w:p>
    <w:p>
      <w:pPr>
        <w:pStyle w:val="ListParagraph"/>
        <w:numPr>
          <w:ilvl w:val="0"/>
          <w:numId w:val="27"/>
        </w:numPr>
        <w:spacing w:lineRule="auto" w:line="288" w:before="0" w:after="80"/>
        <w:rPr/>
      </w:pPr>
      <w:r>
        <w:rPr>
          <w:rFonts w:eastAsia="Open Sans" w:cs="Open Sans"/>
          <w:color w:val="2C3E50"/>
          <w:sz w:val="22"/>
          <w:szCs w:val="22"/>
        </w:rPr>
        <w:t>Open Administration › Configuration, section Compliance standards.</w:t>
      </w:r>
    </w:p>
    <w:p>
      <w:pPr>
        <w:pStyle w:val="ListParagraph"/>
        <w:numPr>
          <w:ilvl w:val="0"/>
          <w:numId w:val="6"/>
        </w:numPr>
        <w:spacing w:lineRule="auto" w:line="288" w:before="0" w:after="80"/>
        <w:rPr/>
      </w:pPr>
      <w:r>
        <w:rPr>
          <w:rFonts w:eastAsia="Open Sans" w:cs="Open Sans"/>
          <w:color w:val="2C3E50"/>
          <w:sz w:val="22"/>
          <w:szCs w:val="22"/>
        </w:rPr>
        <w:t>Tick ISO 21001 and click Save.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Justification — Certification audit planned in March 2027.</w:t>
      </w:r>
    </w:p>
    <w:p>
      <w:pPr>
        <w:pStyle w:val="ListParagraph"/>
        <w:numPr>
          <w:ilvl w:val="0"/>
          <w:numId w:val="6"/>
        </w:numPr>
        <w:spacing w:lineRule="auto" w:line="288" w:before="0" w:after="80"/>
        <w:rPr/>
      </w:pPr>
      <w:r>
        <w:rPr>
          <w:rFonts w:eastAsia="Open Sans" w:cs="Open Sans"/>
          <w:color w:val="2C3E50"/>
          <w:sz w:val="22"/>
          <w:szCs w:val="22"/>
        </w:rPr>
        <w:t>Open Reports › Master list › Required by standards: ISO 21001 now lists its documented information.</w:t>
      </w:r>
    </w:p>
    <w:p>
      <w:pPr>
        <w:pStyle w:val="Normal"/>
        <w:keepNext w:val="true"/>
        <w:spacing w:before="120" w:after="60"/>
        <w:jc w:val="center"/>
        <w:rPr/>
      </w:pPr>
      <w:r>
        <w:rPr/>
        <w:drawing>
          <wp:inline distT="0" distB="0" distL="0" distR="0">
            <wp:extent cx="5905500" cy="3695700"/>
            <wp:effectExtent l="0" t="0" r="0" b="0"/>
            <wp:docPr id="5" name="a_config.png" descr="Figure 4 — Configuration of the organization&#10;Figure 4 — Configuration of th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_config.png" descr="Figure 4 — Configuration of the organization&#10;Figure 4 — Configuration of the organization"/>
                    <pic:cNvPicPr>
                      <a:picLocks noChangeAspect="1" noChangeArrowheads="1"/>
                    </pic:cNvPicPr>
                  </pic:nvPicPr>
                  <pic:blipFill>
                    <a:blip r:embed="rId6"/>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4 — Configuration of the organization</w:t>
      </w:r>
    </w:p>
    <w:p>
      <w:pPr>
        <w:pStyle w:val="Normal"/>
        <w:keepNext w:val="true"/>
        <w:spacing w:before="160" w:after="60"/>
        <w:rPr/>
      </w:pPr>
      <w:r>
        <w:rPr>
          <w:rFonts w:eastAsia="Open Sans" w:cs="Open Sans"/>
          <w:b/>
          <w:bCs/>
          <w:color w:val="123A5F"/>
          <w:sz w:val="23"/>
          <w:szCs w:val="23"/>
        </w:rPr>
        <w:t>Change the pack, add an add-on, renew the licence</w:t>
      </w:r>
    </w:p>
    <w:p>
      <w:pPr>
        <w:pStyle w:val="ListParagraph"/>
        <w:numPr>
          <w:ilvl w:val="0"/>
          <w:numId w:val="28"/>
        </w:numPr>
        <w:spacing w:lineRule="auto" w:line="288" w:before="0" w:after="80"/>
        <w:rPr/>
      </w:pPr>
      <w:r>
        <w:rPr>
          <w:rFonts w:eastAsia="Open Sans" w:cs="Open Sans"/>
          <w:color w:val="2C3E50"/>
          <w:sz w:val="22"/>
          <w:szCs w:val="22"/>
        </w:rPr>
        <w:t>Open Administration › Configuration &amp; licence. The tiles show the pack, the modules, the AI tier and the licence state.</w:t>
      </w:r>
    </w:p>
    <w:p>
      <w:pPr>
        <w:pStyle w:val="ListParagraph"/>
        <w:numPr>
          <w:ilvl w:val="0"/>
          <w:numId w:val="7"/>
        </w:numPr>
        <w:spacing w:lineRule="auto" w:line="288" w:before="0" w:after="80"/>
        <w:rPr/>
      </w:pPr>
      <w:r>
        <w:rPr>
          <w:rFonts w:eastAsia="Open Sans" w:cs="Open Sans"/>
          <w:color w:val="2C3E50"/>
          <w:sz w:val="22"/>
          <w:szCs w:val="22"/>
        </w:rPr>
        <w:t>Pack: in Solution Packs, click Switch on the new pack, read the proration and type the justification.</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Justification — Purchase order PO-2026-118: move to the Enterprise Suite.</w:t>
      </w:r>
    </w:p>
    <w:p>
      <w:pPr>
        <w:pStyle w:val="ListParagraph"/>
        <w:numPr>
          <w:ilvl w:val="0"/>
          <w:numId w:val="7"/>
        </w:numPr>
        <w:spacing w:lineRule="auto" w:line="288" w:before="0" w:after="80"/>
        <w:rPr/>
      </w:pPr>
      <w:r>
        <w:rPr>
          <w:rFonts w:eastAsia="Open Sans" w:cs="Open Sans"/>
          <w:color w:val="2C3E50"/>
          <w:sz w:val="22"/>
          <w:szCs w:val="22"/>
        </w:rPr>
        <w:t>Add-on: tick its box in Add-ons. Data of a deactivated add-on is kept.</w:t>
      </w:r>
    </w:p>
    <w:p>
      <w:pPr>
        <w:pStyle w:val="ListParagraph"/>
        <w:numPr>
          <w:ilvl w:val="0"/>
          <w:numId w:val="7"/>
        </w:numPr>
        <w:spacing w:lineRule="auto" w:line="288" w:before="0" w:after="80"/>
        <w:rPr/>
      </w:pPr>
      <w:r>
        <w:rPr>
          <w:rFonts w:eastAsia="Open Sans" w:cs="Open Sans"/>
          <w:color w:val="2C3E50"/>
          <w:sz w:val="22"/>
          <w:szCs w:val="22"/>
        </w:rPr>
        <w:t>Licence: click Upload licence file in the Licence card and choose the .lic file received from the vendor. The server checks the vendor signature and the Organization ID before accepting it.</w:t>
      </w:r>
    </w:p>
    <w:p>
      <w:pPr>
        <w:pStyle w:val="Normal"/>
        <w:keepNext w:val="true"/>
        <w:spacing w:before="160" w:after="60"/>
        <w:rPr/>
      </w:pPr>
      <w:r>
        <w:rPr>
          <w:rFonts w:eastAsia="Open Sans" w:cs="Open Sans"/>
          <w:b/>
          <w:bCs/>
          <w:color w:val="123A5F"/>
          <w:sz w:val="23"/>
          <w:szCs w:val="23"/>
        </w:rPr>
        <w:t>Connect the e-mail and WhatsApp channels</w:t>
      </w:r>
    </w:p>
    <w:p>
      <w:pPr>
        <w:pStyle w:val="ListParagraph"/>
        <w:numPr>
          <w:ilvl w:val="0"/>
          <w:numId w:val="29"/>
        </w:numPr>
        <w:spacing w:lineRule="auto" w:line="288" w:before="0" w:after="80"/>
        <w:rPr/>
      </w:pPr>
      <w:r>
        <w:rPr>
          <w:rFonts w:eastAsia="Open Sans" w:cs="Open Sans"/>
          <w:color w:val="2C3E50"/>
          <w:sz w:val="22"/>
          <w:szCs w:val="22"/>
        </w:rPr>
        <w:t>Open Administration › Channels.</w:t>
      </w:r>
    </w:p>
    <w:p>
      <w:pPr>
        <w:pStyle w:val="ListParagraph"/>
        <w:numPr>
          <w:ilvl w:val="0"/>
          <w:numId w:val="8"/>
        </w:numPr>
        <w:spacing w:lineRule="auto" w:line="288" w:before="0" w:after="80"/>
        <w:rPr/>
      </w:pPr>
      <w:r>
        <w:rPr>
          <w:rFonts w:eastAsia="Open Sans" w:cs="Open Sans"/>
          <w:color w:val="2C3E50"/>
          <w:sz w:val="22"/>
          <w:szCs w:val="22"/>
        </w:rPr>
        <w:t>In E-mail, fill the SMTP account.</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Host — smtp.maghrebhospitalsgr.ma; Port — 587; User — formation@maghrebhospitalsgr.ma; Sender — CortexSkills Formation</w:t>
      </w:r>
    </w:p>
    <w:p>
      <w:pPr>
        <w:pStyle w:val="ListParagraph"/>
        <w:numPr>
          <w:ilvl w:val="0"/>
          <w:numId w:val="8"/>
        </w:numPr>
        <w:spacing w:lineRule="auto" w:line="288" w:before="0" w:after="80"/>
        <w:rPr/>
      </w:pPr>
      <w:r>
        <w:rPr>
          <w:rFonts w:eastAsia="Open Sans" w:cs="Open Sans"/>
          <w:color w:val="2C3E50"/>
          <w:sz w:val="22"/>
          <w:szCs w:val="22"/>
        </w:rPr>
        <w:t>In WhatsApp, paste the phone-number ID and the access token of the WhatsApp Business account.</w:t>
      </w:r>
    </w:p>
    <w:p>
      <w:pPr>
        <w:pStyle w:val="ListParagraph"/>
        <w:numPr>
          <w:ilvl w:val="0"/>
          <w:numId w:val="8"/>
        </w:numPr>
        <w:spacing w:lineRule="auto" w:line="288" w:before="0" w:after="80"/>
        <w:rPr/>
      </w:pPr>
      <w:r>
        <w:rPr>
          <w:rFonts w:eastAsia="Open Sans" w:cs="Open Sans"/>
          <w:color w:val="2C3E50"/>
          <w:sz w:val="22"/>
          <w:szCs w:val="22"/>
        </w:rPr>
        <w:t>Click Send a test. Without credentials, messages stay in sandbox and are listed as simulated.</w:t>
      </w:r>
    </w:p>
    <w:p>
      <w:pPr>
        <w:pStyle w:val="Normal"/>
        <w:keepNext w:val="true"/>
        <w:spacing w:before="120" w:after="60"/>
        <w:jc w:val="center"/>
        <w:rPr/>
      </w:pPr>
      <w:r>
        <w:rPr/>
        <w:drawing>
          <wp:inline distT="0" distB="0" distL="0" distR="0">
            <wp:extent cx="5905500" cy="3695700"/>
            <wp:effectExtent l="0" t="0" r="0" b="0"/>
            <wp:docPr id="6" name="a_channels.png" descr="Figure 5 — Channels&#10;Figure 5 —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_channels.png" descr="Figure 5 — Channels&#10;Figure 5 — Channels"/>
                    <pic:cNvPicPr>
                      <a:picLocks noChangeAspect="1" noChangeArrowheads="1"/>
                    </pic:cNvPicPr>
                  </pic:nvPicPr>
                  <pic:blipFill>
                    <a:blip r:embed="rId7"/>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5 — Channels</w:t>
      </w:r>
      <w:r>
        <w:br w:type="page"/>
      </w:r>
    </w:p>
    <w:p>
      <w:pPr>
        <w:pStyle w:val="Heading1"/>
        <w:pBdr>
          <w:bottom w:val="single" w:sz="6" w:space="6" w:color="E1E8F0"/>
        </w:pBdr>
        <w:spacing w:before="0" w:after="240"/>
        <w:rPr/>
      </w:pPr>
      <w:bookmarkStart w:id="3" w:name="__RefHeading___Toc505_3373283034"/>
      <w:bookmarkEnd w:id="3"/>
      <w:r>
        <w:rPr>
          <w:rFonts w:eastAsia="Montserrat" w:cs="Montserrat"/>
          <w:b/>
          <w:bCs/>
          <w:color w:val="123A5F"/>
          <w:sz w:val="40"/>
          <w:szCs w:val="40"/>
        </w:rPr>
        <w:t>4. Process design</w:t>
      </w:r>
    </w:p>
    <w:p>
      <w:pPr>
        <w:pStyle w:val="Normal"/>
        <w:spacing w:lineRule="auto" w:line="288" w:before="0" w:after="160"/>
        <w:jc w:val="left"/>
        <w:rPr/>
      </w:pPr>
      <w:r>
        <w:rPr>
          <w:rFonts w:eastAsia="Open Sans" w:cs="Open Sans"/>
          <w:color w:val="2C3E50"/>
          <w:sz w:val="22"/>
          <w:szCs w:val="22"/>
        </w:rPr>
        <w:t>The reference design (33 end-to-end processes, 54 macro processes, their tasks and steps) is read-only. Your organization edits its own copy: the first change to an element copies it. Every change creates a version; a release freezes the design for projects.</w:t>
      </w:r>
    </w:p>
    <w:p>
      <w:pPr>
        <w:pStyle w:val="Normal"/>
        <w:keepNext w:val="true"/>
        <w:spacing w:before="160" w:after="60"/>
        <w:rPr/>
      </w:pPr>
      <w:r>
        <w:rPr>
          <w:rFonts w:eastAsia="Open Sans" w:cs="Open Sans"/>
          <w:b/>
          <w:bCs/>
          <w:color w:val="123A5F"/>
          <w:sz w:val="23"/>
          <w:szCs w:val="23"/>
        </w:rPr>
        <w:t>Rename a step</w:t>
      </w:r>
    </w:p>
    <w:p>
      <w:pPr>
        <w:pStyle w:val="ListParagraph"/>
        <w:numPr>
          <w:ilvl w:val="0"/>
          <w:numId w:val="30"/>
        </w:numPr>
        <w:spacing w:lineRule="auto" w:line="288" w:before="0" w:after="80"/>
        <w:rPr/>
      </w:pPr>
      <w:r>
        <w:rPr>
          <w:rFonts w:eastAsia="Open Sans" w:cs="Open Sans"/>
          <w:color w:val="2C3E50"/>
          <w:sz w:val="22"/>
          <w:szCs w:val="22"/>
        </w:rPr>
        <w:t>Open Process design. In the tree, choose By macro process, open MP-01 and its first task, then click step MP-01.1.</w:t>
      </w:r>
    </w:p>
    <w:p>
      <w:pPr>
        <w:pStyle w:val="ListParagraph"/>
        <w:numPr>
          <w:ilvl w:val="0"/>
          <w:numId w:val="9"/>
        </w:numPr>
        <w:spacing w:lineRule="auto" w:line="288" w:before="0" w:after="80"/>
        <w:rPr/>
      </w:pPr>
      <w:r>
        <w:rPr>
          <w:rFonts w:eastAsia="Open Sans" w:cs="Open Sans"/>
          <w:color w:val="2C3E50"/>
          <w:sz w:val="22"/>
          <w:szCs w:val="22"/>
        </w:rPr>
        <w:t>In Details, change the name in each language.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 xml:space="preserve">EN — Record the corporate strategic objectives; FR — Enregistrer les objectifs stratégiques de l’entreprise; AR — </w:t>
      </w:r>
      <w:r>
        <w:rPr>
          <w:rFonts w:ascii="Open Sans" w:hAnsi="Open Sans" w:eastAsia="Open Sans"/>
          <w:color w:val="2C3E50"/>
          <w:sz w:val="21"/>
          <w:sz w:val="21"/>
          <w:szCs w:val="21"/>
          <w:rtl w:val="true"/>
        </w:rPr>
        <w:t>تسجيل الأهداف الاستراتيجية للمؤسسة</w:t>
      </w:r>
    </w:p>
    <w:p>
      <w:pPr>
        <w:pStyle w:val="ListParagraph"/>
        <w:numPr>
          <w:ilvl w:val="0"/>
          <w:numId w:val="9"/>
        </w:numPr>
        <w:spacing w:lineRule="auto" w:line="288" w:before="0" w:after="80"/>
        <w:rPr/>
      </w:pPr>
      <w:r>
        <w:rPr>
          <w:rFonts w:eastAsia="Open Sans" w:cs="Open Sans"/>
          <w:color w:val="2C3E50"/>
          <w:sz w:val="22"/>
          <w:szCs w:val="22"/>
        </w:rPr>
        <w:t>Leave the name field. The naming rules are checked: verb first, no generic word, no unexplained abbreviation, no duplicate.</w:t>
      </w:r>
    </w:p>
    <w:p>
      <w:pPr>
        <w:pStyle w:val="ListParagraph"/>
        <w:numPr>
          <w:ilvl w:val="0"/>
          <w:numId w:val="9"/>
        </w:numPr>
        <w:spacing w:lineRule="auto" w:line="288" w:before="0" w:after="80"/>
        <w:rPr/>
      </w:pPr>
      <w:r>
        <w:rPr>
          <w:rFonts w:eastAsia="Open Sans" w:cs="Open Sans"/>
          <w:color w:val="2C3E50"/>
          <w:sz w:val="22"/>
          <w:szCs w:val="22"/>
        </w:rPr>
        <w:t>Type the change note and click Save.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Clearer object for the strategy team.</w:t>
      </w:r>
    </w:p>
    <w:p>
      <w:pPr>
        <w:pStyle w:val="Normal"/>
        <w:keepNext w:val="true"/>
        <w:spacing w:before="120" w:after="60"/>
        <w:jc w:val="center"/>
        <w:rPr/>
      </w:pPr>
      <w:r>
        <w:rPr/>
        <w:drawing>
          <wp:inline distT="0" distB="0" distL="0" distR="0">
            <wp:extent cx="5905500" cy="3695700"/>
            <wp:effectExtent l="0" t="0" r="0" b="0"/>
            <wp:docPr id="7" name="a_design.png" descr="Figure 6 — Process design: tree and element form&#10;Figure 6 — Process design: tree and ele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_design.png" descr="Figure 6 — Process design: tree and element form&#10;Figure 6 — Process design: tree and element form"/>
                    <pic:cNvPicPr>
                      <a:picLocks noChangeAspect="1" noChangeArrowheads="1"/>
                    </pic:cNvPicPr>
                  </pic:nvPicPr>
                  <pic:blipFill>
                    <a:blip r:embed="rId8"/>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6 — Process design: tree and element form</w:t>
      </w:r>
    </w:p>
    <w:p>
      <w:pPr>
        <w:pStyle w:val="Normal"/>
        <w:keepNext w:val="true"/>
        <w:spacing w:before="160" w:after="60"/>
        <w:rPr/>
      </w:pPr>
      <w:r>
        <w:rPr>
          <w:rFonts w:eastAsia="Open Sans" w:cs="Open Sans"/>
          <w:b/>
          <w:bCs/>
          <w:color w:val="123A5F"/>
          <w:sz w:val="23"/>
          <w:szCs w:val="23"/>
        </w:rPr>
        <w:t>Compare and restore a version</w:t>
      </w:r>
    </w:p>
    <w:p>
      <w:pPr>
        <w:pStyle w:val="ListParagraph"/>
        <w:numPr>
          <w:ilvl w:val="0"/>
          <w:numId w:val="31"/>
        </w:numPr>
        <w:spacing w:lineRule="auto" w:line="288" w:before="0" w:after="80"/>
        <w:rPr/>
      </w:pPr>
      <w:r>
        <w:rPr>
          <w:rFonts w:eastAsia="Open Sans" w:cs="Open Sans"/>
          <w:color w:val="2C3E50"/>
          <w:sz w:val="22"/>
          <w:szCs w:val="22"/>
        </w:rPr>
        <w:t>Open the tab Versions of the element. Tick v0 (reference) and the latest version, then click Compare.</w:t>
      </w:r>
    </w:p>
    <w:p>
      <w:pPr>
        <w:pStyle w:val="ListParagraph"/>
        <w:numPr>
          <w:ilvl w:val="0"/>
          <w:numId w:val="10"/>
        </w:numPr>
        <w:spacing w:lineRule="auto" w:line="288" w:before="0" w:after="80"/>
        <w:rPr/>
      </w:pPr>
      <w:r>
        <w:rPr>
          <w:rFonts w:eastAsia="Open Sans" w:cs="Open Sans"/>
          <w:color w:val="2C3E50"/>
          <w:sz w:val="22"/>
          <w:szCs w:val="22"/>
        </w:rPr>
        <w:t>Click Restore on the version to bring back, and type why.</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Back to the reference wording after the steering committee.</w:t>
      </w:r>
    </w:p>
    <w:p>
      <w:pPr>
        <w:pStyle w:val="Normal"/>
        <w:keepNext w:val="true"/>
        <w:spacing w:before="160" w:after="60"/>
        <w:rPr/>
      </w:pPr>
      <w:r>
        <w:rPr>
          <w:rFonts w:eastAsia="Open Sans" w:cs="Open Sans"/>
          <w:b/>
          <w:bCs/>
          <w:color w:val="123A5F"/>
          <w:sz w:val="23"/>
          <w:szCs w:val="23"/>
        </w:rPr>
        <w:t>Publish a release (two people)</w:t>
      </w:r>
    </w:p>
    <w:p>
      <w:pPr>
        <w:pStyle w:val="ListParagraph"/>
        <w:numPr>
          <w:ilvl w:val="0"/>
          <w:numId w:val="32"/>
        </w:numPr>
        <w:spacing w:lineRule="auto" w:line="288" w:before="0" w:after="80"/>
        <w:rPr/>
      </w:pPr>
      <w:r>
        <w:rPr>
          <w:rFonts w:eastAsia="Open Sans" w:cs="Open Sans"/>
          <w:color w:val="2C3E50"/>
          <w:sz w:val="22"/>
          <w:szCs w:val="22"/>
        </w:rPr>
        <w:t>Open the tab Releases and click New release.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Name — 2027 design; Note — After the internal audit.</w:t>
      </w:r>
    </w:p>
    <w:p>
      <w:pPr>
        <w:pStyle w:val="ListParagraph"/>
        <w:numPr>
          <w:ilvl w:val="0"/>
          <w:numId w:val="11"/>
        </w:numPr>
        <w:spacing w:lineRule="auto" w:line="288" w:before="0" w:after="80"/>
        <w:rPr/>
      </w:pPr>
      <w:r>
        <w:rPr>
          <w:rFonts w:eastAsia="Open Sans" w:cs="Open Sans"/>
          <w:color w:val="2C3E50"/>
          <w:sz w:val="22"/>
          <w:szCs w:val="22"/>
        </w:rPr>
        <w:t>Click Submit.</w:t>
      </w:r>
    </w:p>
    <w:p>
      <w:pPr>
        <w:pStyle w:val="ListParagraph"/>
        <w:numPr>
          <w:ilvl w:val="0"/>
          <w:numId w:val="11"/>
        </w:numPr>
        <w:spacing w:lineRule="auto" w:line="288" w:before="0" w:after="80"/>
        <w:rPr/>
      </w:pPr>
      <w:r>
        <w:rPr>
          <w:rFonts w:eastAsia="Open Sans" w:cs="Open Sans"/>
          <w:color w:val="2C3E50"/>
          <w:sz w:val="22"/>
          <w:szCs w:val="22"/>
        </w:rPr>
        <w:t>Sign in as the HR Director, open the same release and click Publish.</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Reviewed with the process owners.</w:t>
      </w:r>
    </w:p>
    <w:p>
      <w:pPr>
        <w:pStyle w:val="ListParagraph"/>
        <w:numPr>
          <w:ilvl w:val="0"/>
          <w:numId w:val="11"/>
        </w:numPr>
        <w:spacing w:lineRule="auto" w:line="288" w:before="0" w:after="80"/>
        <w:rPr/>
      </w:pPr>
      <w:r>
        <w:rPr>
          <w:rFonts w:eastAsia="Open Sans" w:cs="Open Sans"/>
          <w:color w:val="2C3E50"/>
          <w:sz w:val="22"/>
          <w:szCs w:val="22"/>
        </w:rPr>
        <w:t>New projects run on the published release. To move a running project, open the project and use Migrate release: the preview lists affected open records.</w:t>
      </w:r>
    </w:p>
    <w:p>
      <w:pPr>
        <w:pStyle w:val="Normal"/>
        <w:keepNext w:val="true"/>
        <w:spacing w:before="120" w:after="60"/>
        <w:jc w:val="center"/>
        <w:rPr/>
      </w:pPr>
      <w:r>
        <w:rPr/>
        <w:drawing>
          <wp:inline distT="0" distB="0" distL="0" distR="0">
            <wp:extent cx="5905500" cy="3695700"/>
            <wp:effectExtent l="0" t="0" r="0" b="0"/>
            <wp:docPr id="8" name="a_releases.png" descr="Figure 7 — Releases&#10;Figure 7 — Rel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_releases.png" descr="Figure 7 — Releases&#10;Figure 7 — Releases"/>
                    <pic:cNvPicPr>
                      <a:picLocks noChangeAspect="1" noChangeArrowheads="1"/>
                    </pic:cNvPicPr>
                  </pic:nvPicPr>
                  <pic:blipFill>
                    <a:blip r:embed="rId9"/>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7 — Releases</w:t>
      </w:r>
    </w:p>
    <w:p>
      <w:pPr>
        <w:pStyle w:val="Normal"/>
        <w:spacing w:lineRule="auto" w:line="288" w:before="0" w:after="160"/>
        <w:jc w:val="left"/>
        <w:rPr/>
      </w:pPr>
      <w:r>
        <w:rPr>
          <w:rFonts w:eastAsia="Open Sans" w:cs="Open Sans"/>
          <w:color w:val="2C3E50"/>
          <w:sz w:val="22"/>
          <w:szCs w:val="22"/>
        </w:rPr>
        <w:t>Export JSON produces a file that another installation imports with Import; Export Excel gives one sheet per level. The tab Reference changes lists copied elements whose reference changed since the copy.</w:t>
      </w:r>
      <w:r>
        <w:br w:type="page"/>
      </w:r>
    </w:p>
    <w:p>
      <w:pPr>
        <w:pStyle w:val="Heading1"/>
        <w:pBdr>
          <w:bottom w:val="single" w:sz="6" w:space="6" w:color="E1E8F0"/>
        </w:pBdr>
        <w:spacing w:before="0" w:after="240"/>
        <w:rPr/>
      </w:pPr>
      <w:bookmarkStart w:id="4" w:name="__RefHeading___Toc507_3373283034"/>
      <w:bookmarkEnd w:id="4"/>
      <w:r>
        <w:rPr>
          <w:rFonts w:eastAsia="Montserrat" w:cs="Montserrat"/>
          <w:b/>
          <w:bCs/>
          <w:color w:val="123A5F"/>
          <w:sz w:val="40"/>
          <w:szCs w:val="40"/>
        </w:rPr>
        <w:t>5. Organization (OBS) and RACSI</w:t>
      </w:r>
    </w:p>
    <w:p>
      <w:pPr>
        <w:pStyle w:val="Normal"/>
        <w:spacing w:lineRule="auto" w:line="288" w:before="0" w:after="160"/>
        <w:jc w:val="left"/>
        <w:rPr/>
      </w:pPr>
      <w:r>
        <w:rPr>
          <w:rFonts w:eastAsia="Open Sans" w:cs="Open Sans"/>
          <w:color w:val="2C3E50"/>
          <w:sz w:val="22"/>
          <w:szCs w:val="22"/>
        </w:rPr>
        <w:t>Functions group roles; a role has a mission and is held by people with dates and an allocation. Holding an OBS role gives no access right. When an assignment ends, open work assigned through the role moves to the remaining holder.</w:t>
      </w:r>
    </w:p>
    <w:p>
      <w:pPr>
        <w:pStyle w:val="Normal"/>
        <w:keepNext w:val="true"/>
        <w:spacing w:before="160" w:after="60"/>
        <w:rPr/>
      </w:pPr>
      <w:r>
        <w:rPr>
          <w:rFonts w:eastAsia="Open Sans" w:cs="Open Sans"/>
          <w:b/>
          <w:bCs/>
          <w:color w:val="123A5F"/>
          <w:sz w:val="23"/>
          <w:szCs w:val="23"/>
        </w:rPr>
        <w:t>Create a role and assign it</w:t>
      </w:r>
    </w:p>
    <w:p>
      <w:pPr>
        <w:pStyle w:val="ListParagraph"/>
        <w:numPr>
          <w:ilvl w:val="0"/>
          <w:numId w:val="33"/>
        </w:numPr>
        <w:spacing w:lineRule="auto" w:line="288" w:before="0" w:after="80"/>
        <w:rPr/>
      </w:pPr>
      <w:r>
        <w:rPr>
          <w:rFonts w:eastAsia="Open Sans" w:cs="Open Sans"/>
          <w:color w:val="2C3E50"/>
          <w:sz w:val="22"/>
          <w:szCs w:val="22"/>
        </w:rPr>
        <w:t>Open Governance › Organization (OBS), tab Roles, and click New role.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 xml:space="preserve">Code — OR-31; Role EN — Training coordinator; FR — Coordinateur formation; AR — </w:t>
      </w:r>
      <w:r>
        <w:rPr>
          <w:rFonts w:ascii="Open Sans" w:hAnsi="Open Sans" w:eastAsia="Open Sans"/>
          <w:color w:val="2C3E50"/>
          <w:sz w:val="21"/>
          <w:sz w:val="21"/>
          <w:szCs w:val="21"/>
          <w:rtl w:val="true"/>
        </w:rPr>
        <w:t>منسق التكوين</w:t>
      </w:r>
      <w:r>
        <w:rPr>
          <w:rFonts w:eastAsia="Open Sans" w:cs="Open Sans"/>
          <w:color w:val="2C3E50"/>
          <w:sz w:val="21"/>
          <w:szCs w:val="21"/>
        </w:rPr>
        <w:t>; Function — Human Resources; Reports to — OR-02</w:t>
      </w:r>
    </w:p>
    <w:p>
      <w:pPr>
        <w:pStyle w:val="ListParagraph"/>
        <w:numPr>
          <w:ilvl w:val="0"/>
          <w:numId w:val="12"/>
        </w:numPr>
        <w:spacing w:lineRule="auto" w:line="288" w:before="0" w:after="80"/>
        <w:rPr/>
      </w:pPr>
      <w:r>
        <w:rPr>
          <w:rFonts w:eastAsia="Open Sans" w:cs="Open Sans"/>
          <w:color w:val="2C3E50"/>
          <w:sz w:val="22"/>
          <w:szCs w:val="22"/>
        </w:rPr>
        <w:t>Click Assign on the new role.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Person — Salma Tazi; Type — Holder; Allocation — 60; Start — 2026-11-01</w:t>
      </w:r>
    </w:p>
    <w:p>
      <w:pPr>
        <w:pStyle w:val="Normal"/>
        <w:keepNext w:val="true"/>
        <w:spacing w:before="120" w:after="60"/>
        <w:jc w:val="center"/>
        <w:rPr/>
      </w:pPr>
      <w:r>
        <w:rPr/>
        <w:drawing>
          <wp:inline distT="0" distB="0" distL="0" distR="0">
            <wp:extent cx="5905500" cy="3695700"/>
            <wp:effectExtent l="0" t="0" r="0" b="0"/>
            <wp:docPr id="9" name="a_obs.png" descr="Figure 8 — Roles and holders&#10;Figure 8 — Roles and h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_obs.png" descr="Figure 8 — Roles and holders&#10;Figure 8 — Roles and holders"/>
                    <pic:cNvPicPr>
                      <a:picLocks noChangeAspect="1" noChangeArrowheads="1"/>
                    </pic:cNvPicPr>
                  </pic:nvPicPr>
                  <pic:blipFill>
                    <a:blip r:embed="rId10"/>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8 — Roles and holders</w:t>
      </w:r>
    </w:p>
    <w:p>
      <w:pPr>
        <w:pStyle w:val="Normal"/>
        <w:keepNext w:val="true"/>
        <w:spacing w:before="160" w:after="60"/>
        <w:rPr/>
      </w:pPr>
      <w:r>
        <w:rPr>
          <w:rFonts w:eastAsia="Open Sans" w:cs="Open Sans"/>
          <w:b/>
          <w:bCs/>
          <w:color w:val="123A5F"/>
          <w:sz w:val="23"/>
          <w:szCs w:val="23"/>
        </w:rPr>
        <w:t>Set the RACSI of a macro process</w:t>
      </w:r>
    </w:p>
    <w:p>
      <w:pPr>
        <w:pStyle w:val="ListParagraph"/>
        <w:numPr>
          <w:ilvl w:val="0"/>
          <w:numId w:val="34"/>
        </w:numPr>
        <w:spacing w:lineRule="auto" w:line="288" w:before="0" w:after="80"/>
        <w:rPr/>
      </w:pPr>
      <w:r>
        <w:rPr>
          <w:rFonts w:eastAsia="Open Sans" w:cs="Open Sans"/>
          <w:color w:val="2C3E50"/>
          <w:sz w:val="22"/>
          <w:szCs w:val="22"/>
        </w:rPr>
        <w:t>Open the tab RACSI by process and choose MP-01.</w:t>
      </w:r>
    </w:p>
    <w:p>
      <w:pPr>
        <w:pStyle w:val="ListParagraph"/>
        <w:numPr>
          <w:ilvl w:val="0"/>
          <w:numId w:val="13"/>
        </w:numPr>
        <w:spacing w:lineRule="auto" w:line="288" w:before="0" w:after="80"/>
        <w:rPr/>
      </w:pPr>
      <w:r>
        <w:rPr>
          <w:rFonts w:eastAsia="Open Sans" w:cs="Open Sans"/>
          <w:color w:val="2C3E50"/>
          <w:sz w:val="22"/>
          <w:szCs w:val="22"/>
        </w:rPr>
        <w:t>Click the pencil of a step and pick roles rather than names.</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R — L&amp;D Analyst; A — Head of L&amp;D (exactly one); C — HR Director; I — Finance Manager</w:t>
      </w:r>
    </w:p>
    <w:p>
      <w:pPr>
        <w:pStyle w:val="ListParagraph"/>
        <w:numPr>
          <w:ilvl w:val="0"/>
          <w:numId w:val="13"/>
        </w:numPr>
        <w:spacing w:lineRule="auto" w:line="288" w:before="0" w:after="80"/>
        <w:rPr/>
      </w:pPr>
      <w:r>
        <w:rPr>
          <w:rFonts w:eastAsia="Open Sans" w:cs="Open Sans"/>
          <w:color w:val="2C3E50"/>
          <w:sz w:val="22"/>
          <w:szCs w:val="22"/>
        </w:rPr>
        <w:t>Click Save. The matrix shows Complete when every step has one Accountable.</w:t>
      </w:r>
    </w:p>
    <w:p>
      <w:pPr>
        <w:pStyle w:val="Normal"/>
        <w:keepNext w:val="true"/>
        <w:spacing w:before="120" w:after="60"/>
        <w:jc w:val="center"/>
        <w:rPr/>
      </w:pPr>
      <w:r>
        <w:rPr/>
        <w:drawing>
          <wp:inline distT="0" distB="0" distL="0" distR="0">
            <wp:extent cx="5905500" cy="3695700"/>
            <wp:effectExtent l="0" t="0" r="0" b="0"/>
            <wp:docPr id="10" name="a_racsi.png" descr="Figure 9 — RACSI by macro process&#10;Figure 9 — RACSI by macro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_racsi.png" descr="Figure 9 — RACSI by macro process&#10;Figure 9 — RACSI by macro process"/>
                    <pic:cNvPicPr>
                      <a:picLocks noChangeAspect="1" noChangeArrowheads="1"/>
                    </pic:cNvPicPr>
                  </pic:nvPicPr>
                  <pic:blipFill>
                    <a:blip r:embed="rId11"/>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9 — RACSI by macro process</w:t>
      </w:r>
      <w:r>
        <w:br w:type="page"/>
      </w:r>
    </w:p>
    <w:p>
      <w:pPr>
        <w:pStyle w:val="Heading1"/>
        <w:pBdr>
          <w:bottom w:val="single" w:sz="6" w:space="6" w:color="E1E8F0"/>
        </w:pBdr>
        <w:spacing w:before="0" w:after="240"/>
        <w:rPr/>
      </w:pPr>
      <w:bookmarkStart w:id="5" w:name="__RefHeading___Toc509_3373283034"/>
      <w:bookmarkEnd w:id="5"/>
      <w:r>
        <w:rPr>
          <w:rFonts w:eastAsia="Montserrat" w:cs="Montserrat"/>
          <w:b/>
          <w:bCs/>
          <w:color w:val="123A5F"/>
          <w:sz w:val="40"/>
          <w:szCs w:val="40"/>
        </w:rPr>
        <w:t>6. Project templates and blueprints</w:t>
      </w:r>
    </w:p>
    <w:p>
      <w:pPr>
        <w:pStyle w:val="Normal"/>
        <w:spacing w:lineRule="auto" w:line="288" w:before="0" w:after="160"/>
        <w:jc w:val="left"/>
        <w:rPr/>
      </w:pPr>
      <w:r>
        <w:rPr>
          <w:rFonts w:eastAsia="Open Sans" w:cs="Open Sans"/>
          <w:color w:val="2C3E50"/>
          <w:sz w:val="22"/>
          <w:szCs w:val="22"/>
        </w:rPr>
        <w:t>A template’s blueprint says what a project receives. Library templates are read-only; Customize copies one into the organization. Published organization templates are offered first at project creation; the project keeps the template code and version it was created from.</w:t>
      </w:r>
    </w:p>
    <w:p>
      <w:pPr>
        <w:pStyle w:val="Normal"/>
        <w:keepNext w:val="true"/>
        <w:spacing w:before="160" w:after="60"/>
        <w:rPr/>
      </w:pPr>
      <w:r>
        <w:rPr>
          <w:rFonts w:eastAsia="Open Sans" w:cs="Open Sans"/>
          <w:b/>
          <w:bCs/>
          <w:color w:val="123A5F"/>
          <w:sz w:val="23"/>
          <w:szCs w:val="23"/>
        </w:rPr>
        <w:t>Customize a template</w:t>
      </w:r>
    </w:p>
    <w:p>
      <w:pPr>
        <w:pStyle w:val="ListParagraph"/>
        <w:numPr>
          <w:ilvl w:val="0"/>
          <w:numId w:val="35"/>
        </w:numPr>
        <w:spacing w:lineRule="auto" w:line="288" w:before="0" w:after="80"/>
        <w:rPr/>
      </w:pPr>
      <w:r>
        <w:rPr>
          <w:rFonts w:eastAsia="Open Sans" w:cs="Open Sans"/>
          <w:color w:val="2C3E50"/>
          <w:sz w:val="22"/>
          <w:szCs w:val="22"/>
        </w:rPr>
        <w:t>Open Process design › Project templates and open Healthcare Providers — full run — AI. Click Customize (copy).</w:t>
      </w:r>
    </w:p>
    <w:p>
      <w:pPr>
        <w:pStyle w:val="ListParagraph"/>
        <w:numPr>
          <w:ilvl w:val="0"/>
          <w:numId w:val="14"/>
        </w:numPr>
        <w:spacing w:lineRule="auto" w:line="288" w:before="0" w:after="80"/>
        <w:rPr/>
      </w:pPr>
      <w:r>
        <w:rPr>
          <w:rFonts w:eastAsia="Open Sans" w:cs="Open Sans"/>
          <w:color w:val="2C3E50"/>
          <w:sz w:val="22"/>
          <w:szCs w:val="22"/>
        </w:rPr>
        <w:t>In Processes and steps, untick a task the organization does not run; click the pencil of a task to rename it in projects.</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Name in projects — Validate the plan with the executive committee</w:t>
      </w:r>
    </w:p>
    <w:p>
      <w:pPr>
        <w:pStyle w:val="ListParagraph"/>
        <w:numPr>
          <w:ilvl w:val="0"/>
          <w:numId w:val="14"/>
        </w:numPr>
        <w:spacing w:lineRule="auto" w:line="288" w:before="0" w:after="80"/>
        <w:rPr/>
      </w:pPr>
      <w:r>
        <w:rPr>
          <w:rFonts w:eastAsia="Open Sans" w:cs="Open Sans"/>
          <w:color w:val="2C3E50"/>
          <w:sz w:val="22"/>
          <w:szCs w:val="22"/>
        </w:rPr>
        <w:t>Click + on a task to add a custom step.</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Level — Step; Name — Record the board minutes</w:t>
      </w:r>
    </w:p>
    <w:p>
      <w:pPr>
        <w:pStyle w:val="ListParagraph"/>
        <w:numPr>
          <w:ilvl w:val="0"/>
          <w:numId w:val="14"/>
        </w:numPr>
        <w:spacing w:lineRule="auto" w:line="288" w:before="0" w:after="80"/>
        <w:rPr/>
      </w:pPr>
      <w:r>
        <w:rPr>
          <w:rFonts w:eastAsia="Open Sans" w:cs="Open Sans"/>
          <w:color w:val="2C3E50"/>
          <w:sz w:val="22"/>
          <w:szCs w:val="22"/>
        </w:rPr>
        <w:t>In Reporting plan, click Add manually.</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Report — Monthly steering pack; Audience — Executive committee; Frequency — Monthly; Format — PDF; Owner — Head of L&amp;D</w:t>
      </w:r>
    </w:p>
    <w:p>
      <w:pPr>
        <w:pStyle w:val="ListParagraph"/>
        <w:numPr>
          <w:ilvl w:val="0"/>
          <w:numId w:val="14"/>
        </w:numPr>
        <w:spacing w:lineRule="auto" w:line="288" w:before="0" w:after="80"/>
        <w:rPr/>
      </w:pPr>
      <w:r>
        <w:rPr>
          <w:rFonts w:eastAsia="Open Sans" w:cs="Open Sans"/>
          <w:color w:val="2C3E50"/>
          <w:sz w:val="22"/>
          <w:szCs w:val="22"/>
        </w:rPr>
        <w:t>Click Publish. A template with no included step cannot be published. Export it in Word, PDF or Excel from the header.</w:t>
      </w:r>
    </w:p>
    <w:p>
      <w:pPr>
        <w:pStyle w:val="Normal"/>
        <w:keepNext w:val="true"/>
        <w:spacing w:before="120" w:after="60"/>
        <w:jc w:val="center"/>
        <w:rPr/>
      </w:pPr>
      <w:r>
        <w:rPr/>
        <w:drawing>
          <wp:inline distT="0" distB="0" distL="0" distR="0">
            <wp:extent cx="5905500" cy="3695700"/>
            <wp:effectExtent l="0" t="0" r="0" b="0"/>
            <wp:docPr id="11" name="a_bp.png" descr="Figure 10 — Blueprint of an organization template&#10;Figure 10 — Blueprint of an organization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_bp.png" descr="Figure 10 — Blueprint of an organization template&#10;Figure 10 — Blueprint of an organization template"/>
                    <pic:cNvPicPr>
                      <a:picLocks noChangeAspect="1" noChangeArrowheads="1"/>
                    </pic:cNvPicPr>
                  </pic:nvPicPr>
                  <pic:blipFill>
                    <a:blip r:embed="rId12"/>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10 — Blueprint of an organization template</w:t>
      </w:r>
      <w:r>
        <w:br w:type="page"/>
      </w:r>
    </w:p>
    <w:p>
      <w:pPr>
        <w:pStyle w:val="Heading1"/>
        <w:pBdr>
          <w:bottom w:val="single" w:sz="6" w:space="6" w:color="E1E8F0"/>
        </w:pBdr>
        <w:spacing w:before="0" w:after="240"/>
        <w:rPr/>
      </w:pPr>
      <w:bookmarkStart w:id="6" w:name="__RefHeading___Toc511_3373283034"/>
      <w:bookmarkEnd w:id="6"/>
      <w:r>
        <w:rPr>
          <w:rFonts w:eastAsia="Montserrat" w:cs="Montserrat"/>
          <w:b/>
          <w:bCs/>
          <w:color w:val="123A5F"/>
          <w:sz w:val="40"/>
          <w:szCs w:val="40"/>
        </w:rPr>
        <w:t>7. Artificial intelligence</w:t>
      </w:r>
    </w:p>
    <w:p>
      <w:pPr>
        <w:pStyle w:val="Normal"/>
        <w:spacing w:lineRule="auto" w:line="288" w:before="0" w:after="160"/>
        <w:jc w:val="left"/>
        <w:rPr/>
      </w:pPr>
      <w:r>
        <w:rPr>
          <w:rFonts w:eastAsia="Open Sans" w:cs="Open Sans"/>
          <w:color w:val="2C3E50"/>
          <w:sz w:val="22"/>
          <w:szCs w:val="22"/>
        </w:rPr>
        <w:t>Without a model, CortexSkills answers with its built-in engine. With an organization model, each AI use case sends its assembled prompt; nothing proposed by the AI is saved before a person validates it.</w:t>
      </w:r>
    </w:p>
    <w:p>
      <w:pPr>
        <w:pStyle w:val="Normal"/>
        <w:keepNext w:val="true"/>
        <w:spacing w:before="160" w:after="60"/>
        <w:rPr/>
      </w:pPr>
      <w:r>
        <w:rPr>
          <w:rFonts w:eastAsia="Open Sans" w:cs="Open Sans"/>
          <w:b/>
          <w:bCs/>
          <w:color w:val="123A5F"/>
          <w:sz w:val="23"/>
          <w:szCs w:val="23"/>
        </w:rPr>
        <w:t>Connect the organization model</w:t>
      </w:r>
    </w:p>
    <w:p>
      <w:pPr>
        <w:pStyle w:val="ListParagraph"/>
        <w:numPr>
          <w:ilvl w:val="0"/>
          <w:numId w:val="36"/>
        </w:numPr>
        <w:spacing w:lineRule="auto" w:line="288" w:before="0" w:after="80"/>
        <w:rPr/>
      </w:pPr>
      <w:r>
        <w:rPr>
          <w:rFonts w:eastAsia="Open Sans" w:cs="Open Sans"/>
          <w:color w:val="2C3E50"/>
          <w:sz w:val="22"/>
          <w:szCs w:val="22"/>
        </w:rPr>
        <w:t>Open AI &amp; knowledge › AI settings.</w:t>
      </w:r>
    </w:p>
    <w:p>
      <w:pPr>
        <w:pStyle w:val="ListParagraph"/>
        <w:numPr>
          <w:ilvl w:val="0"/>
          <w:numId w:val="15"/>
        </w:numPr>
        <w:spacing w:lineRule="auto" w:line="288" w:before="0" w:after="80"/>
        <w:rPr/>
      </w:pPr>
      <w:r>
        <w:rPr>
          <w:rFonts w:eastAsia="Open Sans" w:cs="Open Sans"/>
          <w:color w:val="2C3E50"/>
          <w:sz w:val="22"/>
          <w:szCs w:val="22"/>
        </w:rPr>
        <w:t>Choose the provider and the model.</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Provider — Anthropic; Model — claude-sonnet-5-5</w:t>
      </w:r>
    </w:p>
    <w:p>
      <w:pPr>
        <w:pStyle w:val="ListParagraph"/>
        <w:numPr>
          <w:ilvl w:val="0"/>
          <w:numId w:val="15"/>
        </w:numPr>
        <w:spacing w:lineRule="auto" w:line="288" w:before="0" w:after="80"/>
        <w:rPr/>
      </w:pPr>
      <w:r>
        <w:rPr>
          <w:rFonts w:eastAsia="Open Sans" w:cs="Open Sans"/>
          <w:color w:val="2C3E50"/>
          <w:sz w:val="22"/>
          <w:szCs w:val="22"/>
        </w:rPr>
        <w:t>Paste the API key. It is stored encrypted and never shown again.</w:t>
      </w:r>
    </w:p>
    <w:p>
      <w:pPr>
        <w:pStyle w:val="ListParagraph"/>
        <w:numPr>
          <w:ilvl w:val="0"/>
          <w:numId w:val="15"/>
        </w:numPr>
        <w:spacing w:lineRule="auto" w:line="288" w:before="0" w:after="80"/>
        <w:rPr/>
      </w:pPr>
      <w:r>
        <w:rPr>
          <w:rFonts w:eastAsia="Open Sans" w:cs="Open Sans"/>
          <w:color w:val="2C3E50"/>
          <w:sz w:val="22"/>
          <w:szCs w:val="22"/>
        </w:rPr>
        <w:t>Set the maximum answer length, tick Use this model for the organization and click Save.</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1500</w:t>
      </w:r>
    </w:p>
    <w:p>
      <w:pPr>
        <w:pStyle w:val="ListParagraph"/>
        <w:numPr>
          <w:ilvl w:val="0"/>
          <w:numId w:val="15"/>
        </w:numPr>
        <w:spacing w:lineRule="auto" w:line="288" w:before="0" w:after="80"/>
        <w:rPr/>
      </w:pPr>
      <w:r>
        <w:rPr>
          <w:rFonts w:eastAsia="Open Sans" w:cs="Open Sans"/>
          <w:color w:val="2C3E50"/>
          <w:sz w:val="22"/>
          <w:szCs w:val="22"/>
        </w:rPr>
        <w:t>Click Test connection. The result names the cause of any failure: key refused, model not found, parameter rejected, rate limit, unreachable.</w:t>
      </w:r>
    </w:p>
    <w:p>
      <w:pPr>
        <w:pStyle w:val="Normal"/>
        <w:keepNext w:val="true"/>
        <w:spacing w:before="120" w:after="60"/>
        <w:jc w:val="center"/>
        <w:rPr/>
      </w:pPr>
      <w:r>
        <w:rPr/>
        <w:drawing>
          <wp:inline distT="0" distB="0" distL="0" distR="0">
            <wp:extent cx="5905500" cy="3695700"/>
            <wp:effectExtent l="0" t="0" r="0" b="0"/>
            <wp:docPr id="12" name="a_aiset.png" descr="Figure 11 — AI settings&#10;Figure 11 — AI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_aiset.png" descr="Figure 11 — AI settings&#10;Figure 11 — AI settings"/>
                    <pic:cNvPicPr>
                      <a:picLocks noChangeAspect="1" noChangeArrowheads="1"/>
                    </pic:cNvPicPr>
                  </pic:nvPicPr>
                  <pic:blipFill>
                    <a:blip r:embed="rId13"/>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11 — AI settings</w:t>
      </w:r>
    </w:p>
    <w:p>
      <w:pPr>
        <w:pStyle w:val="Normal"/>
        <w:keepNext w:val="true"/>
        <w:spacing w:before="160" w:after="60"/>
        <w:rPr/>
      </w:pPr>
      <w:r>
        <w:rPr>
          <w:rFonts w:eastAsia="Open Sans" w:cs="Open Sans"/>
          <w:b/>
          <w:bCs/>
          <w:color w:val="123A5F"/>
          <w:sz w:val="23"/>
          <w:szCs w:val="23"/>
        </w:rPr>
        <w:t>Complete a prompt specification and activate the use case</w:t>
      </w:r>
    </w:p>
    <w:p>
      <w:pPr>
        <w:pStyle w:val="ListParagraph"/>
        <w:numPr>
          <w:ilvl w:val="0"/>
          <w:numId w:val="37"/>
        </w:numPr>
        <w:spacing w:lineRule="auto" w:line="288" w:before="0" w:after="80"/>
        <w:rPr/>
      </w:pPr>
      <w:r>
        <w:rPr>
          <w:rFonts w:eastAsia="Open Sans" w:cs="Open Sans"/>
          <w:color w:val="2C3E50"/>
          <w:sz w:val="22"/>
          <w:szCs w:val="22"/>
        </w:rPr>
        <w:t>Open AI use cases and click Specification on AIUC-01.</w:t>
      </w:r>
    </w:p>
    <w:p>
      <w:pPr>
        <w:pStyle w:val="ListParagraph"/>
        <w:numPr>
          <w:ilvl w:val="0"/>
          <w:numId w:val="16"/>
        </w:numPr>
        <w:spacing w:lineRule="auto" w:line="288" w:before="0" w:after="80"/>
        <w:rPr/>
      </w:pPr>
      <w:r>
        <w:rPr>
          <w:rFonts w:eastAsia="Open Sans" w:cs="Open Sans"/>
          <w:color w:val="2C3E50"/>
          <w:sz w:val="22"/>
          <w:szCs w:val="22"/>
        </w:rPr>
        <w:t>Fill each required field in each language; each field is saved when you leave it.</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Constraints — Never assign a level without evidence; cite the evidence for each level.</w:t>
      </w:r>
    </w:p>
    <w:p>
      <w:pPr>
        <w:pStyle w:val="ListParagraph"/>
        <w:numPr>
          <w:ilvl w:val="0"/>
          <w:numId w:val="16"/>
        </w:numPr>
        <w:spacing w:lineRule="auto" w:line="288" w:before="0" w:after="80"/>
        <w:rPr/>
      </w:pPr>
      <w:r>
        <w:rPr>
          <w:rFonts w:eastAsia="Open Sans" w:cs="Open Sans"/>
          <w:color w:val="2C3E50"/>
          <w:sz w:val="22"/>
          <w:szCs w:val="22"/>
        </w:rPr>
        <w:t>Click Assembled prompt to check the variables, then Test on this project. The test writes nothing.</w:t>
      </w:r>
    </w:p>
    <w:p>
      <w:pPr>
        <w:pStyle w:val="ListParagraph"/>
        <w:numPr>
          <w:ilvl w:val="0"/>
          <w:numId w:val="16"/>
        </w:numPr>
        <w:spacing w:lineRule="auto" w:line="288" w:before="0" w:after="80"/>
        <w:rPr/>
      </w:pPr>
      <w:r>
        <w:rPr>
          <w:rFonts w:eastAsia="Open Sans" w:cs="Open Sans"/>
          <w:color w:val="2C3E50"/>
          <w:sz w:val="22"/>
          <w:szCs w:val="22"/>
        </w:rPr>
        <w:t>Back in AI use cases, tick the use case in the column Organization. Activation is refused while a required field is empty.</w:t>
      </w:r>
    </w:p>
    <w:p>
      <w:pPr>
        <w:pStyle w:val="Normal"/>
        <w:keepNext w:val="true"/>
        <w:spacing w:before="120" w:after="60"/>
        <w:jc w:val="center"/>
        <w:rPr/>
      </w:pPr>
      <w:r>
        <w:rPr/>
        <w:drawing>
          <wp:inline distT="0" distB="0" distL="0" distR="0">
            <wp:extent cx="5905500" cy="3695700"/>
            <wp:effectExtent l="0" t="0" r="0" b="0"/>
            <wp:docPr id="13" name="a_spec.png" descr="Figure 12 — Prompt specification&#10;Figure 12 — Prompt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_spec.png" descr="Figure 12 — Prompt specification&#10;Figure 12 — Prompt specification"/>
                    <pic:cNvPicPr>
                      <a:picLocks noChangeAspect="1" noChangeArrowheads="1"/>
                    </pic:cNvPicPr>
                  </pic:nvPicPr>
                  <pic:blipFill>
                    <a:blip r:embed="rId14"/>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12 — Prompt specification</w:t>
      </w:r>
      <w:r>
        <w:br w:type="page"/>
      </w:r>
    </w:p>
    <w:p>
      <w:pPr>
        <w:pStyle w:val="Heading1"/>
        <w:pBdr>
          <w:bottom w:val="single" w:sz="6" w:space="6" w:color="E1E8F0"/>
        </w:pBdr>
        <w:spacing w:before="0" w:after="240"/>
        <w:rPr/>
      </w:pPr>
      <w:bookmarkStart w:id="7" w:name="__RefHeading___Toc513_3373283034"/>
      <w:bookmarkEnd w:id="7"/>
      <w:r>
        <w:rPr>
          <w:rFonts w:eastAsia="Montserrat" w:cs="Montserrat"/>
          <w:b/>
          <w:bCs/>
          <w:color w:val="123A5F"/>
          <w:sz w:val="40"/>
          <w:szCs w:val="40"/>
        </w:rPr>
        <w:t>8. Documented information</w:t>
      </w:r>
    </w:p>
    <w:p>
      <w:pPr>
        <w:pStyle w:val="Normal"/>
        <w:spacing w:lineRule="auto" w:line="288" w:before="0" w:after="160"/>
        <w:jc w:val="left"/>
        <w:rPr/>
      </w:pPr>
      <w:r>
        <w:rPr>
          <w:rFonts w:eastAsia="Open Sans" w:cs="Open Sans"/>
          <w:color w:val="2C3E50"/>
          <w:sz w:val="22"/>
          <w:szCs w:val="22"/>
        </w:rPr>
        <w:t>The library holds 37 templates: one per end-to-end deliverable, the Training Engineering Report, the training plan, the audit report and the master list. An organization copy replaces the library template with the same code. The layout applies to every generated document.</w:t>
      </w:r>
    </w:p>
    <w:p>
      <w:pPr>
        <w:pStyle w:val="Normal"/>
        <w:keepNext w:val="true"/>
        <w:spacing w:before="160" w:after="60"/>
        <w:rPr/>
      </w:pPr>
      <w:r>
        <w:rPr>
          <w:rFonts w:eastAsia="Open Sans" w:cs="Open Sans"/>
          <w:b/>
          <w:bCs/>
          <w:color w:val="123A5F"/>
          <w:sz w:val="23"/>
          <w:szCs w:val="23"/>
        </w:rPr>
        <w:t>Adapt a template</w:t>
      </w:r>
    </w:p>
    <w:p>
      <w:pPr>
        <w:pStyle w:val="ListParagraph"/>
        <w:numPr>
          <w:ilvl w:val="0"/>
          <w:numId w:val="38"/>
        </w:numPr>
        <w:spacing w:lineRule="auto" w:line="288" w:before="0" w:after="80"/>
        <w:rPr/>
      </w:pPr>
      <w:r>
        <w:rPr>
          <w:rFonts w:eastAsia="Open Sans" w:cs="Open Sans"/>
          <w:color w:val="2C3E50"/>
          <w:sz w:val="22"/>
          <w:szCs w:val="22"/>
        </w:rPr>
        <w:t>Open Reports › Document templates and click DT-E2E-01.</w:t>
      </w:r>
    </w:p>
    <w:p>
      <w:pPr>
        <w:pStyle w:val="ListParagraph"/>
        <w:numPr>
          <w:ilvl w:val="0"/>
          <w:numId w:val="17"/>
        </w:numPr>
        <w:spacing w:lineRule="auto" w:line="288" w:before="0" w:after="80"/>
        <w:rPr/>
      </w:pPr>
      <w:r>
        <w:rPr>
          <w:rFonts w:eastAsia="Open Sans" w:cs="Open Sans"/>
          <w:color w:val="2C3E50"/>
          <w:sz w:val="22"/>
          <w:szCs w:val="22"/>
        </w:rPr>
        <w:t>Click Copy to my organization. Drafts that use an older version are listed.</w:t>
      </w:r>
    </w:p>
    <w:p>
      <w:pPr>
        <w:pStyle w:val="Normal"/>
        <w:keepNext w:val="true"/>
        <w:spacing w:before="120" w:after="60"/>
        <w:jc w:val="center"/>
        <w:rPr/>
      </w:pPr>
      <w:r>
        <w:rPr/>
        <w:drawing>
          <wp:inline distT="0" distB="0" distL="0" distR="0">
            <wp:extent cx="5905500" cy="3695700"/>
            <wp:effectExtent l="0" t="0" r="0" b="0"/>
            <wp:docPr id="14" name="a_doctpl.png" descr="Figure 13 — Document template library&#10;Figure 13 — Document templat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_doctpl.png" descr="Figure 13 — Document template library&#10;Figure 13 — Document template library"/>
                    <pic:cNvPicPr>
                      <a:picLocks noChangeAspect="1" noChangeArrowheads="1"/>
                    </pic:cNvPicPr>
                  </pic:nvPicPr>
                  <pic:blipFill>
                    <a:blip r:embed="rId15"/>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13 — Document template library</w:t>
      </w:r>
    </w:p>
    <w:p>
      <w:pPr>
        <w:pStyle w:val="Normal"/>
        <w:keepNext w:val="true"/>
        <w:spacing w:before="160" w:after="60"/>
        <w:rPr/>
      </w:pPr>
      <w:r>
        <w:rPr>
          <w:rFonts w:eastAsia="Open Sans" w:cs="Open Sans"/>
          <w:b/>
          <w:bCs/>
          <w:color w:val="123A5F"/>
          <w:sz w:val="23"/>
          <w:szCs w:val="23"/>
        </w:rPr>
        <w:t>Set the organization layout</w:t>
      </w:r>
    </w:p>
    <w:p>
      <w:pPr>
        <w:pStyle w:val="ListParagraph"/>
        <w:numPr>
          <w:ilvl w:val="0"/>
          <w:numId w:val="39"/>
        </w:numPr>
        <w:spacing w:lineRule="auto" w:line="288" w:before="0" w:after="80"/>
        <w:rPr/>
      </w:pPr>
      <w:r>
        <w:rPr>
          <w:rFonts w:eastAsia="Open Sans" w:cs="Open Sans"/>
          <w:color w:val="2C3E50"/>
          <w:sz w:val="22"/>
          <w:szCs w:val="22"/>
        </w:rPr>
        <w:t>Open Reports › Document layout.</w:t>
      </w:r>
    </w:p>
    <w:p>
      <w:pPr>
        <w:pStyle w:val="ListParagraph"/>
        <w:numPr>
          <w:ilvl w:val="0"/>
          <w:numId w:val="18"/>
        </w:numPr>
        <w:spacing w:lineRule="auto" w:line="288" w:before="0" w:after="80"/>
        <w:rPr/>
      </w:pPr>
      <w:r>
        <w:rPr>
          <w:rFonts w:eastAsia="Open Sans" w:cs="Open Sans"/>
          <w:color w:val="2C3E50"/>
          <w:sz w:val="22"/>
          <w:szCs w:val="22"/>
        </w:rPr>
        <w:t>Choose fonts, sizes, alignment and colors from the allowed lists.</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Body font — Open Sans 11 pt; Heading font — Montserrat 16 pt; Alignment — Left; Table header color — 123A5F (Navy); Paper — A4; Margins — 20 mm</w:t>
      </w:r>
    </w:p>
    <w:p>
      <w:pPr>
        <w:pStyle w:val="ListParagraph"/>
        <w:numPr>
          <w:ilvl w:val="0"/>
          <w:numId w:val="18"/>
        </w:numPr>
        <w:spacing w:lineRule="auto" w:line="288" w:before="0" w:after="80"/>
        <w:rPr/>
      </w:pPr>
      <w:r>
        <w:rPr>
          <w:rFonts w:eastAsia="Open Sans" w:cs="Open Sans"/>
          <w:color w:val="2C3E50"/>
          <w:sz w:val="22"/>
          <w:szCs w:val="22"/>
        </w:rPr>
        <w:t>Type the header and footer texts, choose Uploaded image as logo and upload a PNG of 5 MB or less.</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Header — Maghreb Hospitals Group · Training; Footer — Internal use</w:t>
      </w:r>
    </w:p>
    <w:p>
      <w:pPr>
        <w:pStyle w:val="ListParagraph"/>
        <w:numPr>
          <w:ilvl w:val="0"/>
          <w:numId w:val="18"/>
        </w:numPr>
        <w:spacing w:lineRule="auto" w:line="288" w:before="0" w:after="80"/>
        <w:rPr/>
      </w:pPr>
      <w:r>
        <w:rPr>
          <w:rFonts w:eastAsia="Open Sans" w:cs="Open Sans"/>
          <w:color w:val="2C3E50"/>
          <w:sz w:val="22"/>
          <w:szCs w:val="22"/>
        </w:rPr>
        <w:t>Click Preview as PDF, then Save. Each save is a version.</w:t>
      </w:r>
    </w:p>
    <w:p>
      <w:pPr>
        <w:pStyle w:val="Normal"/>
        <w:keepNext w:val="true"/>
        <w:spacing w:before="120" w:after="60"/>
        <w:jc w:val="center"/>
        <w:rPr/>
      </w:pPr>
      <w:r>
        <w:rPr/>
        <w:drawing>
          <wp:inline distT="0" distB="0" distL="0" distR="0">
            <wp:extent cx="5905500" cy="3695700"/>
            <wp:effectExtent l="0" t="0" r="0" b="0"/>
            <wp:docPr id="15" name="a_layout.png" descr="Figure 14 — Document layout&#10;Figure 14 — Documen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_layout.png" descr="Figure 14 — Document layout&#10;Figure 14 — Document layout"/>
                    <pic:cNvPicPr>
                      <a:picLocks noChangeAspect="1" noChangeArrowheads="1"/>
                    </pic:cNvPicPr>
                  </pic:nvPicPr>
                  <pic:blipFill>
                    <a:blip r:embed="rId16"/>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14 — Document layout</w:t>
      </w:r>
    </w:p>
    <w:p>
      <w:pPr>
        <w:pStyle w:val="Normal"/>
        <w:spacing w:lineRule="auto" w:line="288" w:before="0" w:after="160"/>
        <w:jc w:val="left"/>
        <w:rPr/>
      </w:pPr>
      <w:r>
        <w:rPr>
          <w:rFonts w:eastAsia="Open Sans" w:cs="Open Sans"/>
          <w:color w:val="2C3E50"/>
          <w:sz w:val="22"/>
          <w:szCs w:val="22"/>
        </w:rPr>
        <w:t>Reports › Master list lists every document of the project with version, status, owner and review dates; the tab Required by standards shows, clause by clause, the template and the document that answer each standard.</w:t>
      </w:r>
    </w:p>
    <w:p>
      <w:pPr>
        <w:pStyle w:val="Normal"/>
        <w:keepNext w:val="true"/>
        <w:spacing w:before="120" w:after="60"/>
        <w:jc w:val="center"/>
        <w:rPr/>
      </w:pPr>
      <w:r>
        <w:rPr/>
        <w:drawing>
          <wp:inline distT="0" distB="0" distL="0" distR="0">
            <wp:extent cx="5905500" cy="3695700"/>
            <wp:effectExtent l="0" t="0" r="0" b="0"/>
            <wp:docPr id="16" name="a_master.png" descr="Figure 15 — Master list&#10;Figure 15 — Mast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_master.png" descr="Figure 15 — Master list&#10;Figure 15 — Master list"/>
                    <pic:cNvPicPr>
                      <a:picLocks noChangeAspect="1" noChangeArrowheads="1"/>
                    </pic:cNvPicPr>
                  </pic:nvPicPr>
                  <pic:blipFill>
                    <a:blip r:embed="rId17"/>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15 — Master list</w:t>
      </w:r>
      <w:r>
        <w:br w:type="page"/>
      </w:r>
    </w:p>
    <w:p>
      <w:pPr>
        <w:pStyle w:val="Heading1"/>
        <w:pBdr>
          <w:bottom w:val="single" w:sz="6" w:space="6" w:color="E1E8F0"/>
        </w:pBdr>
        <w:spacing w:before="0" w:after="240"/>
        <w:rPr/>
      </w:pPr>
      <w:bookmarkStart w:id="8" w:name="__RefHeading___Toc515_3373283034"/>
      <w:bookmarkEnd w:id="8"/>
      <w:r>
        <w:rPr>
          <w:rFonts w:eastAsia="Montserrat" w:cs="Montserrat"/>
          <w:b/>
          <w:bCs/>
          <w:color w:val="123A5F"/>
          <w:sz w:val="40"/>
          <w:szCs w:val="40"/>
        </w:rPr>
        <w:t>9. Audits</w:t>
      </w:r>
    </w:p>
    <w:p>
      <w:pPr>
        <w:pStyle w:val="Normal"/>
        <w:keepNext w:val="true"/>
        <w:spacing w:before="160" w:after="60"/>
        <w:rPr/>
      </w:pPr>
      <w:r>
        <w:rPr>
          <w:rFonts w:eastAsia="Open Sans" w:cs="Open Sans"/>
          <w:b/>
          <w:bCs/>
          <w:color w:val="123A5F"/>
          <w:sz w:val="23"/>
          <w:szCs w:val="23"/>
        </w:rPr>
        <w:t>Plan an audit and treat a nonconformity</w:t>
      </w:r>
    </w:p>
    <w:p>
      <w:pPr>
        <w:pStyle w:val="ListParagraph"/>
        <w:numPr>
          <w:ilvl w:val="0"/>
          <w:numId w:val="40"/>
        </w:numPr>
        <w:spacing w:lineRule="auto" w:line="288" w:before="0" w:after="80"/>
        <w:rPr/>
      </w:pPr>
      <w:r>
        <w:rPr>
          <w:rFonts w:eastAsia="Open Sans" w:cs="Open Sans"/>
          <w:color w:val="2C3E50"/>
          <w:sz w:val="22"/>
          <w:szCs w:val="22"/>
        </w:rPr>
        <w:t>Open Governance › Audits and click New.</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Code — AUD-2027-01; Name — Internal audit of the training process; Standard — ISO 9001; Frequency — Annual; Planned date — 2027-03-15</w:t>
      </w:r>
    </w:p>
    <w:p>
      <w:pPr>
        <w:pStyle w:val="ListParagraph"/>
        <w:numPr>
          <w:ilvl w:val="0"/>
          <w:numId w:val="19"/>
        </w:numPr>
        <w:spacing w:lineRule="auto" w:line="288" w:before="0" w:after="80"/>
        <w:rPr/>
      </w:pPr>
      <w:r>
        <w:rPr>
          <w:rFonts w:eastAsia="Open Sans" w:cs="Open Sans"/>
          <w:color w:val="2C3E50"/>
          <w:sz w:val="22"/>
          <w:szCs w:val="22"/>
        </w:rPr>
        <w:t>Save. The next date is computed from the frequency.</w:t>
      </w:r>
    </w:p>
    <w:p>
      <w:pPr>
        <w:pStyle w:val="ListParagraph"/>
        <w:numPr>
          <w:ilvl w:val="0"/>
          <w:numId w:val="19"/>
        </w:numPr>
        <w:spacing w:lineRule="auto" w:line="288" w:before="0" w:after="80"/>
        <w:rPr/>
      </w:pPr>
      <w:r>
        <w:rPr>
          <w:rFonts w:eastAsia="Open Sans" w:cs="Open Sans"/>
          <w:color w:val="2C3E50"/>
          <w:sz w:val="22"/>
          <w:szCs w:val="22"/>
        </w:rPr>
        <w:t>Open the audit and add a finding.</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Grade — Minor; Requirement — ISO 9001 §7.2; Statement — Two trainers have no evidence of competence on file.</w:t>
      </w:r>
    </w:p>
    <w:p>
      <w:pPr>
        <w:pStyle w:val="ListParagraph"/>
        <w:numPr>
          <w:ilvl w:val="0"/>
          <w:numId w:val="19"/>
        </w:numPr>
        <w:spacing w:lineRule="auto" w:line="288" w:before="0" w:after="80"/>
        <w:rPr/>
      </w:pPr>
      <w:r>
        <w:rPr>
          <w:rFonts w:eastAsia="Open Sans" w:cs="Open Sans"/>
          <w:color w:val="2C3E50"/>
          <w:sz w:val="22"/>
          <w:szCs w:val="22"/>
        </w:rPr>
        <w:t>Click Raise the action. The corrective action enters the action process; the finding moves to Action planned.</w:t>
      </w:r>
    </w:p>
    <w:p>
      <w:pPr>
        <w:pStyle w:val="Normal"/>
        <w:keepNext w:val="true"/>
        <w:spacing w:before="120" w:after="60"/>
        <w:jc w:val="center"/>
        <w:rPr/>
      </w:pPr>
      <w:r>
        <w:rPr/>
        <w:drawing>
          <wp:inline distT="0" distB="0" distL="0" distR="0">
            <wp:extent cx="5905500" cy="3695700"/>
            <wp:effectExtent l="0" t="0" r="0" b="0"/>
            <wp:docPr id="17" name="a_audits.png" descr="Figure 16 — Audit programmes and grading scale&#10;Figure 16 — Audit programmes and gradin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_audits.png" descr="Figure 16 — Audit programmes and grading scale&#10;Figure 16 — Audit programmes and grading scale"/>
                    <pic:cNvPicPr>
                      <a:picLocks noChangeAspect="1" noChangeArrowheads="1"/>
                    </pic:cNvPicPr>
                  </pic:nvPicPr>
                  <pic:blipFill>
                    <a:blip r:embed="rId18"/>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16 — Audit programmes and grading scale</w:t>
      </w:r>
      <w:r>
        <w:br w:type="page"/>
      </w:r>
    </w:p>
    <w:p>
      <w:pPr>
        <w:pStyle w:val="Heading1"/>
        <w:pBdr>
          <w:bottom w:val="single" w:sz="6" w:space="6" w:color="E1E8F0"/>
        </w:pBdr>
        <w:spacing w:before="0" w:after="240"/>
        <w:rPr/>
      </w:pPr>
      <w:bookmarkStart w:id="9" w:name="__RefHeading___Toc517_3373283034"/>
      <w:bookmarkEnd w:id="9"/>
      <w:r>
        <w:rPr>
          <w:rFonts w:eastAsia="Montserrat" w:cs="Montserrat"/>
          <w:b/>
          <w:bCs/>
          <w:color w:val="123A5F"/>
          <w:sz w:val="40"/>
          <w:szCs w:val="40"/>
        </w:rPr>
        <w:t>10. Data protection and operations</w:t>
      </w:r>
    </w:p>
    <w:tbl>
      <w:tblPr>
        <w:tblW w:w="9638" w:type="dxa"/>
        <w:jc w:val="left"/>
        <w:tblInd w:w="0" w:type="dxa"/>
        <w:tblLayout w:type="fixed"/>
        <w:tblCellMar>
          <w:top w:w="70" w:type="dxa"/>
          <w:left w:w="110" w:type="dxa"/>
          <w:bottom w:w="70" w:type="dxa"/>
          <w:right w:w="110" w:type="dxa"/>
        </w:tblCellMar>
      </w:tblPr>
      <w:tblGrid>
        <w:gridCol w:w="2768"/>
        <w:gridCol w:w="6869"/>
      </w:tblGrid>
      <w:tr>
        <w:trPr>
          <w:tblHeader w:val="true"/>
          <w:cantSplit w:val="true"/>
        </w:trPr>
        <w:tc>
          <w:tcPr>
            <w:tcW w:w="27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Topic</w:t>
            </w:r>
          </w:p>
        </w:tc>
        <w:tc>
          <w:tcPr>
            <w:tcW w:w="68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Rule in CortexSkills</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Retention of responses</w:t>
            </w:r>
          </w:p>
        </w:tc>
        <w:tc>
          <w:tcPr>
            <w:tcW w:w="68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responses older than the retention period (5 years by default, record Retention policy) are anonymized every day: identity and free text removed, scores kept.</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Anonymized questionnaires</w:t>
            </w:r>
          </w:p>
        </w:tc>
        <w:tc>
          <w:tcPr>
            <w:tcW w:w="68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Tick Anonymized on the questionnaire: identity is stripped before storage and no link to the respondent is kept.</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Audit log</w:t>
            </w:r>
          </w:p>
        </w:tc>
        <w:tc>
          <w:tcPr>
            <w:tcW w:w="68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Append-only: every change with user, time, before and after values and justification.</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Backups</w:t>
            </w:r>
          </w:p>
        </w:tc>
        <w:tc>
          <w:tcPr>
            <w:tcW w:w="68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Daily copy of the database while the service runs; retention set in the server configuration; Backup now on demand (platform administrator).</w:t>
            </w:r>
          </w:p>
        </w:tc>
      </w:tr>
      <w:tr>
        <w:trPr>
          <w:cantSplit w:val="true"/>
        </w:trPr>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Keys and secrets</w:t>
            </w:r>
          </w:p>
        </w:tc>
        <w:tc>
          <w:tcPr>
            <w:tcW w:w="68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Model keys and channel tokens are sealed on the server; only the last characters are shown.</w:t>
            </w:r>
          </w:p>
        </w:tc>
      </w:tr>
    </w:tbl>
    <w:p>
      <w:pPr>
        <w:pStyle w:val="Normal"/>
        <w:spacing w:before="0" w:after="120"/>
        <w:rPr/>
      </w:pPr>
      <w:r>
        <w:rPr/>
      </w:r>
    </w:p>
    <w:p>
      <w:pPr>
        <w:pStyle w:val="Normal"/>
        <w:keepNext w:val="true"/>
        <w:spacing w:before="160" w:after="60"/>
        <w:rPr/>
      </w:pPr>
      <w:r>
        <w:rPr>
          <w:rFonts w:eastAsia="Open Sans" w:cs="Open Sans"/>
          <w:b/>
          <w:bCs/>
          <w:color w:val="123A5F"/>
          <w:sz w:val="23"/>
          <w:szCs w:val="23"/>
        </w:rPr>
        <w:t>Purge expired responses now</w:t>
      </w:r>
    </w:p>
    <w:p>
      <w:pPr>
        <w:pStyle w:val="ListParagraph"/>
        <w:numPr>
          <w:ilvl w:val="0"/>
          <w:numId w:val="41"/>
        </w:numPr>
        <w:spacing w:lineRule="auto" w:line="288" w:before="0" w:after="80"/>
        <w:rPr/>
      </w:pPr>
      <w:r>
        <w:rPr>
          <w:rFonts w:eastAsia="Open Sans" w:cs="Open Sans"/>
          <w:color w:val="2C3E50"/>
          <w:sz w:val="22"/>
          <w:szCs w:val="22"/>
        </w:rPr>
        <w:t>Set the period: open Portfolio › Business records › RetentionPolicy and create the record.</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Questionnaire years — 5; Mode — anonymize</w:t>
      </w:r>
    </w:p>
    <w:p>
      <w:pPr>
        <w:pStyle w:val="ListParagraph"/>
        <w:numPr>
          <w:ilvl w:val="0"/>
          <w:numId w:val="20"/>
        </w:numPr>
        <w:spacing w:lineRule="auto" w:line="288" w:before="0" w:after="80"/>
        <w:rPr/>
      </w:pPr>
      <w:r>
        <w:rPr>
          <w:rFonts w:eastAsia="Open Sans" w:cs="Open Sans"/>
          <w:color w:val="2C3E50"/>
          <w:sz w:val="22"/>
          <w:szCs w:val="22"/>
        </w:rPr>
        <w:t>The purge runs every day. To run it now, call the API as organization administrator.</w:t>
      </w:r>
    </w:p>
    <w:p>
      <w:pPr>
        <w:pStyle w:val="Normal"/>
        <w:spacing w:before="0" w:after="60"/>
        <w:ind w:left="700"/>
        <w:rPr/>
      </w:pPr>
      <w:r>
        <w:rPr>
          <w:rFonts w:eastAsia="Open Sans" w:cs="Open Sans"/>
          <w:b/>
          <w:bCs/>
          <w:color w:val="123A5F"/>
          <w:sz w:val="21"/>
          <w:szCs w:val="21"/>
        </w:rPr>
        <w:t xml:space="preserve">Type: </w:t>
      </w:r>
      <w:r>
        <w:rPr>
          <w:rFonts w:eastAsia="Open Sans" w:cs="Open Sans"/>
          <w:color w:val="2C3E50"/>
          <w:sz w:val="21"/>
          <w:szCs w:val="21"/>
        </w:rPr>
        <w:t>POST /api/retention/purge  {"mode":"anonymize"}</w:t>
      </w:r>
    </w:p>
    <w:p>
      <w:pPr>
        <w:pStyle w:val="ListParagraph"/>
        <w:numPr>
          <w:ilvl w:val="0"/>
          <w:numId w:val="20"/>
        </w:numPr>
        <w:spacing w:lineRule="auto" w:line="288" w:before="0" w:after="80"/>
        <w:rPr/>
      </w:pPr>
      <w:r>
        <w:rPr>
          <w:rFonts w:eastAsia="Open Sans" w:cs="Open Sans"/>
          <w:color w:val="2C3E50"/>
          <w:sz w:val="22"/>
          <w:szCs w:val="22"/>
        </w:rPr>
        <w:t>Check the count in the audit log entry RetentionPolicy · purge.</w:t>
      </w:r>
    </w:p>
    <w:p>
      <w:pPr>
        <w:pStyle w:val="Normal"/>
        <w:keepNext w:val="true"/>
        <w:spacing w:before="120" w:after="60"/>
        <w:jc w:val="center"/>
        <w:rPr/>
      </w:pPr>
      <w:r>
        <w:rPr/>
        <w:drawing>
          <wp:inline distT="0" distB="0" distL="0" distR="0">
            <wp:extent cx="5905500" cy="3695700"/>
            <wp:effectExtent l="0" t="0" r="0" b="0"/>
            <wp:docPr id="18" name="a_audit.png" descr="Figure 17 — Audit log&#10;Figure 17 —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_audit.png" descr="Figure 17 — Audit log&#10;Figure 17 — Audit log"/>
                    <pic:cNvPicPr>
                      <a:picLocks noChangeAspect="1" noChangeArrowheads="1"/>
                    </pic:cNvPicPr>
                  </pic:nvPicPr>
                  <pic:blipFill>
                    <a:blip r:embed="rId19"/>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17 — Audit log</w:t>
      </w:r>
    </w:p>
    <w:p>
      <w:pPr>
        <w:pStyle w:val="Heading2"/>
        <w:keepNext w:val="true"/>
        <w:spacing w:before="320" w:after="120"/>
        <w:rPr/>
      </w:pPr>
      <w:bookmarkStart w:id="10" w:name="__RefHeading___Toc519_3373283034"/>
      <w:bookmarkEnd w:id="10"/>
      <w:r>
        <w:rPr>
          <w:rFonts w:eastAsia="Montserrat" w:cs="Montserrat"/>
          <w:b/>
          <w:bCs/>
          <w:color w:val="123A5F"/>
          <w:sz w:val="32"/>
          <w:szCs w:val="32"/>
        </w:rPr>
        <w:t>Traceability</w:t>
      </w:r>
    </w:p>
    <w:p>
      <w:pPr>
        <w:pStyle w:val="Normal"/>
        <w:spacing w:lineRule="auto" w:line="288" w:before="0" w:after="160"/>
        <w:jc w:val="left"/>
        <w:rPr/>
      </w:pPr>
      <w:r>
        <w:rPr>
          <w:rFonts w:eastAsia="Open Sans" w:cs="Open Sans"/>
          <w:color w:val="2C3E50"/>
          <w:sz w:val="22"/>
          <w:szCs w:val="22"/>
        </w:rPr>
        <w:t>Administration › Traceability lists the 580 requirements of the Dynamic Apps Standard SRS v1.10 with their status and evidence: 558 met, 10 partial and 12 left to the production hosting (sizing, uptime, encryption at rest, residency).</w:t>
      </w:r>
    </w:p>
    <w:p>
      <w:pPr>
        <w:pStyle w:val="Normal"/>
        <w:keepNext w:val="true"/>
        <w:spacing w:before="120" w:after="60"/>
        <w:jc w:val="center"/>
        <w:rPr/>
      </w:pPr>
      <w:r>
        <w:rPr/>
        <w:drawing>
          <wp:inline distT="0" distB="0" distL="0" distR="0">
            <wp:extent cx="5905500" cy="3695700"/>
            <wp:effectExtent l="0" t="0" r="0" b="0"/>
            <wp:docPr id="19" name="a_trace.png" descr="Figure 18 — Requirement traceability&#10;Figure 18 — Requirement trac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_trace.png" descr="Figure 18 — Requirement traceability&#10;Figure 18 — Requirement traceability"/>
                    <pic:cNvPicPr>
                      <a:picLocks noChangeAspect="1" noChangeArrowheads="1"/>
                    </pic:cNvPicPr>
                  </pic:nvPicPr>
                  <pic:blipFill>
                    <a:blip r:embed="rId20"/>
                    <a:stretch>
                      <a:fillRect/>
                    </a:stretch>
                  </pic:blipFill>
                  <pic:spPr bwMode="auto">
                    <a:xfrm>
                      <a:off x="0" y="0"/>
                      <a:ext cx="5905500" cy="36957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18 — Requirement traceability</w:t>
      </w:r>
      <w:r>
        <w:br w:type="page"/>
      </w:r>
    </w:p>
    <w:p>
      <w:pPr>
        <w:pStyle w:val="Heading1"/>
        <w:pBdr>
          <w:bottom w:val="single" w:sz="6" w:space="6" w:color="E1E8F0"/>
        </w:pBdr>
        <w:spacing w:before="0" w:after="240"/>
        <w:rPr/>
      </w:pPr>
      <w:bookmarkStart w:id="11" w:name="__RefHeading___Toc521_3373283034"/>
      <w:bookmarkEnd w:id="11"/>
      <w:r>
        <w:rPr>
          <w:rFonts w:eastAsia="Montserrat" w:cs="Montserrat"/>
          <w:b/>
          <w:bCs/>
          <w:color w:val="123A5F"/>
          <w:sz w:val="40"/>
          <w:szCs w:val="40"/>
        </w:rPr>
        <w:t>11. Production deployment</w:t>
      </w:r>
    </w:p>
    <w:p>
      <w:pPr>
        <w:pStyle w:val="Normal"/>
        <w:spacing w:lineRule="auto" w:line="288" w:before="0" w:after="160"/>
        <w:jc w:val="left"/>
        <w:rPr/>
      </w:pPr>
      <w:r>
        <w:rPr>
          <w:rFonts w:eastAsia="Open Sans" w:cs="Open Sans"/>
          <w:color w:val="2C3E50"/>
          <w:sz w:val="22"/>
          <w:szCs w:val="22"/>
        </w:rPr>
        <w:t>The demonstration runs in development mode with shared passwords. A production installation is created empty with npm run init and is administered from the server console (npm run admin). Two Installation Guides give every step: CortexSkills — SaaS Mode, and CortexSkills — Dedicated Cloud &amp; On-Premises.</w:t>
      </w:r>
    </w:p>
    <w:tbl>
      <w:tblPr>
        <w:tblW w:w="9638" w:type="dxa"/>
        <w:jc w:val="left"/>
        <w:tblInd w:w="0" w:type="dxa"/>
        <w:tblLayout w:type="fixed"/>
        <w:tblCellMar>
          <w:top w:w="70" w:type="dxa"/>
          <w:left w:w="110" w:type="dxa"/>
          <w:bottom w:w="70" w:type="dxa"/>
          <w:right w:w="110" w:type="dxa"/>
        </w:tblCellMar>
      </w:tblPr>
      <w:tblGrid>
        <w:gridCol w:w="2372"/>
        <w:gridCol w:w="2572"/>
        <w:gridCol w:w="2570"/>
        <w:gridCol w:w="2123"/>
      </w:tblGrid>
      <w:tr>
        <w:trPr>
          <w:tblHeader w:val="true"/>
          <w:cantSplit w:val="true"/>
        </w:trPr>
        <w:tc>
          <w:tcPr>
            <w:tcW w:w="23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w:t>
            </w:r>
          </w:p>
        </w:tc>
        <w:tc>
          <w:tcPr>
            <w:tcW w:w="25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Where</w:t>
            </w:r>
          </w:p>
        </w:tc>
        <w:tc>
          <w:tcPr>
            <w:tcW w:w="2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Licence</w:t>
            </w:r>
          </w:p>
        </w:tc>
        <w:tc>
          <w:tcPr>
            <w:tcW w:w="212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Pack activation</w:t>
            </w:r>
          </w:p>
        </w:tc>
      </w:tr>
      <w:tr>
        <w:trPr>
          <w:cantSplit w:val="true"/>
        </w:trPr>
        <w:tc>
          <w:tcPr>
            <w:tcW w:w="23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SaaS (DEPLOYMENT_MODE=saas)</w:t>
            </w:r>
          </w:p>
        </w:tc>
        <w:tc>
          <w:tcPr>
            <w:tcW w:w="25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One installation at the provider, many organizations</w:t>
            </w:r>
          </w:p>
        </w:tc>
        <w:tc>
          <w:tcPr>
            <w:tcW w:w="2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Issued by the provider: npm run admin -- licence</w:t>
            </w:r>
          </w:p>
        </w:tc>
        <w:tc>
          <w:tcPr>
            <w:tcW w:w="212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Console (licence, addon) or Configuration &amp; licence screen</w:t>
            </w:r>
          </w:p>
        </w:tc>
      </w:tr>
      <w:tr>
        <w:trPr>
          <w:cantSplit w:val="true"/>
        </w:trPr>
        <w:tc>
          <w:tcPr>
            <w:tcW w:w="23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Dedicated cloud / On-Prem (DEPLOYMENT_MODE=onprem)</w:t>
            </w:r>
          </w:p>
        </w:tc>
        <w:tc>
          <w:tcPr>
            <w:tcW w:w="25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One installation per customer: public cloud, private cloud or own datacenter</w:t>
            </w:r>
          </w:p>
        </w:tc>
        <w:tc>
          <w:tcPr>
            <w:tcW w:w="25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Vendor-signed file: licence-request → vendor signs → licence-install</w:t>
            </w:r>
          </w:p>
        </w:tc>
        <w:tc>
          <w:tcPr>
            <w:tcW w:w="212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Signed licence (pack, users, date); add-ons and standards on screen</w:t>
            </w:r>
          </w:p>
        </w:tc>
      </w:tr>
    </w:tbl>
    <w:p>
      <w:pPr>
        <w:pStyle w:val="Normal"/>
        <w:spacing w:before="0" w:after="120"/>
        <w:rPr/>
      </w:pPr>
      <w:r>
        <w:rPr/>
      </w:r>
    </w:p>
    <w:tbl>
      <w:tblPr>
        <w:tblW w:w="9638" w:type="dxa"/>
        <w:jc w:val="left"/>
        <w:tblInd w:w="0" w:type="dxa"/>
        <w:tblLayout w:type="fixed"/>
        <w:tblCellMar>
          <w:top w:w="70" w:type="dxa"/>
          <w:left w:w="110" w:type="dxa"/>
          <w:bottom w:w="70" w:type="dxa"/>
          <w:right w:w="110" w:type="dxa"/>
        </w:tblCellMar>
      </w:tblPr>
      <w:tblGrid>
        <w:gridCol w:w="4350"/>
        <w:gridCol w:w="5287"/>
      </w:tblGrid>
      <w:tr>
        <w:trPr>
          <w:tblHeader w:val="true"/>
          <w:cantSplit w:val="true"/>
        </w:trPr>
        <w:tc>
          <w:tcPr>
            <w:tcW w:w="43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Console command</w:t>
            </w:r>
          </w:p>
        </w:tc>
        <w:tc>
          <w:tcPr>
            <w:tcW w:w="52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Purpose</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secrets</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New random secrets for server/.env</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npm run init</w:t>
            </w:r>
          </w:p>
        </w:tc>
        <w:tc>
          <w:tcPr>
            <w:tcW w:w="5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Empty production database and platform administrator</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admin -- org-create / org-list</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Create and list customer organizations</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npm run admin -- licence / addon</w:t>
            </w:r>
          </w:p>
        </w:tc>
        <w:tc>
          <w:tcPr>
            <w:tcW w:w="5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SaaS: issue, renew, resize a licence; add-ons</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admin -- licence-request / licence-install</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OnPrem: request and install the signed licence</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npm run admin -- user-create / password / platform-admin</w:t>
            </w:r>
          </w:p>
        </w:tc>
        <w:tc>
          <w:tcPr>
            <w:tcW w:w="52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Users, password reset, platform administrators</w:t>
            </w:r>
          </w:p>
        </w:tc>
      </w:tr>
      <w:tr>
        <w:trPr>
          <w:cantSplit w:val="true"/>
        </w:trPr>
        <w:tc>
          <w:tcPr>
            <w:tcW w:w="4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npm run backup</w:t>
            </w:r>
          </w:p>
        </w:tc>
        <w:tc>
          <w:tcPr>
            <w:tcW w:w="52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Back up the database now</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Safety at start-up</w:t>
            </w:r>
          </w:p>
          <w:p>
            <w:pPr>
              <w:pStyle w:val="Normal"/>
              <w:spacing w:lineRule="auto" w:line="288" w:before="0" w:after="60"/>
              <w:jc w:val="left"/>
              <w:rPr/>
            </w:pPr>
            <w:r>
              <w:rPr>
                <w:rFonts w:eastAsia="Open Sans" w:cs="Open Sans"/>
                <w:color w:val="2C3E50"/>
                <w:sz w:val="21"/>
                <w:szCs w:val="21"/>
              </w:rPr>
              <w:t>With NODE_ENV=production the server refuses to start while a secret is missing or weak, the public address is not HTTPS, CORS is open, the database holds the demonstration data, or (OnPrem) the vendor public key is missing or the vendor private key is present. It lists each problem with its fix.</w:t>
            </w:r>
          </w:p>
        </w:tc>
      </w:tr>
    </w:tbl>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Administration Guide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23</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0"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1.10.0 · Administration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4"/>
    <w:lvlOverride w:ilvl="0">
      <w:startOverride w:val="1"/>
    </w:lvlOverride>
  </w:num>
  <w:num w:numId="26">
    <w:abstractNumId w:val="5"/>
    <w:lvlOverride w:ilvl="0">
      <w:startOverride w:val="1"/>
    </w:lvlOverride>
  </w:num>
  <w:num w:numId="27">
    <w:abstractNumId w:val="6"/>
    <w:lvlOverride w:ilvl="0">
      <w:startOverride w:val="1"/>
    </w:lvlOverride>
  </w:num>
  <w:num w:numId="28">
    <w:abstractNumId w:val="7"/>
    <w:lvlOverride w:ilvl="0">
      <w:startOverride w:val="1"/>
    </w:lvlOverride>
  </w:num>
  <w:num w:numId="29">
    <w:abstractNumId w:val="8"/>
    <w:lvlOverride w:ilvl="0">
      <w:startOverride w:val="1"/>
    </w:lvlOverride>
  </w:num>
  <w:num w:numId="30">
    <w:abstractNumId w:val="9"/>
    <w:lvlOverride w:ilvl="0">
      <w:startOverride w:val="1"/>
    </w:lvlOverride>
  </w:num>
  <w:num w:numId="31">
    <w:abstractNumId w:val="10"/>
    <w:lvlOverride w:ilvl="0">
      <w:startOverride w:val="1"/>
    </w:lvlOverride>
  </w:num>
  <w:num w:numId="32">
    <w:abstractNumId w:val="11"/>
    <w:lvlOverride w:ilvl="0">
      <w:startOverride w:val="1"/>
    </w:lvlOverride>
  </w:num>
  <w:num w:numId="33">
    <w:abstractNumId w:val="12"/>
    <w:lvlOverride w:ilvl="0">
      <w:startOverride w:val="1"/>
    </w:lvlOverride>
  </w:num>
  <w:num w:numId="34">
    <w:abstractNumId w:val="13"/>
    <w:lvlOverride w:ilvl="0">
      <w:startOverride w:val="1"/>
    </w:lvlOverride>
  </w:num>
  <w:num w:numId="35">
    <w:abstractNumId w:val="14"/>
    <w:lvlOverride w:ilvl="0">
      <w:startOverride w:val="1"/>
    </w:lvlOverride>
  </w:num>
  <w:num w:numId="36">
    <w:abstractNumId w:val="15"/>
    <w:lvlOverride w:ilvl="0">
      <w:startOverride w:val="1"/>
    </w:lvlOverride>
  </w:num>
  <w:num w:numId="37">
    <w:abstractNumId w:val="16"/>
    <w:lvlOverride w:ilvl="0">
      <w:startOverride w:val="1"/>
    </w:lvlOverride>
  </w:num>
  <w:num w:numId="38">
    <w:abstractNumId w:val="17"/>
    <w:lvlOverride w:ilvl="0">
      <w:startOverride w:val="1"/>
    </w:lvlOverride>
  </w:num>
  <w:num w:numId="39">
    <w:abstractNumId w:val="18"/>
    <w:lvlOverride w:ilvl="0">
      <w:startOverride w:val="1"/>
    </w:lvlOverride>
  </w:num>
  <w:num w:numId="40">
    <w:abstractNumId w:val="19"/>
    <w:lvlOverride w:ilvl="0">
      <w:startOverride w:val="1"/>
    </w:lvlOverride>
  </w:num>
  <w:num w:numId="41">
    <w:abstractNumId w:val="20"/>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2026-10-12T16:46:16Z</dcterms:created>
  <dc:creator>AI Value</dc:creator>
  <dc:description>CortexSkills — Administration Guide</dc:description>
  <dc:language>en-US</dc:language>
  <cp:lastModifiedBy/>
  <dcterms:modified xsi:type="dcterms:W3CDTF">2026-10-12T16:47:51Z</dcterms:modified>
  <cp:revision>2</cp:revision>
  <dc:subject/>
  <dc:title>CortexSkills — Administration Guide</dc:title>
</cp:coreProperties>
</file>