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D’ADMINISTRATION</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Configurer, gouverner et exploiter la plateforme</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021_3373283034">
            <w:r>
              <w:rPr>
                <w:rStyle w:val="IndexLink"/>
              </w:rPr>
              <w:t>1. À propos de ce guide</w:t>
              <w:tab/>
              <w:t>3</w:t>
            </w:r>
          </w:hyperlink>
        </w:p>
        <w:p>
          <w:pPr>
            <w:pStyle w:val="TOC1"/>
            <w:tabs>
              <w:tab w:val="clear" w:pos="720"/>
              <w:tab w:val="right" w:pos="9637" w:leader="dot"/>
            </w:tabs>
            <w:rPr/>
          </w:pPr>
          <w:hyperlink w:anchor="__RefHeading___Toc1023_3373283034">
            <w:r>
              <w:rPr>
                <w:rStyle w:val="IndexLink"/>
              </w:rPr>
              <w:t>2. Organisations, utilisateurs et accès</w:t>
              <w:tab/>
              <w:t>4</w:t>
            </w:r>
          </w:hyperlink>
        </w:p>
        <w:p>
          <w:pPr>
            <w:pStyle w:val="TOC1"/>
            <w:tabs>
              <w:tab w:val="clear" w:pos="720"/>
              <w:tab w:val="right" w:pos="9637" w:leader="dot"/>
            </w:tabs>
            <w:rPr/>
          </w:pPr>
          <w:hyperlink w:anchor="__RefHeading___Toc1025_3373283034">
            <w:r>
              <w:rPr>
                <w:rStyle w:val="IndexLink"/>
              </w:rPr>
              <w:t>3. Configuration</w:t>
              <w:tab/>
              <w:t>8</w:t>
            </w:r>
          </w:hyperlink>
        </w:p>
        <w:p>
          <w:pPr>
            <w:pStyle w:val="TOC1"/>
            <w:tabs>
              <w:tab w:val="clear" w:pos="720"/>
              <w:tab w:val="right" w:pos="9637" w:leader="dot"/>
            </w:tabs>
            <w:rPr/>
          </w:pPr>
          <w:hyperlink w:anchor="__RefHeading___Toc1027_3373283034">
            <w:r>
              <w:rPr>
                <w:rStyle w:val="IndexLink"/>
              </w:rPr>
              <w:t>4. Conception des processus</w:t>
              <w:tab/>
              <w:t>10</w:t>
            </w:r>
          </w:hyperlink>
        </w:p>
        <w:p>
          <w:pPr>
            <w:pStyle w:val="TOC1"/>
            <w:tabs>
              <w:tab w:val="clear" w:pos="720"/>
              <w:tab w:val="right" w:pos="9637" w:leader="dot"/>
            </w:tabs>
            <w:rPr/>
          </w:pPr>
          <w:hyperlink w:anchor="__RefHeading___Toc1029_3373283034">
            <w:r>
              <w:rPr>
                <w:rStyle w:val="IndexLink"/>
              </w:rPr>
              <w:t>5. Organisation (OBS) et RACSI</w:t>
              <w:tab/>
              <w:t>12</w:t>
            </w:r>
          </w:hyperlink>
        </w:p>
        <w:p>
          <w:pPr>
            <w:pStyle w:val="TOC1"/>
            <w:tabs>
              <w:tab w:val="clear" w:pos="720"/>
              <w:tab w:val="right" w:pos="9637" w:leader="dot"/>
            </w:tabs>
            <w:rPr/>
          </w:pPr>
          <w:hyperlink w:anchor="__RefHeading___Toc1031_3373283034">
            <w:r>
              <w:rPr>
                <w:rStyle w:val="IndexLink"/>
              </w:rPr>
              <w:t>6. Modèles de projet et plans types</w:t>
              <w:tab/>
              <w:t>14</w:t>
            </w:r>
          </w:hyperlink>
        </w:p>
        <w:p>
          <w:pPr>
            <w:pStyle w:val="TOC1"/>
            <w:tabs>
              <w:tab w:val="clear" w:pos="720"/>
              <w:tab w:val="right" w:pos="9637" w:leader="dot"/>
            </w:tabs>
            <w:rPr/>
          </w:pPr>
          <w:hyperlink w:anchor="__RefHeading___Toc1033_3373283034">
            <w:r>
              <w:rPr>
                <w:rStyle w:val="IndexLink"/>
              </w:rPr>
              <w:t>7. Intelligence artificielle</w:t>
              <w:tab/>
              <w:t>15</w:t>
            </w:r>
          </w:hyperlink>
        </w:p>
        <w:p>
          <w:pPr>
            <w:pStyle w:val="TOC1"/>
            <w:tabs>
              <w:tab w:val="clear" w:pos="720"/>
              <w:tab w:val="right" w:pos="9637" w:leader="dot"/>
            </w:tabs>
            <w:rPr/>
          </w:pPr>
          <w:hyperlink w:anchor="__RefHeading___Toc1035_3373283034">
            <w:r>
              <w:rPr>
                <w:rStyle w:val="IndexLink"/>
              </w:rPr>
              <w:t>8. Informations documentées</w:t>
              <w:tab/>
              <w:t>17</w:t>
            </w:r>
          </w:hyperlink>
        </w:p>
        <w:p>
          <w:pPr>
            <w:pStyle w:val="TOC1"/>
            <w:tabs>
              <w:tab w:val="clear" w:pos="720"/>
              <w:tab w:val="right" w:pos="9637" w:leader="dot"/>
            </w:tabs>
            <w:rPr/>
          </w:pPr>
          <w:hyperlink w:anchor="__RefHeading___Toc1037_3373283034">
            <w:r>
              <w:rPr>
                <w:rStyle w:val="IndexLink"/>
              </w:rPr>
              <w:t>9. Audits</w:t>
              <w:tab/>
              <w:t>19</w:t>
            </w:r>
          </w:hyperlink>
        </w:p>
        <w:p>
          <w:pPr>
            <w:pStyle w:val="TOC1"/>
            <w:tabs>
              <w:tab w:val="clear" w:pos="720"/>
              <w:tab w:val="right" w:pos="9637" w:leader="dot"/>
            </w:tabs>
            <w:rPr/>
          </w:pPr>
          <w:hyperlink w:anchor="__RefHeading___Toc1039_3373283034">
            <w:r>
              <w:rPr>
                <w:rStyle w:val="IndexLink"/>
              </w:rPr>
              <w:t>10. Protection des données et exploitation</w:t>
              <w:tab/>
              <w:t>20</w:t>
            </w:r>
          </w:hyperlink>
        </w:p>
        <w:p>
          <w:pPr>
            <w:pStyle w:val="TOC2"/>
            <w:tabs>
              <w:tab w:val="clear" w:pos="720"/>
              <w:tab w:val="right" w:pos="9637" w:leader="dot"/>
            </w:tabs>
            <w:rPr/>
          </w:pPr>
          <w:hyperlink w:anchor="__RefHeading___Toc1041_3373283034">
            <w:r>
              <w:rPr>
                <w:rStyle w:val="IndexLink"/>
              </w:rPr>
              <w:t>Traçabilité</w:t>
              <w:tab/>
              <w:t>21</w:t>
            </w:r>
          </w:hyperlink>
        </w:p>
        <w:p>
          <w:pPr>
            <w:pStyle w:val="TOC1"/>
            <w:tabs>
              <w:tab w:val="clear" w:pos="720"/>
              <w:tab w:val="right" w:pos="9637" w:leader="dot"/>
            </w:tabs>
            <w:rPr/>
          </w:pPr>
          <w:hyperlink w:anchor="__RefHeading___Toc1043_3373283034">
            <w:r>
              <w:rPr>
                <w:rStyle w:val="IndexLink"/>
              </w:rPr>
              <w:t>11. Déploiement en production</w:t>
              <w:tab/>
              <w:t>23</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021_3373283034"/>
      <w:bookmarkEnd w:id="0"/>
      <w:r>
        <w:rPr>
          <w:rFonts w:eastAsia="Montserrat" w:cs="Montserrat"/>
          <w:b/>
          <w:bCs/>
          <w:color w:val="123A5F"/>
          <w:sz w:val="40"/>
          <w:szCs w:val="40"/>
        </w:rPr>
        <w:t>1. À propos de ce guide</w:t>
      </w:r>
    </w:p>
    <w:p>
      <w:pPr>
        <w:pStyle w:val="Normal"/>
        <w:spacing w:lineRule="auto" w:line="288" w:before="0" w:after="160"/>
        <w:jc w:val="left"/>
        <w:rPr/>
      </w:pPr>
      <w:r>
        <w:rPr>
          <w:rFonts w:eastAsia="Open Sans" w:cs="Open Sans"/>
          <w:color w:val="2C3E50"/>
          <w:sz w:val="22"/>
          <w:szCs w:val="22"/>
        </w:rPr>
        <w:t>Ce guide s’adresse aux personnes qui configurent et exploitent CortexSkills : l’administrateur de la plateforme, qui gère toutes les organisations, et l’administrateur d’organisation, qui en gère une. Chaque procédure est écrite sous la forme d’une étape suivie directement de ce qu’il faut saisir.</w:t>
      </w:r>
    </w:p>
    <w:tbl>
      <w:tblPr>
        <w:tblW w:w="9638" w:type="dxa"/>
        <w:jc w:val="left"/>
        <w:tblInd w:w="0" w:type="dxa"/>
        <w:tblLayout w:type="fixed"/>
        <w:tblCellMar>
          <w:top w:w="70" w:type="dxa"/>
          <w:left w:w="110" w:type="dxa"/>
          <w:bottom w:w="70" w:type="dxa"/>
          <w:right w:w="110" w:type="dxa"/>
        </w:tblCellMar>
      </w:tblPr>
      <w:tblGrid>
        <w:gridCol w:w="2571"/>
        <w:gridCol w:w="4251"/>
        <w:gridCol w:w="281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Compte</w:t>
            </w:r>
          </w:p>
        </w:tc>
        <w:tc>
          <w:tcPr>
            <w:tcW w:w="42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Périmètre</w:t>
            </w:r>
          </w:p>
        </w:tc>
        <w:tc>
          <w:tcPr>
            <w:tcW w:w="28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Connexion</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la plateforme</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Tous les groupes et organisations, licences, conception de référence</w:t>
            </w:r>
          </w:p>
        </w:tc>
        <w:tc>
          <w:tcPr>
            <w:tcW w:w="2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admin@cortexskills.app · Admin#2026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Administrateur d’organisation</w:t>
            </w:r>
          </w:p>
        </w:tc>
        <w:tc>
          <w:tcPr>
            <w:tcW w:w="4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organisation : utilisateurs, configuration, copie de conception, OBS, IA, documents</w:t>
            </w:r>
          </w:p>
        </w:tc>
        <w:tc>
          <w:tcPr>
            <w:tcW w:w="2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admin@maghrebhospitalsgr.ma · CortexSkills#2026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Déroulés, modèles, documents ; approuve avec le DRH</w:t>
            </w:r>
          </w:p>
        </w:tc>
        <w:tc>
          <w:tcPr>
            <w:tcW w:w="2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headld@maghrebhospitalsgr.ma · CortexSkills#2026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DRH</w:t>
            </w:r>
          </w:p>
        </w:tc>
        <w:tc>
          <w:tcPr>
            <w:tcW w:w="4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Second approbateur : versions, documents, jalons</w:t>
            </w:r>
          </w:p>
        </w:tc>
        <w:tc>
          <w:tcPr>
            <w:tcW w:w="2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hrd@maghrebhospitalsgr.ma · CortexSkills#2026</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Règle des deux personnes</w:t>
            </w:r>
          </w:p>
          <w:p>
            <w:pPr>
              <w:pStyle w:val="Normal"/>
              <w:spacing w:lineRule="auto" w:line="288" w:before="0" w:after="60"/>
              <w:jc w:val="left"/>
              <w:rPr/>
            </w:pPr>
            <w:r>
              <w:rPr>
                <w:rFonts w:eastAsia="Open Sans" w:cs="Open Sans"/>
                <w:color w:val="2C3E50"/>
                <w:sz w:val="21"/>
                <w:szCs w:val="21"/>
              </w:rPr>
              <w:t>Une version de conception, un document et une décision de jalon sont publiés par une autre personne que celle qui les a soumis. Prévoyez deux administrateurs par organisation.</w:t>
            </w:r>
          </w:p>
        </w:tc>
      </w:tr>
    </w:tbl>
    <w:p>
      <w:pPr>
        <w:pStyle w:val="Heading1"/>
        <w:pBdr>
          <w:bottom w:val="single" w:sz="6" w:space="6" w:color="E1E8F0"/>
        </w:pBdr>
        <w:spacing w:before="0" w:after="240"/>
        <w:rPr/>
      </w:pPr>
      <w:r>
        <w:br w:type="page"/>
      </w:r>
      <w:bookmarkStart w:id="1" w:name="__RefHeading___Toc1023_3373283034"/>
      <w:bookmarkEnd w:id="1"/>
      <w:r>
        <w:rPr>
          <w:rFonts w:eastAsia="Montserrat" w:cs="Montserrat"/>
          <w:b/>
          <w:bCs/>
          <w:color w:val="123A5F"/>
          <w:sz w:val="40"/>
          <w:szCs w:val="40"/>
        </w:rPr>
        <w:t>2. Organisations, utilisateurs et accès</w:t>
      </w:r>
    </w:p>
    <w:p>
      <w:pPr>
        <w:pStyle w:val="Normal"/>
        <w:spacing w:lineRule="auto" w:line="288" w:before="0" w:after="160"/>
        <w:jc w:val="left"/>
        <w:rPr/>
      </w:pPr>
      <w:r>
        <w:rPr>
          <w:rFonts w:eastAsia="Open Sans" w:cs="Open Sans"/>
          <w:color w:val="2C3E50"/>
          <w:sz w:val="22"/>
          <w:szCs w:val="22"/>
        </w:rPr>
        <w:t>La démonstration compte 61 organisations : une grande entreprise et une PME pour chacune des 29 verticales, le groupe multisectoriel Horizon Services utilisé pour les documents types, et deux vitrines santé (le groupe de cliniques privées Santé Ora et le Centre Hospitalier Régional). Chacune a une licence, une offre et ses options.</w:t>
      </w:r>
    </w:p>
    <w:p>
      <w:pPr>
        <w:pStyle w:val="Normal"/>
        <w:keepNext w:val="true"/>
        <w:spacing w:before="160" w:after="60"/>
        <w:rPr/>
      </w:pPr>
      <w:r>
        <w:rPr>
          <w:rFonts w:eastAsia="Open Sans" w:cs="Open Sans"/>
          <w:b/>
          <w:bCs/>
          <w:color w:val="123A5F"/>
          <w:sz w:val="23"/>
          <w:szCs w:val="23"/>
        </w:rPr>
        <w:t>Créer une organisation (production : console du serveur)</w:t>
      </w:r>
    </w:p>
    <w:p>
      <w:pPr>
        <w:pStyle w:val="ListParagraph"/>
        <w:numPr>
          <w:ilvl w:val="0"/>
          <w:numId w:val="22"/>
        </w:numPr>
        <w:spacing w:lineRule="auto" w:line="288" w:before="0" w:after="80"/>
        <w:rPr/>
      </w:pPr>
      <w:r>
        <w:rPr>
          <w:rFonts w:eastAsia="Open Sans" w:cs="Open Sans"/>
          <w:color w:val="2C3E50"/>
          <w:sz w:val="22"/>
          <w:szCs w:val="22"/>
        </w:rPr>
        <w:t>Sur le serveur, ouvrez un terminal dans le dossier server.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cd /opt/cortexskills/server</w:t>
      </w:r>
    </w:p>
    <w:p>
      <w:pPr>
        <w:pStyle w:val="ListParagraph"/>
        <w:numPr>
          <w:ilvl w:val="0"/>
          <w:numId w:val="1"/>
        </w:numPr>
        <w:spacing w:lineRule="auto" w:line="288" w:before="0" w:after="80"/>
        <w:rPr/>
      </w:pPr>
      <w:r>
        <w:rPr>
          <w:rFonts w:eastAsia="Open Sans" w:cs="Open Sans"/>
          <w:color w:val="2C3E50"/>
          <w:sz w:val="22"/>
          <w:szCs w:val="22"/>
        </w:rPr>
        <w:t>Créez l’organisation, sa licence et son premier administrateur en une commande.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npm run -s admin -- org-create --name "Atlas Cold Chain" --domain atlascoldchain.ma --segment SME --sector LOGI --pack SME-CMP --seats 25 --days 365 --lang fr --admin-email dsi@atlascoldchain.ma --admin-name "Youssef Amrani" --admin-password "Atlas#Cold2026x"</w:t>
      </w:r>
    </w:p>
    <w:p>
      <w:pPr>
        <w:pStyle w:val="ListParagraph"/>
        <w:numPr>
          <w:ilvl w:val="0"/>
          <w:numId w:val="1"/>
        </w:numPr>
        <w:spacing w:lineRule="auto" w:line="288" w:before="0" w:after="80"/>
        <w:rPr/>
      </w:pPr>
      <w:r>
        <w:rPr>
          <w:rFonts w:eastAsia="Open Sans" w:cs="Open Sans"/>
          <w:color w:val="2C3E50"/>
          <w:sz w:val="22"/>
          <w:szCs w:val="22"/>
        </w:rPr>
        <w:t>Notez l’identifiant d’organisation affiché par la console. En mode OnPrem, envoyez-le à l’éditeur pour recevoir la licence signée (licence-request, puis licence-install). Les guides d’installation décrivent chaque mode.</w:t>
      </w:r>
    </w:p>
    <w:p>
      <w:pPr>
        <w:pStyle w:val="Normal"/>
        <w:keepNext w:val="true"/>
        <w:spacing w:before="160" w:after="60"/>
        <w:rPr/>
      </w:pPr>
      <w:r>
        <w:rPr>
          <w:rFonts w:eastAsia="Open Sans" w:cs="Open Sans"/>
          <w:b/>
          <w:bCs/>
          <w:color w:val="123A5F"/>
          <w:sz w:val="23"/>
          <w:szCs w:val="23"/>
        </w:rPr>
        <w:t>Créer une organisation (administrateur de la plateforme, par l’API)</w:t>
      </w:r>
    </w:p>
    <w:p>
      <w:pPr>
        <w:pStyle w:val="ListParagraph"/>
        <w:numPr>
          <w:ilvl w:val="0"/>
          <w:numId w:val="23"/>
        </w:numPr>
        <w:spacing w:lineRule="auto" w:line="288" w:before="0" w:after="80"/>
        <w:rPr/>
      </w:pPr>
      <w:r>
        <w:rPr>
          <w:rFonts w:eastAsia="Open Sans" w:cs="Open Sans"/>
          <w:color w:val="2C3E50"/>
          <w:sz w:val="22"/>
          <w:szCs w:val="22"/>
        </w:rPr>
        <w:t>Connectez-vous à l’API en administrateur de la plateforme.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POST /api/auth/login  {"email":"admin@cortexskills.app","password":"Admin#2026"}</w:t>
      </w:r>
    </w:p>
    <w:p>
      <w:pPr>
        <w:pStyle w:val="ListParagraph"/>
        <w:numPr>
          <w:ilvl w:val="0"/>
          <w:numId w:val="2"/>
        </w:numPr>
        <w:spacing w:lineRule="auto" w:line="288" w:before="0" w:after="80"/>
        <w:rPr/>
      </w:pPr>
      <w:r>
        <w:rPr>
          <w:rFonts w:eastAsia="Open Sans" w:cs="Open Sans"/>
          <w:color w:val="2C3E50"/>
          <w:sz w:val="22"/>
          <w:szCs w:val="22"/>
        </w:rPr>
        <w:t>Créez l’organisation avec le jeton reçu.</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POST /api/organizations  {"name":{"en":"Atlas Cold Chain","fr":"Atlas Cold Chain","ar":"</w:t>
      </w:r>
      <w:r>
        <w:rPr>
          <w:rFonts w:ascii="Open Sans" w:hAnsi="Open Sans" w:eastAsia="Open Sans"/>
          <w:color w:val="2C3E50"/>
          <w:sz w:val="21"/>
          <w:sz w:val="21"/>
          <w:szCs w:val="21"/>
          <w:rtl w:val="true"/>
        </w:rPr>
        <w:t>أطلس للتبريد</w:t>
      </w:r>
      <w:r>
        <w:rPr>
          <w:rFonts w:eastAsia="Open Sans" w:cs="Open Sans"/>
          <w:color w:val="2C3E50"/>
          <w:sz w:val="21"/>
          <w:szCs w:val="21"/>
        </w:rPr>
        <w:t>"},"sector":"LOGI","segment":"SME","employees":40,"city":"Agadir","email_domain":"atlascoldchain.ma","pack_id":"SME-CMP","seats":25,"starter_team":true,"default_language":"fr"}</w:t>
      </w:r>
    </w:p>
    <w:p>
      <w:pPr>
        <w:pStyle w:val="ListParagraph"/>
        <w:numPr>
          <w:ilvl w:val="0"/>
          <w:numId w:val="2"/>
        </w:numPr>
        <w:spacing w:lineRule="auto" w:line="288" w:before="0" w:after="80"/>
        <w:rPr/>
      </w:pPr>
      <w:r>
        <w:rPr>
          <w:rFonts w:eastAsia="Open Sans" w:cs="Open Sans"/>
          <w:color w:val="2C3E50"/>
          <w:sz w:val="22"/>
          <w:szCs w:val="22"/>
        </w:rPr>
        <w:t>L’organisation reçoit ses fonctions, son catalogue de gouvernance, ses cas d’usage IA et ses check-lists ; l’équipe de départ reçoit un compte par rôle avec le mot de passe Welcome#2026, à changer à la première connexion.</w:t>
      </w:r>
    </w:p>
    <w:p>
      <w:pPr>
        <w:pStyle w:val="ListParagraph"/>
        <w:numPr>
          <w:ilvl w:val="0"/>
          <w:numId w:val="2"/>
        </w:numPr>
        <w:spacing w:lineRule="auto" w:line="288" w:before="0" w:after="80"/>
        <w:rPr/>
      </w:pPr>
      <w:r>
        <w:rPr>
          <w:rFonts w:eastAsia="Open Sans" w:cs="Open Sans"/>
          <w:color w:val="2C3E50"/>
          <w:sz w:val="22"/>
          <w:szCs w:val="22"/>
        </w:rPr>
        <w:t>Ouvrez Groupes et organisations pour la voir dans l’arborescence.</w:t>
      </w:r>
    </w:p>
    <w:p>
      <w:pPr>
        <w:pStyle w:val="Normal"/>
        <w:keepNext w:val="true"/>
        <w:spacing w:before="160" w:after="60"/>
        <w:rPr/>
      </w:pPr>
      <w:r>
        <w:rPr>
          <w:rFonts w:eastAsia="Open Sans" w:cs="Open Sans"/>
          <w:b/>
          <w:bCs/>
          <w:color w:val="123A5F"/>
          <w:sz w:val="23"/>
          <w:szCs w:val="23"/>
        </w:rPr>
        <w:t>Ajouter un utilisateur et lui donner un rôle</w:t>
      </w:r>
    </w:p>
    <w:p>
      <w:pPr>
        <w:pStyle w:val="ListParagraph"/>
        <w:numPr>
          <w:ilvl w:val="0"/>
          <w:numId w:val="24"/>
        </w:numPr>
        <w:spacing w:lineRule="auto" w:line="288" w:before="0" w:after="80"/>
        <w:rPr/>
      </w:pPr>
      <w:r>
        <w:rPr>
          <w:rFonts w:eastAsia="Open Sans" w:cs="Open Sans"/>
          <w:color w:val="2C3E50"/>
          <w:sz w:val="22"/>
          <w:szCs w:val="22"/>
        </w:rPr>
        <w:t>Ouvrez Administration › Utilisateurs et cliquez sur Nouvel utilisateur.</w:t>
      </w:r>
    </w:p>
    <w:p>
      <w:pPr>
        <w:pStyle w:val="ListParagraph"/>
        <w:numPr>
          <w:ilvl w:val="0"/>
          <w:numId w:val="3"/>
        </w:numPr>
        <w:spacing w:lineRule="auto" w:line="288" w:before="0" w:after="80"/>
        <w:rPr/>
      </w:pPr>
      <w:r>
        <w:rPr>
          <w:rFonts w:eastAsia="Open Sans" w:cs="Open Sans"/>
          <w:color w:val="2C3E50"/>
          <w:sz w:val="22"/>
          <w:szCs w:val="22"/>
        </w:rPr>
        <w:t>Saisissez l’identité.</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Nom — Salma Tazi ; E-mail — salma.tazi@maghrebhospitalsgr.ma ; Langue — Français ; Fonction — Coordinatrice formation</w:t>
      </w:r>
    </w:p>
    <w:p>
      <w:pPr>
        <w:pStyle w:val="ListParagraph"/>
        <w:numPr>
          <w:ilvl w:val="0"/>
          <w:numId w:val="3"/>
        </w:numPr>
        <w:spacing w:lineRule="auto" w:line="288" w:before="0" w:after="80"/>
        <w:rPr/>
      </w:pPr>
      <w:r>
        <w:rPr>
          <w:rFonts w:eastAsia="Open Sans" w:cs="Open Sans"/>
          <w:color w:val="2C3E50"/>
          <w:sz w:val="22"/>
          <w:szCs w:val="22"/>
        </w:rPr>
        <w:t>Saisissez un premier mot de passe, cochez le rôle Planificateur formation et cliquez sur Enregistrer. Communiquez le mot de passe à l’utilisateur, qui le change dans le menu du profil › Changer le mot de passe.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Welcome#2026</w:t>
      </w:r>
    </w:p>
    <w:p>
      <w:pPr>
        <w:pStyle w:val="Normal"/>
        <w:keepNext w:val="true"/>
        <w:spacing w:before="120" w:after="60"/>
        <w:jc w:val="center"/>
        <w:rPr/>
      </w:pPr>
      <w:r>
        <w:rPr/>
        <w:drawing>
          <wp:inline distT="0" distB="0" distL="0" distR="0">
            <wp:extent cx="5905500" cy="3695700"/>
            <wp:effectExtent l="0" t="0" r="0" b="0"/>
            <wp:docPr id="2" name="a_users.png" descr="Figure 1 — Utilisateurs de l’organisation&#10;Figure 1 — Utilisateurs de l’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_users.png" descr="Figure 1 — Utilisateurs de l’organisation&#10;Figure 1 — Utilisateurs de l’organisation"/>
                    <pic:cNvPicPr>
                      <a:picLocks noChangeAspect="1" noChangeArrowheads="1"/>
                    </pic:cNvPicPr>
                  </pic:nvPicPr>
                  <pic:blipFill>
                    <a:blip r:embed="rId3"/>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Utilisateurs de l’organisation</w:t>
      </w:r>
    </w:p>
    <w:p>
      <w:pPr>
        <w:pStyle w:val="Normal"/>
        <w:keepNext w:val="true"/>
        <w:spacing w:before="160" w:after="60"/>
        <w:rPr/>
      </w:pPr>
      <w:r>
        <w:rPr>
          <w:rFonts w:eastAsia="Open Sans" w:cs="Open Sans"/>
          <w:b/>
          <w:bCs/>
          <w:color w:val="123A5F"/>
          <w:sz w:val="23"/>
          <w:szCs w:val="23"/>
        </w:rPr>
        <w:t>Changer votre mot de passe</w:t>
      </w:r>
    </w:p>
    <w:p>
      <w:pPr>
        <w:pStyle w:val="ListParagraph"/>
        <w:numPr>
          <w:ilvl w:val="0"/>
          <w:numId w:val="25"/>
        </w:numPr>
        <w:spacing w:lineRule="auto" w:line="288" w:before="0" w:after="80"/>
        <w:rPr/>
      </w:pPr>
      <w:r>
        <w:rPr>
          <w:rFonts w:eastAsia="Open Sans" w:cs="Open Sans"/>
          <w:color w:val="2C3E50"/>
          <w:sz w:val="22"/>
          <w:szCs w:val="22"/>
        </w:rPr>
        <w:t>Cliquez sur l’icône de profil en haut à droite, puis sur Changer le mot de passe.</w:t>
      </w:r>
    </w:p>
    <w:p>
      <w:pPr>
        <w:pStyle w:val="ListParagraph"/>
        <w:numPr>
          <w:ilvl w:val="0"/>
          <w:numId w:val="4"/>
        </w:numPr>
        <w:spacing w:lineRule="auto" w:line="288" w:before="0" w:after="80"/>
        <w:rPr/>
      </w:pPr>
      <w:r>
        <w:rPr>
          <w:rFonts w:eastAsia="Open Sans" w:cs="Open Sans"/>
          <w:color w:val="2C3E50"/>
          <w:sz w:val="22"/>
          <w:szCs w:val="22"/>
        </w:rPr>
        <w:t>Saisissez le mot de passe actuel, puis le nouveau deux fois et cliquez sur Enregistrer.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Au moins 12 caractères avec majuscules, minuscules, un chiffre et un symbole — par exemple Rabat#Skills2026</w:t>
      </w:r>
    </w:p>
    <w:p>
      <w:pPr>
        <w:pStyle w:val="ListParagraph"/>
        <w:numPr>
          <w:ilvl w:val="0"/>
          <w:numId w:val="4"/>
        </w:numPr>
        <w:spacing w:lineRule="auto" w:line="288" w:before="0" w:after="80"/>
        <w:rPr/>
      </w:pPr>
      <w:r>
        <w:rPr>
          <w:rFonts w:eastAsia="Open Sans" w:cs="Open Sans"/>
          <w:color w:val="2C3E50"/>
          <w:sz w:val="22"/>
          <w:szCs w:val="22"/>
        </w:rPr>
        <w:t>Le changement est inscrit au journal d’audit (User · password.change). Un utilisateur qui a oublié son mot de passe en reçoit un temporaire de l’administrateur d’organisation (Administration › Utilisateurs).</w:t>
      </w:r>
    </w:p>
    <w:p>
      <w:pPr>
        <w:pStyle w:val="Normal"/>
        <w:keepNext w:val="true"/>
        <w:spacing w:before="120" w:after="60"/>
        <w:jc w:val="center"/>
        <w:rPr/>
      </w:pPr>
      <w:r>
        <w:rPr/>
        <w:drawing>
          <wp:inline distT="0" distB="0" distL="0" distR="0">
            <wp:extent cx="5905500" cy="3695700"/>
            <wp:effectExtent l="0" t="0" r="0" b="0"/>
            <wp:docPr id="3" name="a_password.png" descr="Figure 2 — Changer le mot de passe (menu du profil)&#10;Figure 2 — Changer le mot de passe (menu du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_password.png" descr="Figure 2 — Changer le mot de passe (menu du profil)&#10;Figure 2 — Changer le mot de passe (menu du profil)"/>
                    <pic:cNvPicPr>
                      <a:picLocks noChangeAspect="1" noChangeArrowheads="1"/>
                    </pic:cNvPicPr>
                  </pic:nvPicPr>
                  <pic:blipFill>
                    <a:blip r:embed="rId4"/>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Changer le mot de passe (menu du profil)</w:t>
      </w:r>
    </w:p>
    <w:p>
      <w:pPr>
        <w:pStyle w:val="Normal"/>
        <w:keepNext w:val="true"/>
        <w:spacing w:before="160" w:after="60"/>
        <w:rPr/>
      </w:pPr>
      <w:r>
        <w:rPr>
          <w:rFonts w:eastAsia="Open Sans" w:cs="Open Sans"/>
          <w:b/>
          <w:bCs/>
          <w:color w:val="123A5F"/>
          <w:sz w:val="23"/>
          <w:szCs w:val="23"/>
        </w:rPr>
        <w:t>Ajuster une permission</w:t>
      </w:r>
    </w:p>
    <w:p>
      <w:pPr>
        <w:pStyle w:val="ListParagraph"/>
        <w:numPr>
          <w:ilvl w:val="0"/>
          <w:numId w:val="26"/>
        </w:numPr>
        <w:spacing w:lineRule="auto" w:line="288" w:before="0" w:after="80"/>
        <w:rPr/>
      </w:pPr>
      <w:r>
        <w:rPr>
          <w:rFonts w:eastAsia="Open Sans" w:cs="Open Sans"/>
          <w:color w:val="2C3E50"/>
          <w:sz w:val="22"/>
          <w:szCs w:val="22"/>
        </w:rPr>
        <w:t>Ouvrez Administration › Permissions. Les lignes sont les permissions, les colonnes les rôles.</w:t>
      </w:r>
    </w:p>
    <w:p>
      <w:pPr>
        <w:pStyle w:val="ListParagraph"/>
        <w:numPr>
          <w:ilvl w:val="0"/>
          <w:numId w:val="5"/>
        </w:numPr>
        <w:spacing w:lineRule="auto" w:line="288" w:before="0" w:after="80"/>
        <w:rPr/>
      </w:pPr>
      <w:r>
        <w:rPr>
          <w:rFonts w:eastAsia="Open Sans" w:cs="Open Sans"/>
          <w:color w:val="2C3E50"/>
          <w:sz w:val="22"/>
          <w:szCs w:val="22"/>
        </w:rPr>
        <w:t>Cochez documents.approve pour le rôle Responsable qualité.</w:t>
      </w:r>
    </w:p>
    <w:p>
      <w:pPr>
        <w:pStyle w:val="ListParagraph"/>
        <w:numPr>
          <w:ilvl w:val="0"/>
          <w:numId w:val="5"/>
        </w:numPr>
        <w:spacing w:lineRule="auto" w:line="288" w:before="0" w:after="80"/>
        <w:rPr/>
      </w:pPr>
      <w:r>
        <w:rPr>
          <w:rFonts w:eastAsia="Open Sans" w:cs="Open Sans"/>
          <w:color w:val="2C3E50"/>
          <w:sz w:val="22"/>
          <w:szCs w:val="22"/>
        </w:rPr>
        <w:t>Saisissez la justification et confirmez. Le changement figure au journal d’audit.</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Le responsable qualité approuve les procédures à partir de 2026.</w:t>
      </w:r>
    </w:p>
    <w:p>
      <w:pPr>
        <w:pStyle w:val="Normal"/>
        <w:keepNext w:val="true"/>
        <w:spacing w:before="120" w:after="60"/>
        <w:jc w:val="center"/>
        <w:rPr/>
      </w:pPr>
      <w:r>
        <w:rPr/>
        <w:drawing>
          <wp:inline distT="0" distB="0" distL="0" distR="0">
            <wp:extent cx="5905500" cy="3695700"/>
            <wp:effectExtent l="0" t="0" r="0" b="0"/>
            <wp:docPr id="4" name="a_perm.png" descr="Figure 3 — Matrice des permissions&#10;Figure 3 — Matrice des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_perm.png" descr="Figure 3 — Matrice des permissions&#10;Figure 3 — Matrice des permissions"/>
                    <pic:cNvPicPr>
                      <a:picLocks noChangeAspect="1" noChangeArrowheads="1"/>
                    </pic:cNvPicPr>
                  </pic:nvPicPr>
                  <pic:blipFill>
                    <a:blip r:embed="rId5"/>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Matrice des permissions</w:t>
      </w:r>
      <w:r>
        <w:br w:type="page"/>
      </w:r>
    </w:p>
    <w:p>
      <w:pPr>
        <w:pStyle w:val="Heading1"/>
        <w:pBdr>
          <w:bottom w:val="single" w:sz="6" w:space="6" w:color="E1E8F0"/>
        </w:pBdr>
        <w:spacing w:before="0" w:after="240"/>
        <w:rPr/>
      </w:pPr>
      <w:bookmarkStart w:id="2" w:name="__RefHeading___Toc1025_3373283034"/>
      <w:bookmarkEnd w:id="2"/>
      <w:r>
        <w:rPr>
          <w:rFonts w:eastAsia="Montserrat" w:cs="Montserrat"/>
          <w:b/>
          <w:bCs/>
          <w:color w:val="123A5F"/>
          <w:sz w:val="40"/>
          <w:szCs w:val="40"/>
        </w:rPr>
        <w:t>3. Configuration</w:t>
      </w:r>
    </w:p>
    <w:p>
      <w:pPr>
        <w:pStyle w:val="Normal"/>
        <w:spacing w:lineRule="auto" w:line="288" w:before="0" w:after="160"/>
        <w:jc w:val="left"/>
        <w:rPr/>
      </w:pPr>
      <w:r>
        <w:rPr>
          <w:rFonts w:eastAsia="Open Sans" w:cs="Open Sans"/>
          <w:color w:val="2C3E50"/>
          <w:sz w:val="22"/>
          <w:szCs w:val="22"/>
        </w:rPr>
        <w:t>La configuration fixe l’offre, les options, les normes de conformité, les quotas et la règle de justification. Un champ gouverné demande une justification lorsqu’il change.</w:t>
      </w:r>
    </w:p>
    <w:p>
      <w:pPr>
        <w:pStyle w:val="Normal"/>
        <w:keepNext w:val="true"/>
        <w:spacing w:before="160" w:after="60"/>
        <w:rPr/>
      </w:pPr>
      <w:r>
        <w:rPr>
          <w:rFonts w:eastAsia="Open Sans" w:cs="Open Sans"/>
          <w:b/>
          <w:bCs/>
          <w:color w:val="123A5F"/>
          <w:sz w:val="23"/>
          <w:szCs w:val="23"/>
        </w:rPr>
        <w:t>Activer une norme de conformité</w:t>
      </w:r>
    </w:p>
    <w:p>
      <w:pPr>
        <w:pStyle w:val="ListParagraph"/>
        <w:numPr>
          <w:ilvl w:val="0"/>
          <w:numId w:val="27"/>
        </w:numPr>
        <w:spacing w:lineRule="auto" w:line="288" w:before="0" w:after="80"/>
        <w:rPr/>
      </w:pPr>
      <w:r>
        <w:rPr>
          <w:rFonts w:eastAsia="Open Sans" w:cs="Open Sans"/>
          <w:color w:val="2C3E50"/>
          <w:sz w:val="22"/>
          <w:szCs w:val="22"/>
        </w:rPr>
        <w:t>Ouvrez Administration › Configuration, section Normes de conformité.</w:t>
      </w:r>
    </w:p>
    <w:p>
      <w:pPr>
        <w:pStyle w:val="ListParagraph"/>
        <w:numPr>
          <w:ilvl w:val="0"/>
          <w:numId w:val="6"/>
        </w:numPr>
        <w:spacing w:lineRule="auto" w:line="288" w:before="0" w:after="80"/>
        <w:rPr/>
      </w:pPr>
      <w:r>
        <w:rPr>
          <w:rFonts w:eastAsia="Open Sans" w:cs="Open Sans"/>
          <w:color w:val="2C3E50"/>
          <w:sz w:val="22"/>
          <w:szCs w:val="22"/>
        </w:rPr>
        <w:t>Cochez ISO 21001 et cliquez sur Enregistrer.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Justification — Audit de certification prévu en mars 2027.</w:t>
      </w:r>
    </w:p>
    <w:p>
      <w:pPr>
        <w:pStyle w:val="ListParagraph"/>
        <w:numPr>
          <w:ilvl w:val="0"/>
          <w:numId w:val="6"/>
        </w:numPr>
        <w:spacing w:lineRule="auto" w:line="288" w:before="0" w:after="80"/>
        <w:rPr/>
      </w:pPr>
      <w:r>
        <w:rPr>
          <w:rFonts w:eastAsia="Open Sans" w:cs="Open Sans"/>
          <w:color w:val="2C3E50"/>
          <w:sz w:val="22"/>
          <w:szCs w:val="22"/>
        </w:rPr>
        <w:t>Ouvrez Rapports › Liste maîtresse › Exigé par les normes : ISO 21001 liste désormais ses informations documentées.</w:t>
      </w:r>
    </w:p>
    <w:p>
      <w:pPr>
        <w:pStyle w:val="Normal"/>
        <w:keepNext w:val="true"/>
        <w:spacing w:before="120" w:after="60"/>
        <w:jc w:val="center"/>
        <w:rPr/>
      </w:pPr>
      <w:r>
        <w:rPr/>
        <w:drawing>
          <wp:inline distT="0" distB="0" distL="0" distR="0">
            <wp:extent cx="5905500" cy="3695700"/>
            <wp:effectExtent l="0" t="0" r="0" b="0"/>
            <wp:docPr id="5" name="a_config.png" descr="Figure 4 — Configuration de l’organisation&#10;Figure 4 — Configuration de l’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_config.png" descr="Figure 4 — Configuration de l’organisation&#10;Figure 4 — Configuration de l’organisation"/>
                    <pic:cNvPicPr>
                      <a:picLocks noChangeAspect="1" noChangeArrowheads="1"/>
                    </pic:cNvPicPr>
                  </pic:nvPicPr>
                  <pic:blipFill>
                    <a:blip r:embed="rId6"/>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Configuration de l’organisation</w:t>
      </w:r>
    </w:p>
    <w:p>
      <w:pPr>
        <w:pStyle w:val="Normal"/>
        <w:keepNext w:val="true"/>
        <w:spacing w:before="160" w:after="60"/>
        <w:rPr/>
      </w:pPr>
      <w:r>
        <w:rPr>
          <w:rFonts w:eastAsia="Open Sans" w:cs="Open Sans"/>
          <w:b/>
          <w:bCs/>
          <w:color w:val="123A5F"/>
          <w:sz w:val="23"/>
          <w:szCs w:val="23"/>
        </w:rPr>
        <w:t>Changer d’offre, ajouter une option, renouveler la licence</w:t>
      </w:r>
    </w:p>
    <w:p>
      <w:pPr>
        <w:pStyle w:val="ListParagraph"/>
        <w:numPr>
          <w:ilvl w:val="0"/>
          <w:numId w:val="28"/>
        </w:numPr>
        <w:spacing w:lineRule="auto" w:line="288" w:before="0" w:after="80"/>
        <w:rPr/>
      </w:pPr>
      <w:r>
        <w:rPr>
          <w:rFonts w:eastAsia="Open Sans" w:cs="Open Sans"/>
          <w:color w:val="2C3E50"/>
          <w:sz w:val="22"/>
          <w:szCs w:val="22"/>
        </w:rPr>
        <w:t>Ouvrez Administration › Configuration et licence. Les tuiles indiquent l’offre, les modules, le niveau d’IA et l’état de la licence.</w:t>
      </w:r>
    </w:p>
    <w:p>
      <w:pPr>
        <w:pStyle w:val="ListParagraph"/>
        <w:numPr>
          <w:ilvl w:val="0"/>
          <w:numId w:val="7"/>
        </w:numPr>
        <w:spacing w:lineRule="auto" w:line="288" w:before="0" w:after="80"/>
        <w:rPr/>
      </w:pPr>
      <w:r>
        <w:rPr>
          <w:rFonts w:eastAsia="Open Sans" w:cs="Open Sans"/>
          <w:color w:val="2C3E50"/>
          <w:sz w:val="22"/>
          <w:szCs w:val="22"/>
        </w:rPr>
        <w:t>Offre : dans Packs, cliquez sur Changer sur la nouvelle offre, lisez le prorata et saisissez la justification.</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Justification — Bon de commande BC-2026-118 : passage à la suite complète.</w:t>
      </w:r>
    </w:p>
    <w:p>
      <w:pPr>
        <w:pStyle w:val="ListParagraph"/>
        <w:numPr>
          <w:ilvl w:val="0"/>
          <w:numId w:val="7"/>
        </w:numPr>
        <w:spacing w:lineRule="auto" w:line="288" w:before="0" w:after="80"/>
        <w:rPr/>
      </w:pPr>
      <w:r>
        <w:rPr>
          <w:rFonts w:eastAsia="Open Sans" w:cs="Open Sans"/>
          <w:color w:val="2C3E50"/>
          <w:sz w:val="22"/>
          <w:szCs w:val="22"/>
        </w:rPr>
        <w:t>Option : cochez sa case dans Add-ons. Les données d’une option désactivée sont conservées.</w:t>
      </w:r>
    </w:p>
    <w:p>
      <w:pPr>
        <w:pStyle w:val="ListParagraph"/>
        <w:numPr>
          <w:ilvl w:val="0"/>
          <w:numId w:val="7"/>
        </w:numPr>
        <w:spacing w:lineRule="auto" w:line="288" w:before="0" w:after="80"/>
        <w:rPr/>
      </w:pPr>
      <w:r>
        <w:rPr>
          <w:rFonts w:eastAsia="Open Sans" w:cs="Open Sans"/>
          <w:color w:val="2C3E50"/>
          <w:sz w:val="22"/>
          <w:szCs w:val="22"/>
        </w:rPr>
        <w:t>Licence : cliquez sur Téléverser la licence dans la carte Licence et choisissez le fichier .lic reçu de l’éditeur. Le serveur vérifie la signature de l’éditeur et l’identifiant d’organisation avant de l’accepter.</w:t>
      </w:r>
    </w:p>
    <w:p>
      <w:pPr>
        <w:pStyle w:val="Normal"/>
        <w:keepNext w:val="true"/>
        <w:spacing w:before="160" w:after="60"/>
        <w:rPr/>
      </w:pPr>
      <w:r>
        <w:rPr>
          <w:rFonts w:eastAsia="Open Sans" w:cs="Open Sans"/>
          <w:b/>
          <w:bCs/>
          <w:color w:val="123A5F"/>
          <w:sz w:val="23"/>
          <w:szCs w:val="23"/>
        </w:rPr>
        <w:t>Connecter les canaux e-mail et WhatsApp</w:t>
      </w:r>
    </w:p>
    <w:p>
      <w:pPr>
        <w:pStyle w:val="ListParagraph"/>
        <w:numPr>
          <w:ilvl w:val="0"/>
          <w:numId w:val="29"/>
        </w:numPr>
        <w:spacing w:lineRule="auto" w:line="288" w:before="0" w:after="80"/>
        <w:rPr/>
      </w:pPr>
      <w:r>
        <w:rPr>
          <w:rFonts w:eastAsia="Open Sans" w:cs="Open Sans"/>
          <w:color w:val="2C3E50"/>
          <w:sz w:val="22"/>
          <w:szCs w:val="22"/>
        </w:rPr>
        <w:t>Ouvrez Administration › Canaux.</w:t>
      </w:r>
    </w:p>
    <w:p>
      <w:pPr>
        <w:pStyle w:val="ListParagraph"/>
        <w:numPr>
          <w:ilvl w:val="0"/>
          <w:numId w:val="8"/>
        </w:numPr>
        <w:spacing w:lineRule="auto" w:line="288" w:before="0" w:after="80"/>
        <w:rPr/>
      </w:pPr>
      <w:r>
        <w:rPr>
          <w:rFonts w:eastAsia="Open Sans" w:cs="Open Sans"/>
          <w:color w:val="2C3E50"/>
          <w:sz w:val="22"/>
          <w:szCs w:val="22"/>
        </w:rPr>
        <w:t>Dans E-mail, renseignez le compte SMTP.</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Hôte — smtp.maghrebhospitalsgr.ma ; Port — 587 ; Utilisateur — formation@maghrebhospitalsgr.ma ; Expéditeur — CortexSkills Formation</w:t>
      </w:r>
    </w:p>
    <w:p>
      <w:pPr>
        <w:pStyle w:val="ListParagraph"/>
        <w:numPr>
          <w:ilvl w:val="0"/>
          <w:numId w:val="8"/>
        </w:numPr>
        <w:spacing w:lineRule="auto" w:line="288" w:before="0" w:after="80"/>
        <w:rPr/>
      </w:pPr>
      <w:r>
        <w:rPr>
          <w:rFonts w:eastAsia="Open Sans" w:cs="Open Sans"/>
          <w:color w:val="2C3E50"/>
          <w:sz w:val="22"/>
          <w:szCs w:val="22"/>
        </w:rPr>
        <w:t>Dans WhatsApp, collez l’identifiant du numéro et le jeton d’accès du compte WhatsApp Business.</w:t>
      </w:r>
    </w:p>
    <w:p>
      <w:pPr>
        <w:pStyle w:val="ListParagraph"/>
        <w:numPr>
          <w:ilvl w:val="0"/>
          <w:numId w:val="8"/>
        </w:numPr>
        <w:spacing w:lineRule="auto" w:line="288" w:before="0" w:after="80"/>
        <w:rPr/>
      </w:pPr>
      <w:r>
        <w:rPr>
          <w:rFonts w:eastAsia="Open Sans" w:cs="Open Sans"/>
          <w:color w:val="2C3E50"/>
          <w:sz w:val="22"/>
          <w:szCs w:val="22"/>
        </w:rPr>
        <w:t>Cliquez sur Envoyer un test. Sans identifiants, les messages restent en bac à sable et sont listés comme simulés.</w:t>
      </w:r>
    </w:p>
    <w:p>
      <w:pPr>
        <w:pStyle w:val="Normal"/>
        <w:keepNext w:val="true"/>
        <w:spacing w:before="120" w:after="60"/>
        <w:jc w:val="center"/>
        <w:rPr/>
      </w:pPr>
      <w:r>
        <w:rPr/>
        <w:drawing>
          <wp:inline distT="0" distB="0" distL="0" distR="0">
            <wp:extent cx="5905500" cy="3695700"/>
            <wp:effectExtent l="0" t="0" r="0" b="0"/>
            <wp:docPr id="6" name="a_channels.png" descr="Figure 5 — Canaux&#10;Figure 5 —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_channels.png" descr="Figure 5 — Canaux&#10;Figure 5 — Canaux"/>
                    <pic:cNvPicPr>
                      <a:picLocks noChangeAspect="1" noChangeArrowheads="1"/>
                    </pic:cNvPicPr>
                  </pic:nvPicPr>
                  <pic:blipFill>
                    <a:blip r:embed="rId7"/>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Canaux</w:t>
      </w:r>
      <w:r>
        <w:br w:type="page"/>
      </w:r>
    </w:p>
    <w:p>
      <w:pPr>
        <w:pStyle w:val="Heading1"/>
        <w:pBdr>
          <w:bottom w:val="single" w:sz="6" w:space="6" w:color="E1E8F0"/>
        </w:pBdr>
        <w:spacing w:before="0" w:after="240"/>
        <w:rPr/>
      </w:pPr>
      <w:bookmarkStart w:id="3" w:name="__RefHeading___Toc1027_3373283034"/>
      <w:bookmarkEnd w:id="3"/>
      <w:r>
        <w:rPr>
          <w:rFonts w:eastAsia="Montserrat" w:cs="Montserrat"/>
          <w:b/>
          <w:bCs/>
          <w:color w:val="123A5F"/>
          <w:sz w:val="40"/>
          <w:szCs w:val="40"/>
        </w:rPr>
        <w:t>4. Conception des processus</w:t>
      </w:r>
    </w:p>
    <w:p>
      <w:pPr>
        <w:pStyle w:val="Normal"/>
        <w:spacing w:lineRule="auto" w:line="288" w:before="0" w:after="160"/>
        <w:jc w:val="left"/>
        <w:rPr/>
      </w:pPr>
      <w:r>
        <w:rPr>
          <w:rFonts w:eastAsia="Open Sans" w:cs="Open Sans"/>
          <w:color w:val="2C3E50"/>
          <w:sz w:val="22"/>
          <w:szCs w:val="22"/>
        </w:rPr>
        <w:t>La conception de référence (33 processus de bout en bout, 54 macro-processus, leurs tâches et étapes) est en lecture seule. Votre organisation modifie sa copie : la première modification d’un élément le copie. Chaque modification crée une version ; une version de conception fige la conception pour les projets.</w:t>
      </w:r>
    </w:p>
    <w:p>
      <w:pPr>
        <w:pStyle w:val="Normal"/>
        <w:keepNext w:val="true"/>
        <w:spacing w:before="160" w:after="60"/>
        <w:rPr/>
      </w:pPr>
      <w:r>
        <w:rPr>
          <w:rFonts w:eastAsia="Open Sans" w:cs="Open Sans"/>
          <w:b/>
          <w:bCs/>
          <w:color w:val="123A5F"/>
          <w:sz w:val="23"/>
          <w:szCs w:val="23"/>
        </w:rPr>
        <w:t>Renommer une étape</w:t>
      </w:r>
    </w:p>
    <w:p>
      <w:pPr>
        <w:pStyle w:val="ListParagraph"/>
        <w:numPr>
          <w:ilvl w:val="0"/>
          <w:numId w:val="30"/>
        </w:numPr>
        <w:spacing w:lineRule="auto" w:line="288" w:before="0" w:after="80"/>
        <w:rPr/>
      </w:pPr>
      <w:r>
        <w:rPr>
          <w:rFonts w:eastAsia="Open Sans" w:cs="Open Sans"/>
          <w:color w:val="2C3E50"/>
          <w:sz w:val="22"/>
          <w:szCs w:val="22"/>
        </w:rPr>
        <w:t>Ouvrez Conception des processus. Dans l’arborescence, choisissez Par macro-processus, ouvrez MP-01 et sa première tâche, puis cliquez sur l’étape MP-01.1.</w:t>
      </w:r>
    </w:p>
    <w:p>
      <w:pPr>
        <w:pStyle w:val="ListParagraph"/>
        <w:numPr>
          <w:ilvl w:val="0"/>
          <w:numId w:val="9"/>
        </w:numPr>
        <w:spacing w:lineRule="auto" w:line="288" w:before="0" w:after="80"/>
        <w:rPr/>
      </w:pPr>
      <w:r>
        <w:rPr>
          <w:rFonts w:eastAsia="Open Sans" w:cs="Open Sans"/>
          <w:color w:val="2C3E50"/>
          <w:sz w:val="22"/>
          <w:szCs w:val="22"/>
        </w:rPr>
        <w:t>Dans Détails, modifiez le nom dans chaque langue.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 xml:space="preserve">EN — Record the corporate strategic objectives ; FR — Enregistrer les objectifs stratégiques de l’entreprise ; AR — </w:t>
      </w:r>
      <w:r>
        <w:rPr>
          <w:rFonts w:ascii="Open Sans" w:hAnsi="Open Sans" w:eastAsia="Open Sans"/>
          <w:color w:val="2C3E50"/>
          <w:sz w:val="21"/>
          <w:sz w:val="21"/>
          <w:szCs w:val="21"/>
          <w:rtl w:val="true"/>
        </w:rPr>
        <w:t>تسجيل الأهداف الاستراتيجية للمؤسسة</w:t>
      </w:r>
    </w:p>
    <w:p>
      <w:pPr>
        <w:pStyle w:val="ListParagraph"/>
        <w:numPr>
          <w:ilvl w:val="0"/>
          <w:numId w:val="9"/>
        </w:numPr>
        <w:spacing w:lineRule="auto" w:line="288" w:before="0" w:after="80"/>
        <w:rPr/>
      </w:pPr>
      <w:r>
        <w:rPr>
          <w:rFonts w:eastAsia="Open Sans" w:cs="Open Sans"/>
          <w:color w:val="2C3E50"/>
          <w:sz w:val="22"/>
          <w:szCs w:val="22"/>
        </w:rPr>
        <w:t>Quittez le champ. Les règles de nommage sont vérifiées : verbe en tête, pas de mot générique, pas d’abréviation non expliquée, pas de doublon.</w:t>
      </w:r>
    </w:p>
    <w:p>
      <w:pPr>
        <w:pStyle w:val="ListParagraph"/>
        <w:numPr>
          <w:ilvl w:val="0"/>
          <w:numId w:val="9"/>
        </w:numPr>
        <w:spacing w:lineRule="auto" w:line="288" w:before="0" w:after="80"/>
        <w:rPr/>
      </w:pPr>
      <w:r>
        <w:rPr>
          <w:rFonts w:eastAsia="Open Sans" w:cs="Open Sans"/>
          <w:color w:val="2C3E50"/>
          <w:sz w:val="22"/>
          <w:szCs w:val="22"/>
        </w:rPr>
        <w:t>Saisissez la note de modification et cliquez sur Enregistrer.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Objet plus clair pour l’équipe stratégie.</w:t>
      </w:r>
    </w:p>
    <w:p>
      <w:pPr>
        <w:pStyle w:val="Normal"/>
        <w:keepNext w:val="true"/>
        <w:spacing w:before="120" w:after="60"/>
        <w:jc w:val="center"/>
        <w:rPr/>
      </w:pPr>
      <w:r>
        <w:rPr/>
        <w:drawing>
          <wp:inline distT="0" distB="0" distL="0" distR="0">
            <wp:extent cx="5905500" cy="3695700"/>
            <wp:effectExtent l="0" t="0" r="0" b="0"/>
            <wp:docPr id="7" name="a_design.png" descr="Figure 6 — Conception des processus : arborescence et formulaire de l’élément&#10;Figure 6 — Conception des processus : arborescence et formulaire de l’élé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_design.png" descr="Figure 6 — Conception des processus : arborescence et formulaire de l’élément&#10;Figure 6 — Conception des processus : arborescence et formulaire de l’élément"/>
                    <pic:cNvPicPr>
                      <a:picLocks noChangeAspect="1" noChangeArrowheads="1"/>
                    </pic:cNvPicPr>
                  </pic:nvPicPr>
                  <pic:blipFill>
                    <a:blip r:embed="rId8"/>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Conception des processus : arborescence et formulaire de l’élément</w:t>
      </w:r>
    </w:p>
    <w:p>
      <w:pPr>
        <w:pStyle w:val="Normal"/>
        <w:keepNext w:val="true"/>
        <w:spacing w:before="160" w:after="60"/>
        <w:rPr/>
      </w:pPr>
      <w:r>
        <w:rPr>
          <w:rFonts w:eastAsia="Open Sans" w:cs="Open Sans"/>
          <w:b/>
          <w:bCs/>
          <w:color w:val="123A5F"/>
          <w:sz w:val="23"/>
          <w:szCs w:val="23"/>
        </w:rPr>
        <w:t>Comparer et restaurer une version</w:t>
      </w:r>
    </w:p>
    <w:p>
      <w:pPr>
        <w:pStyle w:val="ListParagraph"/>
        <w:numPr>
          <w:ilvl w:val="0"/>
          <w:numId w:val="31"/>
        </w:numPr>
        <w:spacing w:lineRule="auto" w:line="288" w:before="0" w:after="80"/>
        <w:rPr/>
      </w:pPr>
      <w:r>
        <w:rPr>
          <w:rFonts w:eastAsia="Open Sans" w:cs="Open Sans"/>
          <w:color w:val="2C3E50"/>
          <w:sz w:val="22"/>
          <w:szCs w:val="22"/>
        </w:rPr>
        <w:t>Ouvrez l’onglet Versions de l’élément. Cochez v0 (référence) et la dernière version, puis cliquez sur Comparer.</w:t>
      </w:r>
    </w:p>
    <w:p>
      <w:pPr>
        <w:pStyle w:val="ListParagraph"/>
        <w:numPr>
          <w:ilvl w:val="0"/>
          <w:numId w:val="10"/>
        </w:numPr>
        <w:spacing w:lineRule="auto" w:line="288" w:before="0" w:after="80"/>
        <w:rPr/>
      </w:pPr>
      <w:r>
        <w:rPr>
          <w:rFonts w:eastAsia="Open Sans" w:cs="Open Sans"/>
          <w:color w:val="2C3E50"/>
          <w:sz w:val="22"/>
          <w:szCs w:val="22"/>
        </w:rPr>
        <w:t>Cliquez sur Restaurer sur la version à rétablir, et indiquez pourquoi.</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Retour à la formulation de référence après le comité de pilotage.</w:t>
      </w:r>
    </w:p>
    <w:p>
      <w:pPr>
        <w:pStyle w:val="Normal"/>
        <w:keepNext w:val="true"/>
        <w:spacing w:before="160" w:after="60"/>
        <w:rPr/>
      </w:pPr>
      <w:r>
        <w:rPr>
          <w:rFonts w:eastAsia="Open Sans" w:cs="Open Sans"/>
          <w:b/>
          <w:bCs/>
          <w:color w:val="123A5F"/>
          <w:sz w:val="23"/>
          <w:szCs w:val="23"/>
        </w:rPr>
        <w:t>Publier une version de conception (deux personnes)</w:t>
      </w:r>
    </w:p>
    <w:p>
      <w:pPr>
        <w:pStyle w:val="ListParagraph"/>
        <w:numPr>
          <w:ilvl w:val="0"/>
          <w:numId w:val="32"/>
        </w:numPr>
        <w:spacing w:lineRule="auto" w:line="288" w:before="0" w:after="80"/>
        <w:rPr/>
      </w:pPr>
      <w:r>
        <w:rPr>
          <w:rFonts w:eastAsia="Open Sans" w:cs="Open Sans"/>
          <w:color w:val="2C3E50"/>
          <w:sz w:val="22"/>
          <w:szCs w:val="22"/>
        </w:rPr>
        <w:t>Ouvrez l’onglet Versions de conception et cliquez sur Nouvelle version.</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Nom — Conception 2027 ; Note — Après l’audit interne.</w:t>
      </w:r>
    </w:p>
    <w:p>
      <w:pPr>
        <w:pStyle w:val="ListParagraph"/>
        <w:numPr>
          <w:ilvl w:val="0"/>
          <w:numId w:val="11"/>
        </w:numPr>
        <w:spacing w:lineRule="auto" w:line="288" w:before="0" w:after="80"/>
        <w:rPr/>
      </w:pPr>
      <w:r>
        <w:rPr>
          <w:rFonts w:eastAsia="Open Sans" w:cs="Open Sans"/>
          <w:color w:val="2C3E50"/>
          <w:sz w:val="22"/>
          <w:szCs w:val="22"/>
        </w:rPr>
        <w:t>Cliquez sur Soumettre.</w:t>
      </w:r>
    </w:p>
    <w:p>
      <w:pPr>
        <w:pStyle w:val="ListParagraph"/>
        <w:numPr>
          <w:ilvl w:val="0"/>
          <w:numId w:val="11"/>
        </w:numPr>
        <w:spacing w:lineRule="auto" w:line="288" w:before="0" w:after="80"/>
        <w:rPr/>
      </w:pPr>
      <w:r>
        <w:rPr>
          <w:rFonts w:eastAsia="Open Sans" w:cs="Open Sans"/>
          <w:color w:val="2C3E50"/>
          <w:sz w:val="22"/>
          <w:szCs w:val="22"/>
        </w:rPr>
        <w:t>Connectez-vous en DRH, ouvrez la même version et cliquez sur Publier.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Revue avec les propriétaires de processus.</w:t>
      </w:r>
    </w:p>
    <w:p>
      <w:pPr>
        <w:pStyle w:val="ListParagraph"/>
        <w:numPr>
          <w:ilvl w:val="0"/>
          <w:numId w:val="11"/>
        </w:numPr>
        <w:spacing w:lineRule="auto" w:line="288" w:before="0" w:after="80"/>
        <w:rPr/>
      </w:pPr>
      <w:r>
        <w:rPr>
          <w:rFonts w:eastAsia="Open Sans" w:cs="Open Sans"/>
          <w:color w:val="2C3E50"/>
          <w:sz w:val="22"/>
          <w:szCs w:val="22"/>
        </w:rPr>
        <w:t>Les nouveaux projets s’exécutent sur la version publiée. Pour déplacer un projet en cours, ouvrez le projet et utilisez Migrer la version : l’aperçu liste les enregistrements ouverts concernés.</w:t>
      </w:r>
    </w:p>
    <w:p>
      <w:pPr>
        <w:pStyle w:val="Normal"/>
        <w:keepNext w:val="true"/>
        <w:spacing w:before="120" w:after="60"/>
        <w:jc w:val="center"/>
        <w:rPr/>
      </w:pPr>
      <w:r>
        <w:rPr/>
        <w:drawing>
          <wp:inline distT="0" distB="0" distL="0" distR="0">
            <wp:extent cx="5905500" cy="3695700"/>
            <wp:effectExtent l="0" t="0" r="0" b="0"/>
            <wp:docPr id="8" name="a_releases.png" descr="Figure 7 — Versions de conception&#10;Figure 7 — Versions d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_releases.png" descr="Figure 7 — Versions de conception&#10;Figure 7 — Versions de conception"/>
                    <pic:cNvPicPr>
                      <a:picLocks noChangeAspect="1" noChangeArrowheads="1"/>
                    </pic:cNvPicPr>
                  </pic:nvPicPr>
                  <pic:blipFill>
                    <a:blip r:embed="rId9"/>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7 — Versions de conception</w:t>
      </w:r>
    </w:p>
    <w:p>
      <w:pPr>
        <w:pStyle w:val="Normal"/>
        <w:spacing w:lineRule="auto" w:line="288" w:before="0" w:after="160"/>
        <w:jc w:val="left"/>
        <w:rPr/>
      </w:pPr>
      <w:r>
        <w:rPr>
          <w:rFonts w:eastAsia="Open Sans" w:cs="Open Sans"/>
          <w:color w:val="2C3E50"/>
          <w:sz w:val="22"/>
          <w:szCs w:val="22"/>
        </w:rPr>
        <w:t>Exporter JSON produit un fichier qu’une autre installation importe avec Importer ; Exporter Excel donne une feuille par niveau. L’onglet Évolutions de la référence liste les éléments copiés dont la référence a changé depuis.</w:t>
      </w:r>
      <w:r>
        <w:br w:type="page"/>
      </w:r>
    </w:p>
    <w:p>
      <w:pPr>
        <w:pStyle w:val="Heading1"/>
        <w:pBdr>
          <w:bottom w:val="single" w:sz="6" w:space="6" w:color="E1E8F0"/>
        </w:pBdr>
        <w:spacing w:before="0" w:after="240"/>
        <w:rPr/>
      </w:pPr>
      <w:bookmarkStart w:id="4" w:name="__RefHeading___Toc1029_3373283034"/>
      <w:bookmarkEnd w:id="4"/>
      <w:r>
        <w:rPr>
          <w:rFonts w:eastAsia="Montserrat" w:cs="Montserrat"/>
          <w:b/>
          <w:bCs/>
          <w:color w:val="123A5F"/>
          <w:sz w:val="40"/>
          <w:szCs w:val="40"/>
        </w:rPr>
        <w:t>5. Organisation (OBS) et RACSI</w:t>
      </w:r>
    </w:p>
    <w:p>
      <w:pPr>
        <w:pStyle w:val="Normal"/>
        <w:spacing w:lineRule="auto" w:line="288" w:before="0" w:after="160"/>
        <w:jc w:val="left"/>
        <w:rPr/>
      </w:pPr>
      <w:r>
        <w:rPr>
          <w:rFonts w:eastAsia="Open Sans" w:cs="Open Sans"/>
          <w:color w:val="2C3E50"/>
          <w:sz w:val="22"/>
          <w:szCs w:val="22"/>
        </w:rPr>
        <w:t>Les fonctions regroupent les rôles ; un rôle a une mission et est tenu par des personnes, avec dates et affectation. Tenir un rôle OBS ne donne aucun droit d’accès. Quand une affectation se termine, le travail en cours attribué via le rôle passe au titulaire restant.</w:t>
      </w:r>
    </w:p>
    <w:p>
      <w:pPr>
        <w:pStyle w:val="Normal"/>
        <w:keepNext w:val="true"/>
        <w:spacing w:before="160" w:after="60"/>
        <w:rPr/>
      </w:pPr>
      <w:r>
        <w:rPr>
          <w:rFonts w:eastAsia="Open Sans" w:cs="Open Sans"/>
          <w:b/>
          <w:bCs/>
          <w:color w:val="123A5F"/>
          <w:sz w:val="23"/>
          <w:szCs w:val="23"/>
        </w:rPr>
        <w:t>Créer un rôle et l’affecter</w:t>
      </w:r>
    </w:p>
    <w:p>
      <w:pPr>
        <w:pStyle w:val="ListParagraph"/>
        <w:numPr>
          <w:ilvl w:val="0"/>
          <w:numId w:val="33"/>
        </w:numPr>
        <w:spacing w:lineRule="auto" w:line="288" w:before="0" w:after="80"/>
        <w:rPr/>
      </w:pPr>
      <w:r>
        <w:rPr>
          <w:rFonts w:eastAsia="Open Sans" w:cs="Open Sans"/>
          <w:color w:val="2C3E50"/>
          <w:sz w:val="22"/>
          <w:szCs w:val="22"/>
        </w:rPr>
        <w:t>Ouvrez Gouvernance › Organisation (OBS), onglet Rôles, et cliquez sur Nouveau rôle.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 xml:space="preserve">Code — OR-31 ; Rôle EN — Training coordinator ; FR — Coordinateur formation ; AR — </w:t>
      </w:r>
      <w:r>
        <w:rPr>
          <w:rFonts w:ascii="Open Sans" w:hAnsi="Open Sans" w:eastAsia="Open Sans"/>
          <w:color w:val="2C3E50"/>
          <w:sz w:val="21"/>
          <w:sz w:val="21"/>
          <w:szCs w:val="21"/>
          <w:rtl w:val="true"/>
        </w:rPr>
        <w:t>منسق التكوين</w:t>
      </w:r>
      <w:r>
        <w:rPr>
          <w:rFonts w:ascii="Open Sans" w:hAnsi="Open Sans" w:eastAsia="Open Sans"/>
          <w:color w:val="2C3E50"/>
          <w:sz w:val="21"/>
          <w:sz w:val="21"/>
          <w:szCs w:val="21"/>
        </w:rPr>
        <w:t xml:space="preserve"> </w:t>
      </w:r>
      <w:r>
        <w:rPr>
          <w:rFonts w:eastAsia="Open Sans" w:cs="Open Sans"/>
          <w:color w:val="2C3E50"/>
          <w:sz w:val="21"/>
          <w:szCs w:val="21"/>
        </w:rPr>
        <w:t>; Fonction — Ressources humaines ; Rattaché à — OR-02</w:t>
      </w:r>
    </w:p>
    <w:p>
      <w:pPr>
        <w:pStyle w:val="ListParagraph"/>
        <w:numPr>
          <w:ilvl w:val="0"/>
          <w:numId w:val="12"/>
        </w:numPr>
        <w:spacing w:lineRule="auto" w:line="288" w:before="0" w:after="80"/>
        <w:rPr/>
      </w:pPr>
      <w:r>
        <w:rPr>
          <w:rFonts w:eastAsia="Open Sans" w:cs="Open Sans"/>
          <w:color w:val="2C3E50"/>
          <w:sz w:val="22"/>
          <w:szCs w:val="22"/>
        </w:rPr>
        <w:t>Cliquez sur Affecter sur le nouveau rôle.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Personne — Salma Tazi ; Type — Titulaire ; Affectation — 60 ; Début — 2026-11-01</w:t>
      </w:r>
    </w:p>
    <w:p>
      <w:pPr>
        <w:pStyle w:val="Normal"/>
        <w:keepNext w:val="true"/>
        <w:spacing w:before="120" w:after="60"/>
        <w:jc w:val="center"/>
        <w:rPr/>
      </w:pPr>
      <w:r>
        <w:rPr/>
        <w:drawing>
          <wp:inline distT="0" distB="0" distL="0" distR="0">
            <wp:extent cx="5905500" cy="3695700"/>
            <wp:effectExtent l="0" t="0" r="0" b="0"/>
            <wp:docPr id="9" name="a_obs.png" descr="Figure 8 — Rôles et titulaires&#10;Figure 8 — Rôles et titul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_obs.png" descr="Figure 8 — Rôles et titulaires&#10;Figure 8 — Rôles et titulaires"/>
                    <pic:cNvPicPr>
                      <a:picLocks noChangeAspect="1" noChangeArrowheads="1"/>
                    </pic:cNvPicPr>
                  </pic:nvPicPr>
                  <pic:blipFill>
                    <a:blip r:embed="rId10"/>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8 — Rôles et titulaires</w:t>
      </w:r>
    </w:p>
    <w:p>
      <w:pPr>
        <w:pStyle w:val="Normal"/>
        <w:keepNext w:val="true"/>
        <w:spacing w:before="160" w:after="60"/>
        <w:rPr/>
      </w:pPr>
      <w:r>
        <w:rPr>
          <w:rFonts w:eastAsia="Open Sans" w:cs="Open Sans"/>
          <w:b/>
          <w:bCs/>
          <w:color w:val="123A5F"/>
          <w:sz w:val="23"/>
          <w:szCs w:val="23"/>
        </w:rPr>
        <w:t>Définir le RACSI d’un macro-processus</w:t>
      </w:r>
    </w:p>
    <w:p>
      <w:pPr>
        <w:pStyle w:val="ListParagraph"/>
        <w:numPr>
          <w:ilvl w:val="0"/>
          <w:numId w:val="34"/>
        </w:numPr>
        <w:spacing w:lineRule="auto" w:line="288" w:before="0" w:after="80"/>
        <w:rPr/>
      </w:pPr>
      <w:r>
        <w:rPr>
          <w:rFonts w:eastAsia="Open Sans" w:cs="Open Sans"/>
          <w:color w:val="2C3E50"/>
          <w:sz w:val="22"/>
          <w:szCs w:val="22"/>
        </w:rPr>
        <w:t>Ouvrez l’onglet RACSI par processus et choisissez MP-01.</w:t>
      </w:r>
    </w:p>
    <w:p>
      <w:pPr>
        <w:pStyle w:val="ListParagraph"/>
        <w:numPr>
          <w:ilvl w:val="0"/>
          <w:numId w:val="13"/>
        </w:numPr>
        <w:spacing w:lineRule="auto" w:line="288" w:before="0" w:after="80"/>
        <w:rPr/>
      </w:pPr>
      <w:r>
        <w:rPr>
          <w:rFonts w:eastAsia="Open Sans" w:cs="Open Sans"/>
          <w:color w:val="2C3E50"/>
          <w:sz w:val="22"/>
          <w:szCs w:val="22"/>
        </w:rPr>
        <w:t>Cliquez sur le crayon d’une étape et choisissez des rôles plutôt que des noms.</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R — Analyste formation ; A — Responsable formation (un seul) ; C — DRH ; I — Directeur financier</w:t>
      </w:r>
    </w:p>
    <w:p>
      <w:pPr>
        <w:pStyle w:val="ListParagraph"/>
        <w:numPr>
          <w:ilvl w:val="0"/>
          <w:numId w:val="13"/>
        </w:numPr>
        <w:spacing w:lineRule="auto" w:line="288" w:before="0" w:after="80"/>
        <w:rPr/>
      </w:pPr>
      <w:r>
        <w:rPr>
          <w:rFonts w:eastAsia="Open Sans" w:cs="Open Sans"/>
          <w:color w:val="2C3E50"/>
          <w:sz w:val="22"/>
          <w:szCs w:val="22"/>
        </w:rPr>
        <w:t>Cliquez sur Enregistrer. La matrice affiche Complet quand chaque étape a un seul responsable final.</w:t>
      </w:r>
    </w:p>
    <w:p>
      <w:pPr>
        <w:pStyle w:val="Normal"/>
        <w:keepNext w:val="true"/>
        <w:spacing w:before="120" w:after="60"/>
        <w:jc w:val="center"/>
        <w:rPr/>
      </w:pPr>
      <w:r>
        <w:rPr/>
        <w:drawing>
          <wp:inline distT="0" distB="0" distL="0" distR="0">
            <wp:extent cx="5905500" cy="3695700"/>
            <wp:effectExtent l="0" t="0" r="0" b="0"/>
            <wp:docPr id="10" name="a_racsi.png" descr="Figure 9 — RACSI par macro-processus&#10;Figure 9 — RACSI par macro-proc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_racsi.png" descr="Figure 9 — RACSI par macro-processus&#10;Figure 9 — RACSI par macro-processus"/>
                    <pic:cNvPicPr>
                      <a:picLocks noChangeAspect="1" noChangeArrowheads="1"/>
                    </pic:cNvPicPr>
                  </pic:nvPicPr>
                  <pic:blipFill>
                    <a:blip r:embed="rId11"/>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9 — RACSI par macro-processus</w:t>
      </w:r>
      <w:r>
        <w:br w:type="page"/>
      </w:r>
    </w:p>
    <w:p>
      <w:pPr>
        <w:pStyle w:val="Heading1"/>
        <w:pBdr>
          <w:bottom w:val="single" w:sz="6" w:space="6" w:color="E1E8F0"/>
        </w:pBdr>
        <w:spacing w:before="0" w:after="240"/>
        <w:rPr/>
      </w:pPr>
      <w:bookmarkStart w:id="5" w:name="__RefHeading___Toc1031_3373283034"/>
      <w:bookmarkEnd w:id="5"/>
      <w:r>
        <w:rPr>
          <w:rFonts w:eastAsia="Montserrat" w:cs="Montserrat"/>
          <w:b/>
          <w:bCs/>
          <w:color w:val="123A5F"/>
          <w:sz w:val="40"/>
          <w:szCs w:val="40"/>
        </w:rPr>
        <w:t>6. Modèles de projet et plans types</w:t>
      </w:r>
    </w:p>
    <w:p>
      <w:pPr>
        <w:pStyle w:val="Normal"/>
        <w:spacing w:lineRule="auto" w:line="288" w:before="0" w:after="160"/>
        <w:jc w:val="left"/>
        <w:rPr/>
      </w:pPr>
      <w:r>
        <w:rPr>
          <w:rFonts w:eastAsia="Open Sans" w:cs="Open Sans"/>
          <w:color w:val="2C3E50"/>
          <w:sz w:val="22"/>
          <w:szCs w:val="22"/>
        </w:rPr>
        <w:t>Le plan type d’un modèle dit ce que reçoit un projet. Les modèles de bibliothèque sont en lecture seule ; Personnaliser en copie un dans l’organisation. Les modèles publiés de l’organisation sont proposés en premier à la création ; le projet garde le code et la version du modèle utilisé.</w:t>
      </w:r>
    </w:p>
    <w:p>
      <w:pPr>
        <w:pStyle w:val="Normal"/>
        <w:keepNext w:val="true"/>
        <w:spacing w:before="160" w:after="60"/>
        <w:rPr/>
      </w:pPr>
      <w:r>
        <w:rPr>
          <w:rFonts w:eastAsia="Open Sans" w:cs="Open Sans"/>
          <w:b/>
          <w:bCs/>
          <w:color w:val="123A5F"/>
          <w:sz w:val="23"/>
          <w:szCs w:val="23"/>
        </w:rPr>
        <w:t>Personnaliser un modèle</w:t>
      </w:r>
    </w:p>
    <w:p>
      <w:pPr>
        <w:pStyle w:val="ListParagraph"/>
        <w:numPr>
          <w:ilvl w:val="0"/>
          <w:numId w:val="35"/>
        </w:numPr>
        <w:spacing w:lineRule="auto" w:line="288" w:before="0" w:after="80"/>
        <w:rPr/>
      </w:pPr>
      <w:r>
        <w:rPr>
          <w:rFonts w:eastAsia="Open Sans" w:cs="Open Sans"/>
          <w:color w:val="2C3E50"/>
          <w:sz w:val="22"/>
          <w:szCs w:val="22"/>
        </w:rPr>
        <w:t>Ouvrez Conception des processus › Modèles de projet et ouvrez Établissements de santé — déroulé complet — IA. Cliquez sur Personnaliser (copie).</w:t>
      </w:r>
    </w:p>
    <w:p>
      <w:pPr>
        <w:pStyle w:val="ListParagraph"/>
        <w:numPr>
          <w:ilvl w:val="0"/>
          <w:numId w:val="14"/>
        </w:numPr>
        <w:spacing w:lineRule="auto" w:line="288" w:before="0" w:after="80"/>
        <w:rPr/>
      </w:pPr>
      <w:r>
        <w:rPr>
          <w:rFonts w:eastAsia="Open Sans" w:cs="Open Sans"/>
          <w:color w:val="2C3E50"/>
          <w:sz w:val="22"/>
          <w:szCs w:val="22"/>
        </w:rPr>
        <w:t>Dans Processus et étapes, décochez une tâche que l’organisation ne réalise pas ; cliquez sur le crayon d’une tâche pour la renommer dans les projets.</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Nom dans les projets — Valider le plan avec le comité de direction</w:t>
      </w:r>
    </w:p>
    <w:p>
      <w:pPr>
        <w:pStyle w:val="ListParagraph"/>
        <w:numPr>
          <w:ilvl w:val="0"/>
          <w:numId w:val="14"/>
        </w:numPr>
        <w:spacing w:lineRule="auto" w:line="288" w:before="0" w:after="80"/>
        <w:rPr/>
      </w:pPr>
      <w:r>
        <w:rPr>
          <w:rFonts w:eastAsia="Open Sans" w:cs="Open Sans"/>
          <w:color w:val="2C3E50"/>
          <w:sz w:val="22"/>
          <w:szCs w:val="22"/>
        </w:rPr>
        <w:t>Cliquez sur + d’une tâche pour ajouter une étape personnalisée.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Niveau — Étape ; Nom — Enregistrer le procès-verbal du conseil</w:t>
      </w:r>
    </w:p>
    <w:p>
      <w:pPr>
        <w:pStyle w:val="ListParagraph"/>
        <w:numPr>
          <w:ilvl w:val="0"/>
          <w:numId w:val="14"/>
        </w:numPr>
        <w:spacing w:lineRule="auto" w:line="288" w:before="0" w:after="80"/>
        <w:rPr/>
      </w:pPr>
      <w:r>
        <w:rPr>
          <w:rFonts w:eastAsia="Open Sans" w:cs="Open Sans"/>
          <w:color w:val="2C3E50"/>
          <w:sz w:val="22"/>
          <w:szCs w:val="22"/>
        </w:rPr>
        <w:t>Dans Plan de reporting, cliquez sur Ajouter manuellement.</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Rapport — Dossier de pilotage mensuel ; Destinataires — Comité de direction ; Fréquence — Mensuelle ; Format — PDF ; Responsable — Responsable formation</w:t>
      </w:r>
    </w:p>
    <w:p>
      <w:pPr>
        <w:pStyle w:val="ListParagraph"/>
        <w:numPr>
          <w:ilvl w:val="0"/>
          <w:numId w:val="14"/>
        </w:numPr>
        <w:spacing w:lineRule="auto" w:line="288" w:before="0" w:after="80"/>
        <w:rPr/>
      </w:pPr>
      <w:r>
        <w:rPr>
          <w:rFonts w:eastAsia="Open Sans" w:cs="Open Sans"/>
          <w:color w:val="2C3E50"/>
          <w:sz w:val="22"/>
          <w:szCs w:val="22"/>
        </w:rPr>
        <w:t>Cliquez sur Publier. Un modèle sans étape incluse ne peut pas être publié. Exportez-le en Word, PDF ou Excel depuis l’en-tête.</w:t>
      </w:r>
    </w:p>
    <w:p>
      <w:pPr>
        <w:pStyle w:val="Normal"/>
        <w:keepNext w:val="true"/>
        <w:spacing w:before="120" w:after="60"/>
        <w:jc w:val="center"/>
        <w:rPr/>
      </w:pPr>
      <w:r>
        <w:rPr/>
        <w:drawing>
          <wp:inline distT="0" distB="0" distL="0" distR="0">
            <wp:extent cx="5905500" cy="3695700"/>
            <wp:effectExtent l="0" t="0" r="0" b="0"/>
            <wp:docPr id="11" name="a_bp.png" descr="Figure 10 — Plan type d’un modèle de l’organisation&#10;Figure 10 — Plan type d’un modèle de l’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_bp.png" descr="Figure 10 — Plan type d’un modèle de l’organisation&#10;Figure 10 — Plan type d’un modèle de l’organisation"/>
                    <pic:cNvPicPr>
                      <a:picLocks noChangeAspect="1" noChangeArrowheads="1"/>
                    </pic:cNvPicPr>
                  </pic:nvPicPr>
                  <pic:blipFill>
                    <a:blip r:embed="rId12"/>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10 — Plan type d’un modèle de l’organisation</w:t>
      </w:r>
      <w:r>
        <w:br w:type="page"/>
      </w:r>
    </w:p>
    <w:p>
      <w:pPr>
        <w:pStyle w:val="Heading1"/>
        <w:pBdr>
          <w:bottom w:val="single" w:sz="6" w:space="6" w:color="E1E8F0"/>
        </w:pBdr>
        <w:spacing w:before="0" w:after="240"/>
        <w:rPr/>
      </w:pPr>
      <w:bookmarkStart w:id="6" w:name="__RefHeading___Toc1033_3373283034"/>
      <w:bookmarkEnd w:id="6"/>
      <w:r>
        <w:rPr>
          <w:rFonts w:eastAsia="Montserrat" w:cs="Montserrat"/>
          <w:b/>
          <w:bCs/>
          <w:color w:val="123A5F"/>
          <w:sz w:val="40"/>
          <w:szCs w:val="40"/>
        </w:rPr>
        <w:t>7. Intelligence artificielle</w:t>
      </w:r>
    </w:p>
    <w:p>
      <w:pPr>
        <w:pStyle w:val="Normal"/>
        <w:spacing w:lineRule="auto" w:line="288" w:before="0" w:after="160"/>
        <w:jc w:val="left"/>
        <w:rPr/>
      </w:pPr>
      <w:r>
        <w:rPr>
          <w:rFonts w:eastAsia="Open Sans" w:cs="Open Sans"/>
          <w:color w:val="2C3E50"/>
          <w:sz w:val="22"/>
          <w:szCs w:val="22"/>
        </w:rPr>
        <w:t>Sans modèle, CortexSkills répond avec son moteur intégré. Avec un modèle d’organisation, chaque cas d’usage envoie son prompt assemblé ; rien de ce que propose l’IA n’est enregistré avant validation par une personne.</w:t>
      </w:r>
    </w:p>
    <w:p>
      <w:pPr>
        <w:pStyle w:val="Normal"/>
        <w:keepNext w:val="true"/>
        <w:spacing w:before="160" w:after="60"/>
        <w:rPr/>
      </w:pPr>
      <w:r>
        <w:rPr>
          <w:rFonts w:eastAsia="Open Sans" w:cs="Open Sans"/>
          <w:b/>
          <w:bCs/>
          <w:color w:val="123A5F"/>
          <w:sz w:val="23"/>
          <w:szCs w:val="23"/>
        </w:rPr>
        <w:t>Connecter le modèle de l’organisation</w:t>
      </w:r>
    </w:p>
    <w:p>
      <w:pPr>
        <w:pStyle w:val="ListParagraph"/>
        <w:numPr>
          <w:ilvl w:val="0"/>
          <w:numId w:val="36"/>
        </w:numPr>
        <w:spacing w:lineRule="auto" w:line="288" w:before="0" w:after="80"/>
        <w:rPr/>
      </w:pPr>
      <w:r>
        <w:rPr>
          <w:rFonts w:eastAsia="Open Sans" w:cs="Open Sans"/>
          <w:color w:val="2C3E50"/>
          <w:sz w:val="22"/>
          <w:szCs w:val="22"/>
        </w:rPr>
        <w:t>Ouvrez IA et connaissances › Paramètres IA.</w:t>
      </w:r>
    </w:p>
    <w:p>
      <w:pPr>
        <w:pStyle w:val="ListParagraph"/>
        <w:numPr>
          <w:ilvl w:val="0"/>
          <w:numId w:val="15"/>
        </w:numPr>
        <w:spacing w:lineRule="auto" w:line="288" w:before="0" w:after="80"/>
        <w:rPr/>
      </w:pPr>
      <w:r>
        <w:rPr>
          <w:rFonts w:eastAsia="Open Sans" w:cs="Open Sans"/>
          <w:color w:val="2C3E50"/>
          <w:sz w:val="22"/>
          <w:szCs w:val="22"/>
        </w:rPr>
        <w:t>Choisissez le fournisseur et le modèle.</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Fournisseur — Anthropic ; Modèle — claude-sonnet-5-5</w:t>
      </w:r>
    </w:p>
    <w:p>
      <w:pPr>
        <w:pStyle w:val="ListParagraph"/>
        <w:numPr>
          <w:ilvl w:val="0"/>
          <w:numId w:val="15"/>
        </w:numPr>
        <w:spacing w:lineRule="auto" w:line="288" w:before="0" w:after="80"/>
        <w:rPr/>
      </w:pPr>
      <w:r>
        <w:rPr>
          <w:rFonts w:eastAsia="Open Sans" w:cs="Open Sans"/>
          <w:color w:val="2C3E50"/>
          <w:sz w:val="22"/>
          <w:szCs w:val="22"/>
        </w:rPr>
        <w:t>Collez la clé d’API. Elle est stockée chiffrée et jamais réaffichée.</w:t>
      </w:r>
    </w:p>
    <w:p>
      <w:pPr>
        <w:pStyle w:val="ListParagraph"/>
        <w:numPr>
          <w:ilvl w:val="0"/>
          <w:numId w:val="15"/>
        </w:numPr>
        <w:spacing w:lineRule="auto" w:line="288" w:before="0" w:after="80"/>
        <w:rPr/>
      </w:pPr>
      <w:r>
        <w:rPr>
          <w:rFonts w:eastAsia="Open Sans" w:cs="Open Sans"/>
          <w:color w:val="2C3E50"/>
          <w:sz w:val="22"/>
          <w:szCs w:val="22"/>
        </w:rPr>
        <w:t>Réglez la longueur maximale, cochez Utiliser ce modèle pour l’organisation et cliquez sur Enregistrer.</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1500</w:t>
      </w:r>
    </w:p>
    <w:p>
      <w:pPr>
        <w:pStyle w:val="ListParagraph"/>
        <w:numPr>
          <w:ilvl w:val="0"/>
          <w:numId w:val="15"/>
        </w:numPr>
        <w:spacing w:lineRule="auto" w:line="288" w:before="0" w:after="80"/>
        <w:rPr/>
      </w:pPr>
      <w:r>
        <w:rPr>
          <w:rFonts w:eastAsia="Open Sans" w:cs="Open Sans"/>
          <w:color w:val="2C3E50"/>
          <w:sz w:val="22"/>
          <w:szCs w:val="22"/>
        </w:rPr>
        <w:t>Cliquez sur Tester la connexion. Le résultat nomme la cause de tout échec : clé refusée, modèle introuvable, paramètre rejeté, limite de débit, injoignable.</w:t>
      </w:r>
    </w:p>
    <w:p>
      <w:pPr>
        <w:pStyle w:val="Normal"/>
        <w:keepNext w:val="true"/>
        <w:spacing w:before="120" w:after="60"/>
        <w:jc w:val="center"/>
        <w:rPr/>
      </w:pPr>
      <w:r>
        <w:rPr/>
        <w:drawing>
          <wp:inline distT="0" distB="0" distL="0" distR="0">
            <wp:extent cx="5905500" cy="3695700"/>
            <wp:effectExtent l="0" t="0" r="0" b="0"/>
            <wp:docPr id="12" name="a_aiset.png" descr="Figure 11 — Paramètres IA&#10;Figure 11 — Paramètres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_aiset.png" descr="Figure 11 — Paramètres IA&#10;Figure 11 — Paramètres IA"/>
                    <pic:cNvPicPr>
                      <a:picLocks noChangeAspect="1" noChangeArrowheads="1"/>
                    </pic:cNvPicPr>
                  </pic:nvPicPr>
                  <pic:blipFill>
                    <a:blip r:embed="rId13"/>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11 — Paramètres IA</w:t>
      </w:r>
    </w:p>
    <w:p>
      <w:pPr>
        <w:pStyle w:val="Normal"/>
        <w:keepNext w:val="true"/>
        <w:spacing w:before="160" w:after="60"/>
        <w:rPr/>
      </w:pPr>
      <w:r>
        <w:rPr>
          <w:rFonts w:eastAsia="Open Sans" w:cs="Open Sans"/>
          <w:b/>
          <w:bCs/>
          <w:color w:val="123A5F"/>
          <w:sz w:val="23"/>
          <w:szCs w:val="23"/>
        </w:rPr>
        <w:t>Compléter une spécification et activer le cas d’usage</w:t>
      </w:r>
    </w:p>
    <w:p>
      <w:pPr>
        <w:pStyle w:val="ListParagraph"/>
        <w:numPr>
          <w:ilvl w:val="0"/>
          <w:numId w:val="37"/>
        </w:numPr>
        <w:spacing w:lineRule="auto" w:line="288" w:before="0" w:after="80"/>
        <w:rPr/>
      </w:pPr>
      <w:r>
        <w:rPr>
          <w:rFonts w:eastAsia="Open Sans" w:cs="Open Sans"/>
          <w:color w:val="2C3E50"/>
          <w:sz w:val="22"/>
          <w:szCs w:val="22"/>
        </w:rPr>
        <w:t>Ouvrez Cas d’usage IA et cliquez sur Spécification pour AIUC-01.</w:t>
      </w:r>
    </w:p>
    <w:p>
      <w:pPr>
        <w:pStyle w:val="ListParagraph"/>
        <w:numPr>
          <w:ilvl w:val="0"/>
          <w:numId w:val="16"/>
        </w:numPr>
        <w:spacing w:lineRule="auto" w:line="288" w:before="0" w:after="80"/>
        <w:rPr/>
      </w:pPr>
      <w:r>
        <w:rPr>
          <w:rFonts w:eastAsia="Open Sans" w:cs="Open Sans"/>
          <w:color w:val="2C3E50"/>
          <w:sz w:val="22"/>
          <w:szCs w:val="22"/>
        </w:rPr>
        <w:t>Renseignez chaque champ obligatoire dans chaque langue ; chaque champ est enregistré quand vous le quittez.</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Contraintes — Ne jamais attribuer un niveau sans preuve ; citer la preuve de chaque niveau.</w:t>
      </w:r>
    </w:p>
    <w:p>
      <w:pPr>
        <w:pStyle w:val="ListParagraph"/>
        <w:numPr>
          <w:ilvl w:val="0"/>
          <w:numId w:val="16"/>
        </w:numPr>
        <w:spacing w:lineRule="auto" w:line="288" w:before="0" w:after="80"/>
        <w:rPr/>
      </w:pPr>
      <w:r>
        <w:rPr>
          <w:rFonts w:eastAsia="Open Sans" w:cs="Open Sans"/>
          <w:color w:val="2C3E50"/>
          <w:sz w:val="22"/>
          <w:szCs w:val="22"/>
        </w:rPr>
        <w:t>Cliquez sur Prompt assemblé pour vérifier les variables, puis Tester sur ce projet. Le test n’écrit rien.</w:t>
      </w:r>
    </w:p>
    <w:p>
      <w:pPr>
        <w:pStyle w:val="ListParagraph"/>
        <w:numPr>
          <w:ilvl w:val="0"/>
          <w:numId w:val="16"/>
        </w:numPr>
        <w:spacing w:lineRule="auto" w:line="288" w:before="0" w:after="80"/>
        <w:rPr/>
      </w:pPr>
      <w:r>
        <w:rPr>
          <w:rFonts w:eastAsia="Open Sans" w:cs="Open Sans"/>
          <w:color w:val="2C3E50"/>
          <w:sz w:val="22"/>
          <w:szCs w:val="22"/>
        </w:rPr>
        <w:t>De retour dans Cas d’usage IA, cochez le cas dans la colonne Organisation. L’activation est refusée tant qu’un champ obligatoire est vide.</w:t>
      </w:r>
    </w:p>
    <w:p>
      <w:pPr>
        <w:pStyle w:val="Normal"/>
        <w:keepNext w:val="true"/>
        <w:spacing w:before="120" w:after="60"/>
        <w:jc w:val="center"/>
        <w:rPr/>
      </w:pPr>
      <w:r>
        <w:rPr/>
        <w:drawing>
          <wp:inline distT="0" distB="0" distL="0" distR="0">
            <wp:extent cx="5905500" cy="3695700"/>
            <wp:effectExtent l="0" t="0" r="0" b="0"/>
            <wp:docPr id="13" name="a_spec.png" descr="Figure 12 — Spécification du prompt&#10;Figure 12 — Spécification du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_spec.png" descr="Figure 12 — Spécification du prompt&#10;Figure 12 — Spécification du prompt"/>
                    <pic:cNvPicPr>
                      <a:picLocks noChangeAspect="1" noChangeArrowheads="1"/>
                    </pic:cNvPicPr>
                  </pic:nvPicPr>
                  <pic:blipFill>
                    <a:blip r:embed="rId14"/>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12 — Spécification du prompt</w:t>
      </w:r>
      <w:r>
        <w:br w:type="page"/>
      </w:r>
    </w:p>
    <w:p>
      <w:pPr>
        <w:pStyle w:val="Heading1"/>
        <w:pBdr>
          <w:bottom w:val="single" w:sz="6" w:space="6" w:color="E1E8F0"/>
        </w:pBdr>
        <w:spacing w:before="0" w:after="240"/>
        <w:rPr/>
      </w:pPr>
      <w:bookmarkStart w:id="7" w:name="__RefHeading___Toc1035_3373283034"/>
      <w:bookmarkEnd w:id="7"/>
      <w:r>
        <w:rPr>
          <w:rFonts w:eastAsia="Montserrat" w:cs="Montserrat"/>
          <w:b/>
          <w:bCs/>
          <w:color w:val="123A5F"/>
          <w:sz w:val="40"/>
          <w:szCs w:val="40"/>
        </w:rPr>
        <w:t>8. Informations documentées</w:t>
      </w:r>
    </w:p>
    <w:p>
      <w:pPr>
        <w:pStyle w:val="Normal"/>
        <w:spacing w:lineRule="auto" w:line="288" w:before="0" w:after="160"/>
        <w:jc w:val="left"/>
        <w:rPr/>
      </w:pPr>
      <w:r>
        <w:rPr>
          <w:rFonts w:eastAsia="Open Sans" w:cs="Open Sans"/>
          <w:color w:val="2C3E50"/>
          <w:sz w:val="22"/>
          <w:szCs w:val="22"/>
        </w:rPr>
        <w:t>La bibliothèque compte 37 modèles : un par livrable de bout en bout, le rapport d’ingénierie de formation, le plan de formation, le rapport d’audit et la liste maîtresse. Une copie de l’organisation remplace le modèle de même code. La mise en page s’applique à tous les documents générés.</w:t>
      </w:r>
    </w:p>
    <w:p>
      <w:pPr>
        <w:pStyle w:val="Normal"/>
        <w:keepNext w:val="true"/>
        <w:spacing w:before="160" w:after="60"/>
        <w:rPr/>
      </w:pPr>
      <w:r>
        <w:rPr>
          <w:rFonts w:eastAsia="Open Sans" w:cs="Open Sans"/>
          <w:b/>
          <w:bCs/>
          <w:color w:val="123A5F"/>
          <w:sz w:val="23"/>
          <w:szCs w:val="23"/>
        </w:rPr>
        <w:t>Adapter un modèle</w:t>
      </w:r>
    </w:p>
    <w:p>
      <w:pPr>
        <w:pStyle w:val="ListParagraph"/>
        <w:numPr>
          <w:ilvl w:val="0"/>
          <w:numId w:val="38"/>
        </w:numPr>
        <w:spacing w:lineRule="auto" w:line="288" w:before="0" w:after="80"/>
        <w:rPr/>
      </w:pPr>
      <w:r>
        <w:rPr>
          <w:rFonts w:eastAsia="Open Sans" w:cs="Open Sans"/>
          <w:color w:val="2C3E50"/>
          <w:sz w:val="22"/>
          <w:szCs w:val="22"/>
        </w:rPr>
        <w:t>Ouvrez Rapports › Modèles de documents et cliquez sur DT-E2E-01.</w:t>
      </w:r>
    </w:p>
    <w:p>
      <w:pPr>
        <w:pStyle w:val="ListParagraph"/>
        <w:numPr>
          <w:ilvl w:val="0"/>
          <w:numId w:val="17"/>
        </w:numPr>
        <w:spacing w:lineRule="auto" w:line="288" w:before="0" w:after="80"/>
        <w:rPr/>
      </w:pPr>
      <w:r>
        <w:rPr>
          <w:rFonts w:eastAsia="Open Sans" w:cs="Open Sans"/>
          <w:color w:val="2C3E50"/>
          <w:sz w:val="22"/>
          <w:szCs w:val="22"/>
        </w:rPr>
        <w:t>Cliquez sur Copier dans mon organisation. Les brouillons qui utilisent une version plus ancienne sont listés.</w:t>
      </w:r>
    </w:p>
    <w:p>
      <w:pPr>
        <w:pStyle w:val="Normal"/>
        <w:keepNext w:val="true"/>
        <w:spacing w:before="120" w:after="60"/>
        <w:jc w:val="center"/>
        <w:rPr/>
      </w:pPr>
      <w:r>
        <w:rPr/>
        <w:drawing>
          <wp:inline distT="0" distB="0" distL="0" distR="0">
            <wp:extent cx="5905500" cy="3695700"/>
            <wp:effectExtent l="0" t="0" r="0" b="0"/>
            <wp:docPr id="14" name="a_doctpl.png" descr="Figure 13 — Bibliothèque de modèles de documents&#10;Figure 13 — Bibliothèque de modèles d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_doctpl.png" descr="Figure 13 — Bibliothèque de modèles de documents&#10;Figure 13 — Bibliothèque de modèles de documents"/>
                    <pic:cNvPicPr>
                      <a:picLocks noChangeAspect="1" noChangeArrowheads="1"/>
                    </pic:cNvPicPr>
                  </pic:nvPicPr>
                  <pic:blipFill>
                    <a:blip r:embed="rId15"/>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13 — Bibliothèque de modèles de documents</w:t>
      </w:r>
    </w:p>
    <w:p>
      <w:pPr>
        <w:pStyle w:val="Normal"/>
        <w:keepNext w:val="true"/>
        <w:spacing w:before="160" w:after="60"/>
        <w:rPr/>
      </w:pPr>
      <w:r>
        <w:rPr>
          <w:rFonts w:eastAsia="Open Sans" w:cs="Open Sans"/>
          <w:b/>
          <w:bCs/>
          <w:color w:val="123A5F"/>
          <w:sz w:val="23"/>
          <w:szCs w:val="23"/>
        </w:rPr>
        <w:t>Définir la mise en page de l’organisation</w:t>
      </w:r>
    </w:p>
    <w:p>
      <w:pPr>
        <w:pStyle w:val="ListParagraph"/>
        <w:numPr>
          <w:ilvl w:val="0"/>
          <w:numId w:val="39"/>
        </w:numPr>
        <w:spacing w:lineRule="auto" w:line="288" w:before="0" w:after="80"/>
        <w:rPr/>
      </w:pPr>
      <w:r>
        <w:rPr>
          <w:rFonts w:eastAsia="Open Sans" w:cs="Open Sans"/>
          <w:color w:val="2C3E50"/>
          <w:sz w:val="22"/>
          <w:szCs w:val="22"/>
        </w:rPr>
        <w:t>Ouvrez Rapports › Mise en page des documents.</w:t>
      </w:r>
    </w:p>
    <w:p>
      <w:pPr>
        <w:pStyle w:val="ListParagraph"/>
        <w:numPr>
          <w:ilvl w:val="0"/>
          <w:numId w:val="18"/>
        </w:numPr>
        <w:spacing w:lineRule="auto" w:line="288" w:before="0" w:after="80"/>
        <w:rPr/>
      </w:pPr>
      <w:r>
        <w:rPr>
          <w:rFonts w:eastAsia="Open Sans" w:cs="Open Sans"/>
          <w:color w:val="2C3E50"/>
          <w:sz w:val="22"/>
          <w:szCs w:val="22"/>
        </w:rPr>
        <w:t>Choisissez polices, tailles, alignement et couleurs dans les listes autorisées.</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Police du texte — Open Sans 11 pt ; Police des titres — Montserrat 16 pt ; Alignement — Gauche ; Couleur d’en-tête — 123A5F (Navy) ; Papier — A4 ; Marges — 20 mm</w:t>
      </w:r>
    </w:p>
    <w:p>
      <w:pPr>
        <w:pStyle w:val="ListParagraph"/>
        <w:numPr>
          <w:ilvl w:val="0"/>
          <w:numId w:val="18"/>
        </w:numPr>
        <w:spacing w:lineRule="auto" w:line="288" w:before="0" w:after="80"/>
        <w:rPr/>
      </w:pPr>
      <w:r>
        <w:rPr>
          <w:rFonts w:eastAsia="Open Sans" w:cs="Open Sans"/>
          <w:color w:val="2C3E50"/>
          <w:sz w:val="22"/>
          <w:szCs w:val="22"/>
        </w:rPr>
        <w:t>Saisissez les textes d’en-tête et de pied de page, choisissez Image téléversée pour le logo et téléversez un PNG de 5 Mo maximum.</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En-tête — Groupe Hospitalier Maghreb · Formation ; Pied de page — Usage interne</w:t>
      </w:r>
    </w:p>
    <w:p>
      <w:pPr>
        <w:pStyle w:val="ListParagraph"/>
        <w:numPr>
          <w:ilvl w:val="0"/>
          <w:numId w:val="18"/>
        </w:numPr>
        <w:spacing w:lineRule="auto" w:line="288" w:before="0" w:after="80"/>
        <w:rPr/>
      </w:pPr>
      <w:r>
        <w:rPr>
          <w:rFonts w:eastAsia="Open Sans" w:cs="Open Sans"/>
          <w:color w:val="2C3E50"/>
          <w:sz w:val="22"/>
          <w:szCs w:val="22"/>
        </w:rPr>
        <w:t>Cliquez sur Aperçu en PDF, puis Enregistrer. Chaque enregistrement est une version.</w:t>
      </w:r>
    </w:p>
    <w:p>
      <w:pPr>
        <w:pStyle w:val="Normal"/>
        <w:keepNext w:val="true"/>
        <w:spacing w:before="120" w:after="60"/>
        <w:jc w:val="center"/>
        <w:rPr/>
      </w:pPr>
      <w:r>
        <w:rPr/>
        <w:drawing>
          <wp:inline distT="0" distB="0" distL="0" distR="0">
            <wp:extent cx="5905500" cy="3695700"/>
            <wp:effectExtent l="0" t="0" r="0" b="0"/>
            <wp:docPr id="15" name="a_layout.png" descr="Figure 14 — Mise en page des documents&#10;Figure 14 — Mise en page des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_layout.png" descr="Figure 14 — Mise en page des documents&#10;Figure 14 — Mise en page des documents"/>
                    <pic:cNvPicPr>
                      <a:picLocks noChangeAspect="1" noChangeArrowheads="1"/>
                    </pic:cNvPicPr>
                  </pic:nvPicPr>
                  <pic:blipFill>
                    <a:blip r:embed="rId16"/>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14 — Mise en page des documents</w:t>
      </w:r>
    </w:p>
    <w:p>
      <w:pPr>
        <w:pStyle w:val="Normal"/>
        <w:spacing w:lineRule="auto" w:line="288" w:before="0" w:after="160"/>
        <w:jc w:val="left"/>
        <w:rPr/>
      </w:pPr>
      <w:r>
        <w:rPr>
          <w:rFonts w:eastAsia="Open Sans" w:cs="Open Sans"/>
          <w:color w:val="2C3E50"/>
          <w:sz w:val="22"/>
          <w:szCs w:val="22"/>
        </w:rPr>
        <w:t>Rapports › Liste maîtresse liste chaque document du projet avec version, statut, propriétaire et dates de revue ; l’onglet Exigé par les normes montre, clause par clause, le modèle et le document qui répondent à chaque norme.</w:t>
      </w:r>
    </w:p>
    <w:p>
      <w:pPr>
        <w:pStyle w:val="Normal"/>
        <w:keepNext w:val="true"/>
        <w:spacing w:before="120" w:after="60"/>
        <w:jc w:val="center"/>
        <w:rPr/>
      </w:pPr>
      <w:r>
        <w:rPr/>
        <w:drawing>
          <wp:inline distT="0" distB="0" distL="0" distR="0">
            <wp:extent cx="5905500" cy="3695700"/>
            <wp:effectExtent l="0" t="0" r="0" b="0"/>
            <wp:docPr id="16" name="a_master.png" descr="Figure 15 — Liste maîtresse&#10;Figure 15 — Liste maît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_master.png" descr="Figure 15 — Liste maîtresse&#10;Figure 15 — Liste maîtresse"/>
                    <pic:cNvPicPr>
                      <a:picLocks noChangeAspect="1" noChangeArrowheads="1"/>
                    </pic:cNvPicPr>
                  </pic:nvPicPr>
                  <pic:blipFill>
                    <a:blip r:embed="rId17"/>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15 — Liste maîtresse</w:t>
      </w:r>
      <w:r>
        <w:br w:type="page"/>
      </w:r>
    </w:p>
    <w:p>
      <w:pPr>
        <w:pStyle w:val="Heading1"/>
        <w:pBdr>
          <w:bottom w:val="single" w:sz="6" w:space="6" w:color="E1E8F0"/>
        </w:pBdr>
        <w:spacing w:before="0" w:after="240"/>
        <w:rPr/>
      </w:pPr>
      <w:bookmarkStart w:id="8" w:name="__RefHeading___Toc1037_3373283034"/>
      <w:bookmarkEnd w:id="8"/>
      <w:r>
        <w:rPr>
          <w:rFonts w:eastAsia="Montserrat" w:cs="Montserrat"/>
          <w:b/>
          <w:bCs/>
          <w:color w:val="123A5F"/>
          <w:sz w:val="40"/>
          <w:szCs w:val="40"/>
        </w:rPr>
        <w:t>9. Audits</w:t>
      </w:r>
    </w:p>
    <w:p>
      <w:pPr>
        <w:pStyle w:val="Normal"/>
        <w:keepNext w:val="true"/>
        <w:spacing w:before="160" w:after="60"/>
        <w:rPr/>
      </w:pPr>
      <w:r>
        <w:rPr>
          <w:rFonts w:eastAsia="Open Sans" w:cs="Open Sans"/>
          <w:b/>
          <w:bCs/>
          <w:color w:val="123A5F"/>
          <w:sz w:val="23"/>
          <w:szCs w:val="23"/>
        </w:rPr>
        <w:t>Planifier un audit et traiter une non-conformité</w:t>
      </w:r>
    </w:p>
    <w:p>
      <w:pPr>
        <w:pStyle w:val="ListParagraph"/>
        <w:numPr>
          <w:ilvl w:val="0"/>
          <w:numId w:val="40"/>
        </w:numPr>
        <w:spacing w:lineRule="auto" w:line="288" w:before="0" w:after="80"/>
        <w:rPr/>
      </w:pPr>
      <w:r>
        <w:rPr>
          <w:rFonts w:eastAsia="Open Sans" w:cs="Open Sans"/>
          <w:color w:val="2C3E50"/>
          <w:sz w:val="22"/>
          <w:szCs w:val="22"/>
        </w:rPr>
        <w:t>Ouvrez Gouvernance › Audits et cliquez sur Nouveau.</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Code — AUD-2027-01 ; Nom — Audit interne du processus formation ; Norme — ISO 9001 ; Fréquence — Annuelle ; Date planifiée — 2027-03-15</w:t>
      </w:r>
    </w:p>
    <w:p>
      <w:pPr>
        <w:pStyle w:val="ListParagraph"/>
        <w:numPr>
          <w:ilvl w:val="0"/>
          <w:numId w:val="19"/>
        </w:numPr>
        <w:spacing w:lineRule="auto" w:line="288" w:before="0" w:after="80"/>
        <w:rPr/>
      </w:pPr>
      <w:r>
        <w:rPr>
          <w:rFonts w:eastAsia="Open Sans" w:cs="Open Sans"/>
          <w:color w:val="2C3E50"/>
          <w:sz w:val="22"/>
          <w:szCs w:val="22"/>
        </w:rPr>
        <w:t>Enregistrez. La prochaine date est calculée depuis la fréquence.</w:t>
      </w:r>
    </w:p>
    <w:p>
      <w:pPr>
        <w:pStyle w:val="ListParagraph"/>
        <w:numPr>
          <w:ilvl w:val="0"/>
          <w:numId w:val="19"/>
        </w:numPr>
        <w:spacing w:lineRule="auto" w:line="288" w:before="0" w:after="80"/>
        <w:rPr/>
      </w:pPr>
      <w:r>
        <w:rPr>
          <w:rFonts w:eastAsia="Open Sans" w:cs="Open Sans"/>
          <w:color w:val="2C3E50"/>
          <w:sz w:val="22"/>
          <w:szCs w:val="22"/>
        </w:rPr>
        <w:t>Ouvrez l’audit et ajoutez un constat.</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Niveau — Mineure ; Exigence — ISO 9001 §7.2 ; Énoncé — Deux formateurs n’ont pas de preuve de compétence au dossier.</w:t>
      </w:r>
    </w:p>
    <w:p>
      <w:pPr>
        <w:pStyle w:val="ListParagraph"/>
        <w:numPr>
          <w:ilvl w:val="0"/>
          <w:numId w:val="19"/>
        </w:numPr>
        <w:spacing w:lineRule="auto" w:line="288" w:before="0" w:after="80"/>
        <w:rPr/>
      </w:pPr>
      <w:r>
        <w:rPr>
          <w:rFonts w:eastAsia="Open Sans" w:cs="Open Sans"/>
          <w:color w:val="2C3E50"/>
          <w:sz w:val="22"/>
          <w:szCs w:val="22"/>
        </w:rPr>
        <w:t>Cliquez sur Créer l’action. L’action corrective entre dans le processus des actions ; le constat passe à Action planifiée.</w:t>
      </w:r>
    </w:p>
    <w:p>
      <w:pPr>
        <w:pStyle w:val="Normal"/>
        <w:keepNext w:val="true"/>
        <w:spacing w:before="120" w:after="60"/>
        <w:jc w:val="center"/>
        <w:rPr/>
      </w:pPr>
      <w:r>
        <w:rPr/>
        <w:drawing>
          <wp:inline distT="0" distB="0" distL="0" distR="0">
            <wp:extent cx="5905500" cy="3695700"/>
            <wp:effectExtent l="0" t="0" r="0" b="0"/>
            <wp:docPr id="17" name="a_audits.png" descr="Figure 16 — Programmes d’audit et échelle de notation&#10;Figure 16 — Programmes d’audit et échelle d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_audits.png" descr="Figure 16 — Programmes d’audit et échelle de notation&#10;Figure 16 — Programmes d’audit et échelle de notation"/>
                    <pic:cNvPicPr>
                      <a:picLocks noChangeAspect="1" noChangeArrowheads="1"/>
                    </pic:cNvPicPr>
                  </pic:nvPicPr>
                  <pic:blipFill>
                    <a:blip r:embed="rId18"/>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16 — Programmes d’audit et échelle de notation</w:t>
      </w:r>
      <w:r>
        <w:br w:type="page"/>
      </w:r>
    </w:p>
    <w:p>
      <w:pPr>
        <w:pStyle w:val="Heading1"/>
        <w:pBdr>
          <w:bottom w:val="single" w:sz="6" w:space="6" w:color="E1E8F0"/>
        </w:pBdr>
        <w:spacing w:before="0" w:after="240"/>
        <w:rPr/>
      </w:pPr>
      <w:bookmarkStart w:id="9" w:name="__RefHeading___Toc1039_3373283034"/>
      <w:bookmarkEnd w:id="9"/>
      <w:r>
        <w:rPr>
          <w:rFonts w:eastAsia="Montserrat" w:cs="Montserrat"/>
          <w:b/>
          <w:bCs/>
          <w:color w:val="123A5F"/>
          <w:sz w:val="40"/>
          <w:szCs w:val="40"/>
        </w:rPr>
        <w:t>10. Protection des données et exploitation</w:t>
      </w:r>
    </w:p>
    <w:tbl>
      <w:tblPr>
        <w:tblW w:w="9638" w:type="dxa"/>
        <w:jc w:val="left"/>
        <w:tblInd w:w="0" w:type="dxa"/>
        <w:tblLayout w:type="fixed"/>
        <w:tblCellMar>
          <w:top w:w="70" w:type="dxa"/>
          <w:left w:w="110" w:type="dxa"/>
          <w:bottom w:w="70" w:type="dxa"/>
          <w:right w:w="110" w:type="dxa"/>
        </w:tblCellMar>
      </w:tblPr>
      <w:tblGrid>
        <w:gridCol w:w="2768"/>
        <w:gridCol w:w="6869"/>
      </w:tblGrid>
      <w:tr>
        <w:trPr>
          <w:tblHeader w:val="true"/>
          <w:cantSplit w:val="true"/>
        </w:trPr>
        <w:tc>
          <w:tcPr>
            <w:tcW w:w="2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Sujet</w:t>
            </w:r>
          </w:p>
        </w:tc>
        <w:tc>
          <w:tcPr>
            <w:tcW w:w="68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Règle dans CortexSkills</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Conservation des réponses</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réponses plus anciennes que la durée de conservation (5 ans par défaut, enregistrement Politique de conservation) sont anonymisées chaque jour : identité et texte libre supprimés, notes conservées.</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Questionnaires anonymisés</w:t>
            </w:r>
          </w:p>
        </w:tc>
        <w:tc>
          <w:tcPr>
            <w:tcW w:w="68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Cochez Anonymisé sur le questionnaire : l’identité est retirée avant stockage et aucun lien vers le répondant n’est conservé.</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d’audit</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 ajout seul : chaque modification avec utilisateur, heure, valeurs avant et après et justification.</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Sauvegardes</w:t>
            </w:r>
          </w:p>
        </w:tc>
        <w:tc>
          <w:tcPr>
            <w:tcW w:w="68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Copie quotidienne de la base pendant le service ; conservation réglée dans la configuration serveur ; Sauvegarder maintenant à la demande (administrateur plateforme).</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Clés et secrets</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clés de modèle et jetons de canaux sont scellés sur le serveur ; seuls les derniers caractères sont affichés.</w:t>
            </w:r>
          </w:p>
        </w:tc>
      </w:tr>
    </w:tbl>
    <w:p>
      <w:pPr>
        <w:pStyle w:val="Normal"/>
        <w:spacing w:before="0" w:after="120"/>
        <w:rPr/>
      </w:pPr>
      <w:r>
        <w:rPr/>
      </w:r>
    </w:p>
    <w:p>
      <w:pPr>
        <w:pStyle w:val="Normal"/>
        <w:keepNext w:val="true"/>
        <w:spacing w:before="160" w:after="60"/>
        <w:rPr/>
      </w:pPr>
      <w:r>
        <w:rPr>
          <w:rFonts w:eastAsia="Open Sans" w:cs="Open Sans"/>
          <w:b/>
          <w:bCs/>
          <w:color w:val="123A5F"/>
          <w:sz w:val="23"/>
          <w:szCs w:val="23"/>
        </w:rPr>
        <w:t>Purger maintenant les réponses expirées</w:t>
      </w:r>
    </w:p>
    <w:p>
      <w:pPr>
        <w:pStyle w:val="ListParagraph"/>
        <w:numPr>
          <w:ilvl w:val="0"/>
          <w:numId w:val="41"/>
        </w:numPr>
        <w:spacing w:lineRule="auto" w:line="288" w:before="0" w:after="80"/>
        <w:rPr/>
      </w:pPr>
      <w:r>
        <w:rPr>
          <w:rFonts w:eastAsia="Open Sans" w:cs="Open Sans"/>
          <w:color w:val="2C3E50"/>
          <w:sz w:val="22"/>
          <w:szCs w:val="22"/>
        </w:rPr>
        <w:t>Fixez la durée : ouvrez Portefeuille › Enregistrements métier › RetentionPolicy et créez l’enregistrement.</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Années questionnaires — 5 ; Mode — anonymize</w:t>
      </w:r>
    </w:p>
    <w:p>
      <w:pPr>
        <w:pStyle w:val="ListParagraph"/>
        <w:numPr>
          <w:ilvl w:val="0"/>
          <w:numId w:val="20"/>
        </w:numPr>
        <w:spacing w:lineRule="auto" w:line="288" w:before="0" w:after="80"/>
        <w:rPr/>
      </w:pPr>
      <w:r>
        <w:rPr>
          <w:rFonts w:eastAsia="Open Sans" w:cs="Open Sans"/>
          <w:color w:val="2C3E50"/>
          <w:sz w:val="22"/>
          <w:szCs w:val="22"/>
        </w:rPr>
        <w:t>La purge s’exécute chaque jour. Pour la lancer maintenant, appelez l’API en administrateur d’organisation.</w:t>
      </w:r>
    </w:p>
    <w:p>
      <w:pPr>
        <w:pStyle w:val="Normal"/>
        <w:spacing w:before="0" w:after="60"/>
        <w:ind w:left="700"/>
        <w:rPr/>
      </w:pPr>
      <w:r>
        <w:rPr>
          <w:rFonts w:eastAsia="Open Sans" w:cs="Open Sans"/>
          <w:b/>
          <w:bCs/>
          <w:color w:val="123A5F"/>
          <w:sz w:val="21"/>
          <w:szCs w:val="21"/>
        </w:rPr>
        <w:t xml:space="preserve">Saisir : </w:t>
      </w:r>
      <w:r>
        <w:rPr>
          <w:rFonts w:eastAsia="Open Sans" w:cs="Open Sans"/>
          <w:color w:val="2C3E50"/>
          <w:sz w:val="21"/>
          <w:szCs w:val="21"/>
        </w:rPr>
        <w:t>POST /api/retention/purge  {"mode":"anonymize"}</w:t>
      </w:r>
    </w:p>
    <w:p>
      <w:pPr>
        <w:pStyle w:val="ListParagraph"/>
        <w:numPr>
          <w:ilvl w:val="0"/>
          <w:numId w:val="20"/>
        </w:numPr>
        <w:spacing w:lineRule="auto" w:line="288" w:before="0" w:after="80"/>
        <w:rPr/>
      </w:pPr>
      <w:r>
        <w:rPr>
          <w:rFonts w:eastAsia="Open Sans" w:cs="Open Sans"/>
          <w:color w:val="2C3E50"/>
          <w:sz w:val="22"/>
          <w:szCs w:val="22"/>
        </w:rPr>
        <w:t>Vérifiez le nombre dans l’entrée du journal RetentionPolicy · purge.</w:t>
      </w:r>
    </w:p>
    <w:p>
      <w:pPr>
        <w:pStyle w:val="Normal"/>
        <w:keepNext w:val="true"/>
        <w:spacing w:before="120" w:after="60"/>
        <w:jc w:val="center"/>
        <w:rPr/>
      </w:pPr>
      <w:r>
        <w:rPr/>
        <w:drawing>
          <wp:inline distT="0" distB="0" distL="0" distR="0">
            <wp:extent cx="5905500" cy="3695700"/>
            <wp:effectExtent l="0" t="0" r="0" b="0"/>
            <wp:docPr id="18" name="a_audit.png" descr="Figure 17 — Journal d’audit&#10;Figure 17 —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_audit.png" descr="Figure 17 — Journal d’audit&#10;Figure 17 — Journal d’audit"/>
                    <pic:cNvPicPr>
                      <a:picLocks noChangeAspect="1" noChangeArrowheads="1"/>
                    </pic:cNvPicPr>
                  </pic:nvPicPr>
                  <pic:blipFill>
                    <a:blip r:embed="rId19"/>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17 — Journal d’audit</w:t>
      </w:r>
    </w:p>
    <w:p>
      <w:pPr>
        <w:pStyle w:val="Heading2"/>
        <w:keepNext w:val="true"/>
        <w:spacing w:before="320" w:after="120"/>
        <w:rPr/>
      </w:pPr>
      <w:bookmarkStart w:id="10" w:name="__RefHeading___Toc1041_3373283034"/>
      <w:bookmarkEnd w:id="10"/>
      <w:r>
        <w:rPr>
          <w:rFonts w:eastAsia="Montserrat" w:cs="Montserrat"/>
          <w:b/>
          <w:bCs/>
          <w:color w:val="123A5F"/>
          <w:sz w:val="32"/>
          <w:szCs w:val="32"/>
        </w:rPr>
        <w:t>Traçabilité</w:t>
      </w:r>
    </w:p>
    <w:p>
      <w:pPr>
        <w:pStyle w:val="Normal"/>
        <w:spacing w:lineRule="auto" w:line="288" w:before="0" w:after="160"/>
        <w:jc w:val="left"/>
        <w:rPr/>
      </w:pPr>
      <w:r>
        <w:rPr>
          <w:rFonts w:eastAsia="Open Sans" w:cs="Open Sans"/>
          <w:color w:val="2C3E50"/>
          <w:sz w:val="22"/>
          <w:szCs w:val="22"/>
        </w:rPr>
        <w:t>Administration › Traçabilité liste les 580 exigences du SRS Dynamic Apps Standard v1.10 avec leur statut et leur preuve : 558 satisfaites, 10 partielles et 12 relevant de l’hébergement de production (dimensionnement, disponibilité, chiffrement au repos, résidence).</w:t>
      </w:r>
    </w:p>
    <w:p>
      <w:pPr>
        <w:pStyle w:val="Normal"/>
        <w:keepNext w:val="true"/>
        <w:spacing w:before="120" w:after="60"/>
        <w:jc w:val="center"/>
        <w:rPr/>
      </w:pPr>
      <w:r>
        <w:rPr/>
        <w:drawing>
          <wp:inline distT="0" distB="0" distL="0" distR="0">
            <wp:extent cx="5905500" cy="3695700"/>
            <wp:effectExtent l="0" t="0" r="0" b="0"/>
            <wp:docPr id="19" name="a_trace.png" descr="Figure 18 — Traçabilité des exigences&#10;Figure 18 — Traçabilité des exig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_trace.png" descr="Figure 18 — Traçabilité des exigences&#10;Figure 18 — Traçabilité des exigences"/>
                    <pic:cNvPicPr>
                      <a:picLocks noChangeAspect="1" noChangeArrowheads="1"/>
                    </pic:cNvPicPr>
                  </pic:nvPicPr>
                  <pic:blipFill>
                    <a:blip r:embed="rId20"/>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18 — Traçabilité des exigences</w:t>
      </w:r>
      <w:r>
        <w:br w:type="page"/>
      </w:r>
    </w:p>
    <w:p>
      <w:pPr>
        <w:pStyle w:val="Heading1"/>
        <w:pBdr>
          <w:bottom w:val="single" w:sz="6" w:space="6" w:color="E1E8F0"/>
        </w:pBdr>
        <w:spacing w:before="0" w:after="240"/>
        <w:rPr/>
      </w:pPr>
      <w:bookmarkStart w:id="11" w:name="__RefHeading___Toc1043_3373283034"/>
      <w:bookmarkEnd w:id="11"/>
      <w:r>
        <w:rPr>
          <w:rFonts w:eastAsia="Montserrat" w:cs="Montserrat"/>
          <w:b/>
          <w:bCs/>
          <w:color w:val="123A5F"/>
          <w:sz w:val="40"/>
          <w:szCs w:val="40"/>
        </w:rPr>
        <w:t>11. Déploiement en production</w:t>
      </w:r>
    </w:p>
    <w:p>
      <w:pPr>
        <w:pStyle w:val="Normal"/>
        <w:spacing w:lineRule="auto" w:line="288" w:before="0" w:after="160"/>
        <w:jc w:val="left"/>
        <w:rPr/>
      </w:pPr>
      <w:r>
        <w:rPr>
          <w:rFonts w:eastAsia="Open Sans" w:cs="Open Sans"/>
          <w:color w:val="2C3E50"/>
          <w:sz w:val="22"/>
          <w:szCs w:val="22"/>
        </w:rPr>
        <w:t>La démonstration fonctionne en mode développement avec des mots de passe partagés. Une installation de production est créée vide avec npm run init et s’administre depuis la console du serveur (npm run admin). Deux guides d’installation donnent chaque étape : CortexSkills — Mode SaaS, et CortexSkills — Cloud dédié et sur site.</w:t>
      </w:r>
    </w:p>
    <w:tbl>
      <w:tblPr>
        <w:tblW w:w="9638" w:type="dxa"/>
        <w:jc w:val="left"/>
        <w:tblInd w:w="0" w:type="dxa"/>
        <w:tblLayout w:type="fixed"/>
        <w:tblCellMar>
          <w:top w:w="70" w:type="dxa"/>
          <w:left w:w="110" w:type="dxa"/>
          <w:bottom w:w="70" w:type="dxa"/>
          <w:right w:w="110" w:type="dxa"/>
        </w:tblCellMar>
      </w:tblPr>
      <w:tblGrid>
        <w:gridCol w:w="2372"/>
        <w:gridCol w:w="2572"/>
        <w:gridCol w:w="2570"/>
        <w:gridCol w:w="2123"/>
      </w:tblGrid>
      <w:tr>
        <w:trPr>
          <w:tblHeader w:val="true"/>
          <w:cantSplit w:val="true"/>
        </w:trPr>
        <w:tc>
          <w:tcPr>
            <w:tcW w:w="2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w:t>
            </w:r>
          </w:p>
        </w:tc>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Où</w:t>
            </w:r>
          </w:p>
        </w:tc>
        <w:tc>
          <w:tcPr>
            <w:tcW w:w="2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Licence</w:t>
            </w:r>
          </w:p>
        </w:tc>
        <w:tc>
          <w:tcPr>
            <w:tcW w:w="2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Activation des offres</w:t>
            </w:r>
          </w:p>
        </w:tc>
      </w:tr>
      <w:tr>
        <w:trPr>
          <w:cantSplit w:val="true"/>
        </w:trPr>
        <w:tc>
          <w:tcPr>
            <w:tcW w:w="2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SaaS (DEPLOYMENT_MODE=saas)</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installation chez le fournisseur, plusieurs organisations</w:t>
            </w:r>
          </w:p>
        </w:tc>
        <w:tc>
          <w:tcPr>
            <w:tcW w:w="2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Émise par le fournisseur : npm run admin -- licence</w:t>
            </w:r>
          </w:p>
        </w:tc>
        <w:tc>
          <w:tcPr>
            <w:tcW w:w="2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Console (licence, addon) ou écran Configuration et licence</w:t>
            </w:r>
          </w:p>
        </w:tc>
      </w:tr>
      <w:tr>
        <w:trPr>
          <w:cantSplit w:val="true"/>
        </w:trPr>
        <w:tc>
          <w:tcPr>
            <w:tcW w:w="2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Cloud dédié / sur site (DEPLOYMENT_MODE=onprem)</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installation par client : cloud public, cloud privé ou centre de données</w:t>
            </w:r>
          </w:p>
        </w:tc>
        <w:tc>
          <w:tcPr>
            <w:tcW w:w="25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Fichier signé par l’éditeur : licence-request → signature → licence-install</w:t>
            </w:r>
          </w:p>
        </w:tc>
        <w:tc>
          <w:tcPr>
            <w:tcW w:w="2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 signée (offre, utilisateurs, date) ; options et normes à l’écran</w:t>
            </w:r>
          </w:p>
        </w:tc>
      </w:tr>
    </w:tbl>
    <w:p>
      <w:pPr>
        <w:pStyle w:val="Normal"/>
        <w:spacing w:before="0" w:after="120"/>
        <w:rPr/>
      </w:pPr>
      <w:r>
        <w:rPr/>
      </w:r>
    </w:p>
    <w:tbl>
      <w:tblPr>
        <w:tblW w:w="9638" w:type="dxa"/>
        <w:jc w:val="left"/>
        <w:tblInd w:w="0" w:type="dxa"/>
        <w:tblLayout w:type="fixed"/>
        <w:tblCellMar>
          <w:top w:w="70" w:type="dxa"/>
          <w:left w:w="110" w:type="dxa"/>
          <w:bottom w:w="70" w:type="dxa"/>
          <w:right w:w="110" w:type="dxa"/>
        </w:tblCellMar>
      </w:tblPr>
      <w:tblGrid>
        <w:gridCol w:w="4350"/>
        <w:gridCol w:w="5287"/>
      </w:tblGrid>
      <w:tr>
        <w:trPr>
          <w:tblHeader w:val="true"/>
          <w:cantSplit w:val="true"/>
        </w:trPr>
        <w:tc>
          <w:tcPr>
            <w:tcW w:w="4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Commande console</w:t>
            </w:r>
          </w:p>
        </w:tc>
        <w:tc>
          <w:tcPr>
            <w:tcW w:w="52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secrets</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Nouveaux secrets aléatoires pour server/.env</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init</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Base de production vide et administrateur de la plateforme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admin -- org-create / org-list</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Créer et lister les organisations clientes</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admin -- licence / addon</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 : émettre, renouveler, redimensionner une licence ; options</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admin -- licence-request / licence-install</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OnPrem : demander et installer la licence signée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admin -- user-create / password / platform-admin</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Utilisateurs, réinitialisation de mot de passe, administrateurs de la plateforme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backup</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Sauvegarder la base maintenant</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Sécurité au démarrage</w:t>
            </w:r>
          </w:p>
          <w:p>
            <w:pPr>
              <w:pStyle w:val="Normal"/>
              <w:spacing w:lineRule="auto" w:line="288" w:before="0" w:after="60"/>
              <w:jc w:val="left"/>
              <w:rPr/>
            </w:pPr>
            <w:r>
              <w:rPr>
                <w:rFonts w:eastAsia="Open Sans" w:cs="Open Sans"/>
                <w:color w:val="2C3E50"/>
                <w:sz w:val="21"/>
                <w:szCs w:val="21"/>
              </w:rPr>
              <w:t>Avec NODE_ENV=production, le serveur refuse de démarrer tant qu’un secret est absent ou faible, que l’adresse publique n’est pas en HTTPS, que CORS est ouvert, que la base contient les données de démonstration, ou (OnPrem) que la clé publique de l’éditeur manque ou que sa clé privée est présente. Il liste chaque problème avec sa correction.</w:t>
            </w:r>
          </w:p>
        </w:tc>
      </w:tr>
    </w:tbl>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d’administration</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23</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0"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1.10.0 · Guide d’administration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4"/>
    <w:lvlOverride w:ilvl="0">
      <w:startOverride w:val="1"/>
    </w:lvlOverride>
  </w:num>
  <w:num w:numId="26">
    <w:abstractNumId w:val="5"/>
    <w:lvlOverride w:ilvl="0">
      <w:startOverride w:val="1"/>
    </w:lvlOverride>
  </w:num>
  <w:num w:numId="27">
    <w:abstractNumId w:val="6"/>
    <w:lvlOverride w:ilvl="0">
      <w:startOverride w:val="1"/>
    </w:lvlOverride>
  </w:num>
  <w:num w:numId="28">
    <w:abstractNumId w:val="7"/>
    <w:lvlOverride w:ilvl="0">
      <w:startOverride w:val="1"/>
    </w:lvlOverride>
  </w:num>
  <w:num w:numId="29">
    <w:abstractNumId w:val="8"/>
    <w:lvlOverride w:ilvl="0">
      <w:startOverride w:val="1"/>
    </w:lvlOverride>
  </w:num>
  <w:num w:numId="30">
    <w:abstractNumId w:val="9"/>
    <w:lvlOverride w:ilvl="0">
      <w:startOverride w:val="1"/>
    </w:lvlOverride>
  </w:num>
  <w:num w:numId="31">
    <w:abstractNumId w:val="10"/>
    <w:lvlOverride w:ilvl="0">
      <w:startOverride w:val="1"/>
    </w:lvlOverride>
  </w:num>
  <w:num w:numId="32">
    <w:abstractNumId w:val="11"/>
    <w:lvlOverride w:ilvl="0">
      <w:startOverride w:val="1"/>
    </w:lvlOverride>
  </w:num>
  <w:num w:numId="33">
    <w:abstractNumId w:val="12"/>
    <w:lvlOverride w:ilvl="0">
      <w:startOverride w:val="1"/>
    </w:lvlOverride>
  </w:num>
  <w:num w:numId="34">
    <w:abstractNumId w:val="13"/>
    <w:lvlOverride w:ilvl="0">
      <w:startOverride w:val="1"/>
    </w:lvlOverride>
  </w:num>
  <w:num w:numId="35">
    <w:abstractNumId w:val="14"/>
    <w:lvlOverride w:ilvl="0">
      <w:startOverride w:val="1"/>
    </w:lvlOverride>
  </w:num>
  <w:num w:numId="36">
    <w:abstractNumId w:val="15"/>
    <w:lvlOverride w:ilvl="0">
      <w:startOverride w:val="1"/>
    </w:lvlOverride>
  </w:num>
  <w:num w:numId="37">
    <w:abstractNumId w:val="16"/>
    <w:lvlOverride w:ilvl="0">
      <w:startOverride w:val="1"/>
    </w:lvlOverride>
  </w:num>
  <w:num w:numId="38">
    <w:abstractNumId w:val="17"/>
    <w:lvlOverride w:ilvl="0">
      <w:startOverride w:val="1"/>
    </w:lvlOverride>
  </w:num>
  <w:num w:numId="39">
    <w:abstractNumId w:val="18"/>
    <w:lvlOverride w:ilvl="0">
      <w:startOverride w:val="1"/>
    </w:lvlOverride>
  </w:num>
  <w:num w:numId="40">
    <w:abstractNumId w:val="19"/>
    <w:lvlOverride w:ilvl="0">
      <w:startOverride w:val="1"/>
    </w:lvlOverride>
  </w:num>
  <w:num w:numId="41">
    <w:abstractNumId w:val="20"/>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2026-10-12T16:46:18Z</dcterms:created>
  <dc:creator>AI Value</dc:creator>
  <dc:description>CortexSkills — Guide d’administration</dc:description>
  <dc:language>en-US</dc:language>
  <cp:lastModifiedBy/>
  <dcterms:modified xsi:type="dcterms:W3CDTF">2026-10-12T16:47:56Z</dcterms:modified>
  <cp:revision>2</cp:revision>
  <dc:subject/>
  <dc:title>CortexSkills — Guide d’administration</dc:title>
</cp:coreProperties>
</file>