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37.png" ContentType="image/png"/>
  <Override PartName="/word/media/image15.png" ContentType="image/png"/>
  <Override PartName="/word/media/image6.png" ContentType="image/png"/>
  <Override PartName="/word/media/image38.png" ContentType="image/png"/>
  <Override PartName="/word/media/image1.png" ContentType="image/png"/>
  <Override PartName="/word/media/image33.png" ContentType="image/png"/>
  <Override PartName="/word/media/image10.png" ContentType="image/png"/>
  <Override PartName="/word/media/image47.png" ContentType="image/png"/>
  <Override PartName="/word/media/image16.png" ContentType="image/png"/>
  <Override PartName="/word/media/image7.png" ContentType="image/png"/>
  <Override PartName="/word/media/image39.png" ContentType="image/png"/>
  <Override PartName="/word/media/image42.png" ContentType="image/png"/>
  <Override PartName="/word/media/image31.png" ContentType="image/png"/>
  <Override PartName="/word/media/image43.png" ContentType="image/png"/>
  <Override PartName="/word/media/image32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13.png" ContentType="image/png"/>
  <Override PartName="/word/media/image11.png" ContentType="image/png"/>
  <Override PartName="/word/media/image48.png" ContentType="image/png"/>
  <Override PartName="/word/media/image51.png" ContentType="image/png"/>
  <Override PartName="/word/media/image40.png" ContentType="image/png"/>
  <Override PartName="/word/media/image52.png" ContentType="image/png"/>
  <Override PartName="/word/media/image41.png" ContentType="image/png"/>
  <Override PartName="/word/media/image53.png" ContentType="image/png"/>
  <Override PartName="/word/media/image30.png" ContentType="image/png"/>
  <Override PartName="/word/media/image4.png" ContentType="image/png"/>
  <Override PartName="/word/media/image36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49.png" ContentType="image/png"/>
  <Override PartName="/word/media/image12.png" ContentType="image/png"/>
  <Override PartName="/word/media/image3.png" ContentType="image/png"/>
  <Override PartName="/word/media/image35.png" ContentType="image/png"/>
  <Override PartName="/word/media/image8.png" ContentType="image/png"/>
  <Override PartName="/word/media/image17.png" ContentType="image/png"/>
  <Override PartName="/word/media/image2.png" ContentType="image/png"/>
  <Override PartName="/word/media/image34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2381250" cy="1695450"/>
            <wp:effectExtent l="0" t="0" r="0" b="0"/>
            <wp:docPr id="1" name="aivalue-logo-900.png" descr="AI Value&#10;AI Valu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ivalue-logo-900.png" descr="AI Value&#10;AI Value 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900"/>
        <w:rPr/>
      </w:pPr>
      <w:r>
        <w:rPr/>
      </w:r>
    </w:p>
    <w:p>
      <w:pPr>
        <w:pStyle w:val="Normal"/>
        <w:spacing w:before="0" w:after="300"/>
        <w:jc w:val="center"/>
        <w:rPr/>
      </w:pPr>
      <w:r>
        <w:rPr/>
        <w:drawing>
          <wp:inline distT="0" distB="0" distL="0" distR="0">
            <wp:extent cx="1905000" cy="1905000"/>
            <wp:effectExtent l="0" t="0" r="0" b="0"/>
            <wp:docPr id="2" name="cortexskills-logo.png" descr="CortexSkills&#10;CortexSkil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rtexskills-logo.png" descr="CortexSkills&#10;CortexSkill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40"/>
        <w:jc w:val="center"/>
        <w:rPr/>
      </w:pPr>
      <w:r>
        <w:rPr>
          <w:rFonts w:eastAsia="Open Sans" w:cs="Open Sans"/>
          <w:b/>
          <w:bCs/>
          <w:color w:val="1876C6"/>
          <w:spacing w:val="60"/>
          <w:sz w:val="28"/>
          <w:szCs w:val="28"/>
        </w:rPr>
        <w:t>PRÉSENTATION</w:t>
      </w:r>
    </w:p>
    <w:p>
      <w:pPr>
        <w:pStyle w:val="Normal"/>
        <w:spacing w:before="0" w:after="200"/>
        <w:jc w:val="center"/>
        <w:rPr/>
      </w:pPr>
      <w:r>
        <w:rPr>
          <w:rFonts w:eastAsia="Montserrat" w:cs="Montserrat" w:ascii="Montserrat" w:hAnsi="Montserrat"/>
          <w:b/>
          <w:bCs/>
          <w:color w:val="123A5F"/>
          <w:sz w:val="56"/>
          <w:szCs w:val="56"/>
        </w:rPr>
        <w:t>Cas complet santé — Projet d’ingénierie de formation</w:t>
      </w:r>
    </w:p>
    <w:p>
      <w:pPr>
        <w:pStyle w:val="Normal"/>
        <w:spacing w:before="0" w:after="1400"/>
        <w:jc w:val="center"/>
        <w:rPr/>
      </w:pPr>
      <w:r>
        <w:rPr>
          <w:rFonts w:eastAsia="Open Sans" w:cs="Open Sans"/>
          <w:color w:val="2C3E50"/>
          <w:sz w:val="26"/>
          <w:szCs w:val="26"/>
        </w:rPr>
        <w:t>Groupe Santéora Cliniques Privées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Version 1.10.0 · 2026-10-12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50 diapositives · données de démonstration, organisation fictive</w:t>
      </w:r>
    </w:p>
    <w:p>
      <w:pPr>
        <w:pStyle w:val="Normal"/>
        <w:spacing w:before="0" w:after="60"/>
        <w:jc w:val="center"/>
        <w:rPr/>
      </w:pPr>
      <w:r>
        <w:rPr>
          <w:rFonts w:eastAsia="Open Sans" w:cs="Open Sans"/>
          <w:color w:val="5A6B7B"/>
          <w:sz w:val="20"/>
          <w:szCs w:val="20"/>
        </w:rPr>
        <w:t>Préparé par AI Value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6" w:space="6" w:color="E1E8F0"/>
        </w:pBdr>
        <w:spacing w:before="0" w:after="240"/>
        <w:rPr/>
      </w:pPr>
      <w:r>
        <w:rPr>
          <w:rFonts w:eastAsia="Montserrat" w:cs="Montserrat" w:ascii="Montserrat" w:hAnsi="Montserrat"/>
          <w:b/>
          <w:bCs/>
          <w:color w:val="123A5F"/>
          <w:sz w:val="40"/>
          <w:szCs w:val="40"/>
        </w:rPr>
        <w:t>Table des matières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773_4237577967">
            <w:r>
              <w:rPr>
                <w:rStyle w:val="IndexLink"/>
              </w:rPr>
              <w:t>1. Titre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5_4237577967">
            <w:r>
              <w:rPr>
                <w:rStyle w:val="IndexLink"/>
              </w:rPr>
              <w:t>2. Déroulé de la présentation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77_4237577967">
            <w:r>
              <w:rPr>
                <w:rStyle w:val="IndexLink"/>
              </w:rPr>
              <w:t>3. Un cycle complet de compétences IA, documenté de bout en bout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79_4237577967">
            <w:r>
              <w:rPr>
                <w:rStyle w:val="IndexLink"/>
              </w:rPr>
              <w:t>01. Le groupe de cliniques et le projet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81_4237577967">
            <w:r>
              <w:rPr>
                <w:rStyle w:val="IndexLink"/>
              </w:rPr>
              <w:t>5. Groupe Santéora Cliniques Privées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83_4237577967">
            <w:r>
              <w:rPr>
                <w:rStyle w:val="IndexLink"/>
              </w:rPr>
              <w:t>6. Dates clés et SWOT du groupe de cliniques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85_4237577967">
            <w:r>
              <w:rPr>
                <w:rStyle w:val="IndexLink"/>
              </w:rPr>
              <w:t>7. Déroulé complet compétences IA 2026 — Groupe Santéora Cliniques Privées</w:t>
              <w:tab/>
              <w:t>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87_4237577967">
            <w:r>
              <w:rPr>
                <w:rStyle w:val="IndexLink"/>
              </w:rPr>
              <w:t>8. Fonctions et niveaux de décision couverts</w:t>
              <w:tab/>
              <w:t>10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89_4237577967">
            <w:r>
              <w:rPr>
                <w:rStyle w:val="IndexLink"/>
              </w:rPr>
              <w:t>9. Six phases, chacune close par un jalon et ses livrables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91_4237577967">
            <w:r>
              <w:rPr>
                <w:rStyle w:val="IndexLink"/>
              </w:rPr>
              <w:t>10. Lots de travaux et diagramme de Gantt</w:t>
              <w:tab/>
              <w:t>12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93_4237577967">
            <w:r>
              <w:rPr>
                <w:rStyle w:val="IndexLink"/>
              </w:rPr>
              <w:t>11. 40 personnes consultées dans toutes les fonctions</w:t>
              <w:tab/>
              <w:t>13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795_4237577967">
            <w:r>
              <w:rPr>
                <w:rStyle w:val="IndexLink"/>
              </w:rPr>
              <w:t>02. Diagnostic</w:t>
              <w:tab/>
              <w:t>14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97_4237577967">
            <w:r>
              <w:rPr>
                <w:rStyle w:val="IndexLink"/>
              </w:rPr>
              <w:t>13. 35 personnes sur 40 ont répondu</w:t>
              <w:tab/>
              <w:t>15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799_4237577967">
            <w:r>
              <w:rPr>
                <w:rStyle w:val="IndexLink"/>
              </w:rPr>
              <w:t>14. Ce que les équipes disent du dernier plan de formation</w:t>
              <w:tab/>
              <w:t>16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01_4237577967">
            <w:r>
              <w:rPr>
                <w:rStyle w:val="IndexLink"/>
              </w:rPr>
              <w:t>15. Cinq axes évalués, maturité un niveau sous la cible</w:t>
              <w:tab/>
              <w:t>17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03_4237577967">
            <w:r>
              <w:rPr>
                <w:rStyle w:val="IndexLink"/>
              </w:rPr>
              <w:t>16. Où se situe chaque fonction à chaque niveau de décision</w:t>
              <w:tab/>
              <w:t>18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05_4237577967">
            <w:r>
              <w:rPr>
                <w:rStyle w:val="IndexLink"/>
              </w:rPr>
              <w:t>17. Les compétences demandées, par nombre de mentions</w:t>
              <w:tab/>
              <w:t>19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07_4237577967">
            <w:r>
              <w:rPr>
                <w:rStyle w:val="IndexLink"/>
              </w:rPr>
              <w:t>18. Auto-évaluation des répondants, du plus faible au plus fort</w:t>
              <w:tab/>
              <w:t>20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09_4237577967">
            <w:r>
              <w:rPr>
                <w:rStyle w:val="IndexLink"/>
              </w:rPr>
              <w:t>19. Des écarts mesurés à un registre de besoins validé</w:t>
              <w:tab/>
              <w:t>21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11_4237577967">
            <w:r>
              <w:rPr>
                <w:rStyle w:val="IndexLink"/>
              </w:rPr>
              <w:t>20. Soins cliniques et infirmiers</w:t>
              <w:tab/>
              <w:t>22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13_4237577967">
            <w:r>
              <w:rPr>
                <w:rStyle w:val="IndexLink"/>
              </w:rPr>
              <w:t>21. Comment les équipes utilisent l’IA et ce qui les freine</w:t>
              <w:tab/>
              <w:t>23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15_4237577967">
            <w:r>
              <w:rPr>
                <w:rStyle w:val="IndexLink"/>
              </w:rPr>
              <w:t>22. Ce que les répondants attendent de la formation</w:t>
              <w:tab/>
              <w:t>24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817_4237577967">
            <w:r>
              <w:rPr>
                <w:rStyle w:val="IndexLink"/>
              </w:rPr>
              <w:t>03. Rapport d’ingénierie de formation</w:t>
              <w:tab/>
              <w:t>25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19_4237577967">
            <w:r>
              <w:rPr>
                <w:rStyle w:val="IndexLink"/>
              </w:rPr>
              <w:t>24. Rapport d’ingénierie de formation et plan de formation</w:t>
              <w:tab/>
              <w:t>26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21_4237577967">
            <w:r>
              <w:rPr>
                <w:rStyle w:val="IndexLink"/>
              </w:rPr>
              <w:t>25. Besoins liés à la stratégie et aux orientations RH</w:t>
              <w:tab/>
              <w:t>27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23_4237577967">
            <w:r>
              <w:rPr>
                <w:rStyle w:val="IndexLink"/>
              </w:rPr>
              <w:t>26. Quatre initiatives déployées en trois vagues</w:t>
              <w:tab/>
              <w:t>28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25_4237577967">
            <w:r>
              <w:rPr>
                <w:rStyle w:val="IndexLink"/>
              </w:rPr>
              <w:t>27. Chaque risque réduit par des contrôles nommés</w:t>
              <w:tab/>
              <w:t>29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27_4237577967">
            <w:r>
              <w:rPr>
                <w:rStyle w:val="IndexLink"/>
              </w:rPr>
              <w:t>28. Indicateurs suivis chaque mois pendant le déroulé</w:t>
              <w:tab/>
              <w:t>30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829_4237577967">
            <w:r>
              <w:rPr>
                <w:rStyle w:val="IndexLink"/>
              </w:rPr>
              <w:t>04. Plan de formation</w:t>
              <w:tab/>
              <w:t>31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31_4237577967">
            <w:r>
              <w:rPr>
                <w:rStyle w:val="IndexLink"/>
              </w:rPr>
              <w:t>30. Six thèmes classés par impact et urgence</w:t>
              <w:tab/>
              <w:t>32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33_4237577967">
            <w:r>
              <w:rPr>
                <w:rStyle w:val="IndexLink"/>
              </w:rPr>
              <w:t>31. Deux programmes, six formations, des prérequis clairs</w:t>
              <w:tab/>
              <w:t>33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35_4237577967">
            <w:r>
              <w:rPr>
                <w:rStyle w:val="IndexLink"/>
              </w:rPr>
              <w:t>32. TR-AI-01 — Triage IA et aide à la décision clinique</w:t>
              <w:tab/>
              <w:t>34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37_4237577967">
            <w:r>
              <w:rPr>
                <w:rStyle w:val="IndexLink"/>
              </w:rPr>
              <w:t>33. Triage IA et aide à la décision clinique — demi-journée par demi-journée</w:t>
              <w:tab/>
              <w:t>35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39_4237577967">
            <w:r>
              <w:rPr>
                <w:rStyle w:val="IndexLink"/>
              </w:rPr>
              <w:t>34. Pourquoi chaque public doit suivre la formation</w:t>
              <w:tab/>
              <w:t>36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41_4237577967">
            <w:r>
              <w:rPr>
                <w:rStyle w:val="IndexLink"/>
              </w:rPr>
              <w:t>35. Parcours, modules et ressources pédagogiques</w:t>
              <w:tab/>
              <w:t>37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43_4237577967">
            <w:r>
              <w:rPr>
                <w:rStyle w:val="IndexLink"/>
              </w:rPr>
              <w:t>36. Alloué, engagé, consommé et remboursements attendus</w:t>
              <w:tab/>
              <w:t>38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845_4237577967">
            <w:r>
              <w:rPr>
                <w:rStyle w:val="IndexLink"/>
              </w:rPr>
              <w:t>05. Déploiement, évaluation et audit</w:t>
              <w:tab/>
              <w:t>39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47_4237577967">
            <w:r>
              <w:rPr>
                <w:rStyle w:val="IndexLink"/>
              </w:rPr>
              <w:t>38. Quatre sessions réalisées avec leurs inscriptions</w:t>
              <w:tab/>
              <w:t>40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49_4237577967">
            <w:r>
              <w:rPr>
                <w:rStyle w:val="IndexLink"/>
              </w:rPr>
              <w:t>39. Résultats mesurés sur trois niveaux de Kirkpatrick</w:t>
              <w:tab/>
              <w:t>41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51_4237577967">
            <w:r>
              <w:rPr>
                <w:rStyle w:val="IndexLink"/>
              </w:rPr>
              <w:t>40. ROI de Phillips et indicateurs de l’étude ROI</w:t>
              <w:tab/>
              <w:t>42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53_4237577967">
            <w:r>
              <w:rPr>
                <w:rStyle w:val="IndexLink"/>
              </w:rPr>
              <w:t>41. Rapport d’audit — Groupe Santéora Cliniques Privées</w:t>
              <w:tab/>
              <w:t>43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55_4237577967">
            <w:r>
              <w:rPr>
                <w:rStyle w:val="IndexLink"/>
              </w:rPr>
              <w:t>42. REX — Triage IA et aide à la décision clinique</w:t>
              <w:tab/>
              <w:t>44</w:t>
            </w:r>
          </w:hyperlink>
        </w:p>
        <w:p>
          <w:pPr>
            <w:pStyle w:val="TOC1"/>
            <w:tabs>
              <w:tab w:val="clear" w:pos="720"/>
              <w:tab w:val="right" w:pos="9637" w:leader="dot"/>
            </w:tabs>
            <w:rPr/>
          </w:pPr>
          <w:hyperlink w:anchor="__RefHeading___Toc857_4237577967">
            <w:r>
              <w:rPr>
                <w:rStyle w:val="IndexLink"/>
              </w:rPr>
              <w:t>06. Documents produits</w:t>
              <w:tab/>
              <w:t>45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59_4237577967">
            <w:r>
              <w:rPr>
                <w:rStyle w:val="IndexLink"/>
              </w:rPr>
              <w:t>44. Chaque processus de bout en bout laisse son document</w:t>
              <w:tab/>
              <w:t>46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61_4237577967">
            <w:r>
              <w:rPr>
                <w:rStyle w:val="IndexLink"/>
              </w:rPr>
              <w:t>45. Documents produits (suite)</w:t>
              <w:tab/>
              <w:t>47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63_4237577967">
            <w:r>
              <w:rPr>
                <w:rStyle w:val="IndexLink"/>
              </w:rPr>
              <w:t>46. Chaque chiffre du rapport provient d’un enregistrement</w:t>
              <w:tab/>
              <w:t>48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65_4237577967">
            <w:r>
              <w:rPr>
                <w:rStyle w:val="IndexLink"/>
              </w:rPr>
              <w:t>47. Le plan de formation tel que les utilisateurs le voient</w:t>
              <w:tab/>
              <w:t>49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67_4237577967">
            <w:r>
              <w:rPr>
                <w:rStyle w:val="IndexLink"/>
              </w:rPr>
              <w:t>48. L’espace projet et le tableau de bord</w:t>
              <w:tab/>
              <w:t>50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69_4237577967">
            <w:r>
              <w:rPr>
                <w:rStyle w:val="IndexLink"/>
              </w:rPr>
              <w:t>49. Ce que le groupe obtient en fin de cycle</w:t>
              <w:tab/>
              <w:t>51</w:t>
            </w:r>
          </w:hyperlink>
        </w:p>
        <w:p>
          <w:pPr>
            <w:pStyle w:val="TOC2"/>
            <w:tabs>
              <w:tab w:val="clear" w:pos="720"/>
              <w:tab w:val="right" w:pos="9637" w:leader="dot"/>
            </w:tabs>
            <w:rPr/>
          </w:pPr>
          <w:hyperlink w:anchor="__RefHeading___Toc871_4237577967">
            <w:r>
              <w:rPr>
                <w:rStyle w:val="IndexLink"/>
              </w:rPr>
              <w:t>50. Clôture</w:t>
              <w:tab/>
              <w:t>52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88" w:before="0" w:after="0"/>
        <w:jc w:val="left"/>
        <w:rPr/>
      </w:pPr>
      <w:r>
        <w:rPr/>
      </w:r>
    </w:p>
    <w:p>
      <w:pPr>
        <w:pStyle w:val="Heading2"/>
        <w:keepNext w:val="true"/>
        <w:spacing w:before="0" w:after="120"/>
        <w:rPr/>
      </w:pPr>
      <w:bookmarkStart w:id="0" w:name="__RefHeading___Toc773_4237577967"/>
      <w:bookmarkEnd w:id="0"/>
      <w:r>
        <w:rPr>
          <w:rFonts w:eastAsia="Montserrat" w:cs="Montserrat"/>
          <w:b/>
          <w:bCs/>
          <w:color w:val="123A5F"/>
          <w:sz w:val="26"/>
          <w:szCs w:val="26"/>
        </w:rPr>
        <w:t>1. Titre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" name="slide-001.png" descr="Diapositive 1 — Titre&#10;Diapositive 1 — Tit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lide-001.png" descr="Diapositive 1 — Titre&#10;Diapositive 1 — Tit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" w:name="__RefHeading___Toc775_4237577967"/>
      <w:bookmarkEnd w:id="1"/>
      <w:r>
        <w:rPr>
          <w:rFonts w:eastAsia="Montserrat" w:cs="Montserrat"/>
          <w:b/>
          <w:bCs/>
          <w:color w:val="123A5F"/>
          <w:sz w:val="26"/>
          <w:szCs w:val="26"/>
        </w:rPr>
        <w:t>2. Déroulé de la présentation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" name="slide-002.png" descr="Diapositive 2 — Déroulé de la présentation&#10;Diapositive 2 — Déroulé de la pré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lide-002.png" descr="Diapositive 2 — Déroulé de la présentation&#10;Diapositive 2 — Déroulé de la présentatio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" w:name="__RefHeading___Toc777_4237577967"/>
      <w:bookmarkEnd w:id="2"/>
      <w:r>
        <w:rPr>
          <w:rFonts w:eastAsia="Montserrat" w:cs="Montserrat"/>
          <w:b/>
          <w:bCs/>
          <w:color w:val="123A5F"/>
          <w:sz w:val="26"/>
          <w:szCs w:val="26"/>
        </w:rPr>
        <w:t>3. Un cycle complet de compétences IA, documenté de bout en bout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5" name="slide-003.png" descr="Diapositive 3 — Un cycle complet de compétences IA, documenté de bout en bout&#10;Diapositive 3 — Un cycle complet de compétences IA, documenté de bout en 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lide-003.png" descr="Diapositive 3 — Un cycle complet de compétences IA, documenté de bout en bout&#10;Diapositive 3 — Un cycle complet de compétences IA, documenté de bout en bou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3" w:name="__RefHeading___Toc779_4237577967"/>
      <w:bookmarkEnd w:id="3"/>
      <w:r>
        <w:rPr>
          <w:rFonts w:eastAsia="Montserrat" w:cs="Montserrat"/>
          <w:b/>
          <w:bCs/>
          <w:color w:val="123A5F"/>
          <w:sz w:val="40"/>
          <w:szCs w:val="40"/>
        </w:rPr>
        <w:t>01. Le groupe de cliniques et le projet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6" name="slide-004.png" descr="Diapositive 4 — 01. Le groupe de cliniques et le projet&#10;Diapositive 4 — 01. Le groupe de cliniques et le proj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lide-004.png" descr="Diapositive 4 — 01. Le groupe de cliniques et le projet&#10;Diapositive 4 — 01. Le groupe de cliniques et le proje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" w:name="__RefHeading___Toc781_4237577967"/>
      <w:bookmarkEnd w:id="4"/>
      <w:r>
        <w:rPr>
          <w:rFonts w:eastAsia="Montserrat" w:cs="Montserrat"/>
          <w:b/>
          <w:bCs/>
          <w:color w:val="123A5F"/>
          <w:sz w:val="26"/>
          <w:szCs w:val="26"/>
        </w:rPr>
        <w:t>5. Groupe Santéora Cliniques Privées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7" name="slide-005.png" descr="Diapositive 5 — Groupe Santéora Cliniques Privées&#10;Diapositive 5 — Groupe Santéora Cliniques Priv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lide-005.png" descr="Diapositive 5 — Groupe Santéora Cliniques Privées&#10;Diapositive 5 — Groupe Santéora Cliniques Privée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5" w:name="__RefHeading___Toc783_4237577967"/>
      <w:bookmarkEnd w:id="5"/>
      <w:r>
        <w:rPr>
          <w:rFonts w:eastAsia="Montserrat" w:cs="Montserrat"/>
          <w:b/>
          <w:bCs/>
          <w:color w:val="123A5F"/>
          <w:sz w:val="26"/>
          <w:szCs w:val="26"/>
        </w:rPr>
        <w:t>6. Dates clés et SWOT du groupe de cliniques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8" name="slide-006.png" descr="Diapositive 6 — Dates clés et SWOT du groupe de cliniques&#10;Diapositive 6 — Dates clés et SWOT du groupe de cliniq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lide-006.png" descr="Diapositive 6 — Dates clés et SWOT du groupe de cliniques&#10;Diapositive 6 — Dates clés et SWOT du groupe de cliniqu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6" w:name="__RefHeading___Toc785_4237577967"/>
      <w:bookmarkEnd w:id="6"/>
      <w:r>
        <w:rPr>
          <w:rFonts w:eastAsia="Montserrat" w:cs="Montserrat"/>
          <w:b/>
          <w:bCs/>
          <w:color w:val="123A5F"/>
          <w:sz w:val="26"/>
          <w:szCs w:val="26"/>
        </w:rPr>
        <w:t>7. Déroulé complet compétences IA 2026 — Groupe Santéora Cliniques Privées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9" name="slide-007.png" descr="Diapositive 7 — Déroulé complet compétences IA 2026 — Groupe Santéora Cliniques Privées&#10;Diapositive 7 — Déroulé complet compétences IA 2026 — Groupe Santéora Cliniques Priv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lide-007.png" descr="Diapositive 7 — Déroulé complet compétences IA 2026 — Groupe Santéora Cliniques Privées&#10;Diapositive 7 — Déroulé complet compétences IA 2026 — Groupe Santéora Cliniques Privées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7" w:name="__RefHeading___Toc787_4237577967"/>
      <w:bookmarkEnd w:id="7"/>
      <w:r>
        <w:rPr>
          <w:rFonts w:eastAsia="Montserrat" w:cs="Montserrat"/>
          <w:b/>
          <w:bCs/>
          <w:color w:val="123A5F"/>
          <w:sz w:val="26"/>
          <w:szCs w:val="26"/>
        </w:rPr>
        <w:t>8. Fonctions et niveaux de décision couverts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0" name="slide-008.png" descr="Diapositive 8 — Fonctions et niveaux de décision couverts&#10;Diapositive 8 — Fonctions et niveaux de décision couver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lide-008.png" descr="Diapositive 8 — Fonctions et niveaux de décision couverts&#10;Diapositive 8 — Fonctions et niveaux de décision couverts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8" w:name="__RefHeading___Toc789_4237577967"/>
      <w:bookmarkEnd w:id="8"/>
      <w:r>
        <w:rPr>
          <w:rFonts w:eastAsia="Montserrat" w:cs="Montserrat"/>
          <w:b/>
          <w:bCs/>
          <w:color w:val="123A5F"/>
          <w:sz w:val="26"/>
          <w:szCs w:val="26"/>
        </w:rPr>
        <w:t>9. Six phases, chacune close par un jalon et ses livrables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1" name="slide-009.png" descr="Diapositive 9 — Six phases, chacune close par un jalon et ses livrables&#10;Diapositive 9 — Six phases, chacune close par un jalon et ses livr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lide-009.png" descr="Diapositive 9 — Six phases, chacune close par un jalon et ses livrables&#10;Diapositive 9 — Six phases, chacune close par un jalon et ses livrables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9" w:name="__RefHeading___Toc791_4237577967"/>
      <w:bookmarkEnd w:id="9"/>
      <w:r>
        <w:rPr>
          <w:rFonts w:eastAsia="Montserrat" w:cs="Montserrat"/>
          <w:b/>
          <w:bCs/>
          <w:color w:val="123A5F"/>
          <w:sz w:val="26"/>
          <w:szCs w:val="26"/>
        </w:rPr>
        <w:t>10. Lots de travaux et diagramme de Gantt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2" name="slide-010.png" descr="Diapositive 10 — Lots de travaux et diagramme de Gantt&#10;Diapositive 10 — Lots de travaux et diagramme de Gan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lide-010.png" descr="Diapositive 10 — Lots de travaux et diagramme de Gantt&#10;Diapositive 10 — Lots de travaux et diagramme de Gantt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0" w:name="__RefHeading___Toc793_4237577967"/>
      <w:bookmarkEnd w:id="10"/>
      <w:r>
        <w:rPr>
          <w:rFonts w:eastAsia="Montserrat" w:cs="Montserrat"/>
          <w:b/>
          <w:bCs/>
          <w:color w:val="123A5F"/>
          <w:sz w:val="26"/>
          <w:szCs w:val="26"/>
        </w:rPr>
        <w:t>11. 40 personnes consultées dans toutes les fonctions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3" name="slide-011.png" descr="Diapositive 11 — 40 personnes consultées dans toutes les fonctions&#10;Diapositive 11 — 40 personnes consultées dans toutes les fon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lide-011.png" descr="Diapositive 11 — 40 personnes consultées dans toutes les fonctions&#10;Diapositive 11 — 40 personnes consultées dans toutes les fonctions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11" w:name="__RefHeading___Toc795_4237577967"/>
      <w:bookmarkEnd w:id="11"/>
      <w:r>
        <w:rPr>
          <w:rFonts w:eastAsia="Montserrat" w:cs="Montserrat"/>
          <w:b/>
          <w:bCs/>
          <w:color w:val="123A5F"/>
          <w:sz w:val="40"/>
          <w:szCs w:val="40"/>
        </w:rPr>
        <w:t>02. Diagnostic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4" name="slide-012.png" descr="Diapositive 12 — 02. Diagnostic&#10;Diapositive 12 — 02. Diagnos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lide-012.png" descr="Diapositive 12 — 02. Diagnostic&#10;Diapositive 12 — 02. Diagnostic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2" w:name="__RefHeading___Toc797_4237577967"/>
      <w:bookmarkEnd w:id="12"/>
      <w:r>
        <w:rPr>
          <w:rFonts w:eastAsia="Montserrat" w:cs="Montserrat"/>
          <w:b/>
          <w:bCs/>
          <w:color w:val="123A5F"/>
          <w:sz w:val="26"/>
          <w:szCs w:val="26"/>
        </w:rPr>
        <w:t>13. 35 personnes sur 40 ont répondu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5" name="slide-013.png" descr="Diapositive 13 — 35 personnes sur 40 ont répondu&#10;Diapositive 13 — 35 personnes sur 40 ont répon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lide-013.png" descr="Diapositive 13 — 35 personnes sur 40 ont répondu&#10;Diapositive 13 — 35 personnes sur 40 ont répondu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3" w:name="__RefHeading___Toc799_4237577967"/>
      <w:bookmarkEnd w:id="13"/>
      <w:r>
        <w:rPr>
          <w:rFonts w:eastAsia="Montserrat" w:cs="Montserrat"/>
          <w:b/>
          <w:bCs/>
          <w:color w:val="123A5F"/>
          <w:sz w:val="26"/>
          <w:szCs w:val="26"/>
        </w:rPr>
        <w:t>14. Ce que les équipes disent du dernier plan de formation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6" name="slide-014.png" descr="Diapositive 14 — Ce que les équipes disent du dernier plan de formation&#10;Diapositive 14 — Ce que les équipes disent du dernier plan de 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lide-014.png" descr="Diapositive 14 — Ce que les équipes disent du dernier plan de formation&#10;Diapositive 14 — Ce que les équipes disent du dernier plan de formation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4" w:name="__RefHeading___Toc801_4237577967"/>
      <w:bookmarkEnd w:id="14"/>
      <w:r>
        <w:rPr>
          <w:rFonts w:eastAsia="Montserrat" w:cs="Montserrat"/>
          <w:b/>
          <w:bCs/>
          <w:color w:val="123A5F"/>
          <w:sz w:val="26"/>
          <w:szCs w:val="26"/>
        </w:rPr>
        <w:t>15. Cinq axes évalués, maturité un niveau sous la cible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7" name="slide-015.png" descr="Diapositive 15 — Cinq axes évalués, maturité un niveau sous la cible&#10;Diapositive 15 — Cinq axes évalués, maturité un niveau sous la c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lide-015.png" descr="Diapositive 15 — Cinq axes évalués, maturité un niveau sous la cible&#10;Diapositive 15 — Cinq axes évalués, maturité un niveau sous la cibl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5" w:name="__RefHeading___Toc803_4237577967"/>
      <w:bookmarkEnd w:id="15"/>
      <w:r>
        <w:rPr>
          <w:rFonts w:eastAsia="Montserrat" w:cs="Montserrat"/>
          <w:b/>
          <w:bCs/>
          <w:color w:val="123A5F"/>
          <w:sz w:val="26"/>
          <w:szCs w:val="26"/>
        </w:rPr>
        <w:t>16. Où se situe chaque fonction à chaque niveau de décision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8" name="slide-016.png" descr="Diapositive 16 — Où se situe chaque fonction à chaque niveau de décision&#10;Diapositive 16 — Où se situe chaque fonction à chaque niveau de déc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lide-016.png" descr="Diapositive 16 — Où se situe chaque fonction à chaque niveau de décision&#10;Diapositive 16 — Où se situe chaque fonction à chaque niveau de décision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6" w:name="__RefHeading___Toc805_4237577967"/>
      <w:bookmarkEnd w:id="16"/>
      <w:r>
        <w:rPr>
          <w:rFonts w:eastAsia="Montserrat" w:cs="Montserrat"/>
          <w:b/>
          <w:bCs/>
          <w:color w:val="123A5F"/>
          <w:sz w:val="26"/>
          <w:szCs w:val="26"/>
        </w:rPr>
        <w:t>17. Les compétences demandées, par nombre de mentions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19" name="slide-017.png" descr="Diapositive 17 — Les compétences demandées, par nombre de mentions&#10;Diapositive 17 — Les compétences demandées, par nombre de men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lide-017.png" descr="Diapositive 17 — Les compétences demandées, par nombre de mentions&#10;Diapositive 17 — Les compétences demandées, par nombre de mentions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7" w:name="__RefHeading___Toc807_4237577967"/>
      <w:bookmarkEnd w:id="17"/>
      <w:r>
        <w:rPr>
          <w:rFonts w:eastAsia="Montserrat" w:cs="Montserrat"/>
          <w:b/>
          <w:bCs/>
          <w:color w:val="123A5F"/>
          <w:sz w:val="26"/>
          <w:szCs w:val="26"/>
        </w:rPr>
        <w:t>18. Auto-évaluation des répondants, du plus faible au plus fort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0" name="slide-018.png" descr="Diapositive 18 — Auto-évaluation des répondants, du plus faible au plus fort&#10;Diapositive 18 — Auto-évaluation des répondants, du plus faible au plus f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lide-018.png" descr="Diapositive 18 — Auto-évaluation des répondants, du plus faible au plus fort&#10;Diapositive 18 — Auto-évaluation des répondants, du plus faible au plus fort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8" w:name="__RefHeading___Toc809_4237577967"/>
      <w:bookmarkEnd w:id="18"/>
      <w:r>
        <w:rPr>
          <w:rFonts w:eastAsia="Montserrat" w:cs="Montserrat"/>
          <w:b/>
          <w:bCs/>
          <w:color w:val="123A5F"/>
          <w:sz w:val="26"/>
          <w:szCs w:val="26"/>
        </w:rPr>
        <w:t>19. Des écarts mesurés à un registre de besoins validé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1" name="slide-019.png" descr="Diapositive 19 — Des écarts mesurés à un registre de besoins validé&#10;Diapositive 19 — Des écarts mesurés à un registre de besoins valid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lide-019.png" descr="Diapositive 19 — Des écarts mesurés à un registre de besoins validé&#10;Diapositive 19 — Des écarts mesurés à un registre de besoins validé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19" w:name="__RefHeading___Toc811_4237577967"/>
      <w:bookmarkEnd w:id="19"/>
      <w:r>
        <w:rPr>
          <w:rFonts w:eastAsia="Montserrat" w:cs="Montserrat"/>
          <w:b/>
          <w:bCs/>
          <w:color w:val="123A5F"/>
          <w:sz w:val="26"/>
          <w:szCs w:val="26"/>
        </w:rPr>
        <w:t>20. Soins cliniques et infirmiers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2" name="slide-020.png" descr="Diapositive 20 — Soins cliniques et infirmiers&#10;Diapositive 20 — Soins cliniques et infirmi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lide-020.png" descr="Diapositive 20 — Soins cliniques et infirmiers&#10;Diapositive 20 — Soins cliniques et infirmiers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0" w:name="__RefHeading___Toc813_4237577967"/>
      <w:bookmarkEnd w:id="20"/>
      <w:r>
        <w:rPr>
          <w:rFonts w:eastAsia="Montserrat" w:cs="Montserrat"/>
          <w:b/>
          <w:bCs/>
          <w:color w:val="123A5F"/>
          <w:sz w:val="26"/>
          <w:szCs w:val="26"/>
        </w:rPr>
        <w:t>21. Comment les équipes utilisent l’IA et ce qui les freine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3" name="slide-021.png" descr="Diapositive 21 — Comment les équipes utilisent l’IA et ce qui les freine&#10;Diapositive 21 — Comment les équipes utilisent l’IA et ce qui les fre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lide-021.png" descr="Diapositive 21 — Comment les équipes utilisent l’IA et ce qui les freine&#10;Diapositive 21 — Comment les équipes utilisent l’IA et ce qui les frein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1" w:name="__RefHeading___Toc815_4237577967"/>
      <w:bookmarkEnd w:id="21"/>
      <w:r>
        <w:rPr>
          <w:rFonts w:eastAsia="Montserrat" w:cs="Montserrat"/>
          <w:b/>
          <w:bCs/>
          <w:color w:val="123A5F"/>
          <w:sz w:val="26"/>
          <w:szCs w:val="26"/>
        </w:rPr>
        <w:t>22. Ce que les répondants attendent de la formation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4" name="slide-022.png" descr="Diapositive 22 — Ce que les répondants attendent de la formation&#10;Diapositive 22 — Ce que les répondants attendent de la 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lide-022.png" descr="Diapositive 22 — Ce que les répondants attendent de la formation&#10;Diapositive 22 — Ce que les répondants attendent de la formation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22" w:name="__RefHeading___Toc817_4237577967"/>
      <w:bookmarkEnd w:id="22"/>
      <w:r>
        <w:rPr>
          <w:rFonts w:eastAsia="Montserrat" w:cs="Montserrat"/>
          <w:b/>
          <w:bCs/>
          <w:color w:val="123A5F"/>
          <w:sz w:val="40"/>
          <w:szCs w:val="40"/>
        </w:rPr>
        <w:t>03. Rapport d’ingénierie de formation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5" name="slide-023.png" descr="Diapositive 23 — 03. Rapport d’ingénierie de formation&#10;Diapositive 23 — 03. Rapport d’ingénierie de 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lide-023.png" descr="Diapositive 23 — 03. Rapport d’ingénierie de formation&#10;Diapositive 23 — 03. Rapport d’ingénierie de formation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3" w:name="__RefHeading___Toc819_4237577967"/>
      <w:bookmarkEnd w:id="23"/>
      <w:r>
        <w:rPr>
          <w:rFonts w:eastAsia="Montserrat" w:cs="Montserrat"/>
          <w:b/>
          <w:bCs/>
          <w:color w:val="123A5F"/>
          <w:sz w:val="26"/>
          <w:szCs w:val="26"/>
        </w:rPr>
        <w:t>24. Rapport d’ingénierie de formation et plan de formation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6" name="slide-024.png" descr="Diapositive 24 — Rapport d’ingénierie de formation et plan de formation&#10;Diapositive 24 — Rapport d’ingénierie de formation et plan de 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lide-024.png" descr="Diapositive 24 — Rapport d’ingénierie de formation et plan de formation&#10;Diapositive 24 — Rapport d’ingénierie de formation et plan de formation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4" w:name="__RefHeading___Toc821_4237577967"/>
      <w:bookmarkEnd w:id="24"/>
      <w:r>
        <w:rPr>
          <w:rFonts w:eastAsia="Montserrat" w:cs="Montserrat"/>
          <w:b/>
          <w:bCs/>
          <w:color w:val="123A5F"/>
          <w:sz w:val="26"/>
          <w:szCs w:val="26"/>
        </w:rPr>
        <w:t>25. Besoins liés à la stratégie et aux orientations RH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7" name="slide-025.png" descr="Diapositive 25 — Besoins liés à la stratégie et aux orientations RH&#10;Diapositive 25 — Besoins liés à la stratégie et aux orientations R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slide-025.png" descr="Diapositive 25 — Besoins liés à la stratégie et aux orientations RH&#10;Diapositive 25 — Besoins liés à la stratégie et aux orientations RH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5" w:name="__RefHeading___Toc823_4237577967"/>
      <w:bookmarkEnd w:id="25"/>
      <w:r>
        <w:rPr>
          <w:rFonts w:eastAsia="Montserrat" w:cs="Montserrat"/>
          <w:b/>
          <w:bCs/>
          <w:color w:val="123A5F"/>
          <w:sz w:val="26"/>
          <w:szCs w:val="26"/>
        </w:rPr>
        <w:t>26. Quatre initiatives déployées en trois vagues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8" name="slide-026.png" descr="Diapositive 26 — Quatre initiatives déployées en trois vagues&#10;Diapositive 26 — Quatre initiatives déployées en trois vag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lide-026.png" descr="Diapositive 26 — Quatre initiatives déployées en trois vagues&#10;Diapositive 26 — Quatre initiatives déployées en trois vagues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6" w:name="__RefHeading___Toc825_4237577967"/>
      <w:bookmarkEnd w:id="26"/>
      <w:r>
        <w:rPr>
          <w:rFonts w:eastAsia="Montserrat" w:cs="Montserrat"/>
          <w:b/>
          <w:bCs/>
          <w:color w:val="123A5F"/>
          <w:sz w:val="26"/>
          <w:szCs w:val="26"/>
        </w:rPr>
        <w:t>27. Chaque risque réduit par des contrôles nommés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29" name="slide-027.png" descr="Diapositive 27 — Chaque risque réduit par des contrôles nommés&#10;Diapositive 27 — Chaque risque réduit par des contrôles nomm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lide-027.png" descr="Diapositive 27 — Chaque risque réduit par des contrôles nommés&#10;Diapositive 27 — Chaque risque réduit par des contrôles nommés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7" w:name="__RefHeading___Toc827_4237577967"/>
      <w:bookmarkEnd w:id="27"/>
      <w:r>
        <w:rPr>
          <w:rFonts w:eastAsia="Montserrat" w:cs="Montserrat"/>
          <w:b/>
          <w:bCs/>
          <w:color w:val="123A5F"/>
          <w:sz w:val="26"/>
          <w:szCs w:val="26"/>
        </w:rPr>
        <w:t>28. Indicateurs suivis chaque mois pendant le déroulé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0" name="slide-028.png" descr="Diapositive 28 — Indicateurs suivis chaque mois pendant le déroulé&#10;Diapositive 28 — Indicateurs suivis chaque mois pendant le déroul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lide-028.png" descr="Diapositive 28 — Indicateurs suivis chaque mois pendant le déroulé&#10;Diapositive 28 — Indicateurs suivis chaque mois pendant le déroulé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28" w:name="__RefHeading___Toc829_4237577967"/>
      <w:bookmarkEnd w:id="28"/>
      <w:r>
        <w:rPr>
          <w:rFonts w:eastAsia="Montserrat" w:cs="Montserrat"/>
          <w:b/>
          <w:bCs/>
          <w:color w:val="123A5F"/>
          <w:sz w:val="40"/>
          <w:szCs w:val="40"/>
        </w:rPr>
        <w:t>04. Plan de formation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1" name="slide-029.png" descr="Diapositive 29 — 04. Plan de formation&#10;Diapositive 29 — 04. Plan de 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lide-029.png" descr="Diapositive 29 — 04. Plan de formation&#10;Diapositive 29 — 04. Plan de formation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29" w:name="__RefHeading___Toc831_4237577967"/>
      <w:bookmarkEnd w:id="29"/>
      <w:r>
        <w:rPr>
          <w:rFonts w:eastAsia="Montserrat" w:cs="Montserrat"/>
          <w:b/>
          <w:bCs/>
          <w:color w:val="123A5F"/>
          <w:sz w:val="26"/>
          <w:szCs w:val="26"/>
        </w:rPr>
        <w:t>30. Six thèmes classés par impact et urgence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2" name="slide-030.png" descr="Diapositive 30 — Six thèmes classés par impact et urgence&#10;Diapositive 30 — Six thèmes classés par impact et urg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lide-030.png" descr="Diapositive 30 — Six thèmes classés par impact et urgence&#10;Diapositive 30 — Six thèmes classés par impact et urgence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0" w:name="__RefHeading___Toc833_4237577967"/>
      <w:bookmarkEnd w:id="30"/>
      <w:r>
        <w:rPr>
          <w:rFonts w:eastAsia="Montserrat" w:cs="Montserrat"/>
          <w:b/>
          <w:bCs/>
          <w:color w:val="123A5F"/>
          <w:sz w:val="26"/>
          <w:szCs w:val="26"/>
        </w:rPr>
        <w:t>31. Deux programmes, six formations, des prérequis clairs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3" name="slide-031.png" descr="Diapositive 31 — Deux programmes, six formations, des prérequis clairs&#10;Diapositive 31 — Deux programmes, six formations, des prérequis cla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lide-031.png" descr="Diapositive 31 — Deux programmes, six formations, des prérequis clairs&#10;Diapositive 31 — Deux programmes, six formations, des prérequis clairs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1" w:name="__RefHeading___Toc835_4237577967"/>
      <w:bookmarkEnd w:id="31"/>
      <w:r>
        <w:rPr>
          <w:rFonts w:eastAsia="Montserrat" w:cs="Montserrat"/>
          <w:b/>
          <w:bCs/>
          <w:color w:val="123A5F"/>
          <w:sz w:val="26"/>
          <w:szCs w:val="26"/>
        </w:rPr>
        <w:t>32. TR-AI-01 — Triage IA et aide à la décision clinique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4" name="slide-032.png" descr="Diapositive 32 — TR-AI-01 — Triage IA et aide à la décision clinique&#10;Diapositive 32 — TR-AI-01 — Triage IA et aide à la décision cli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lide-032.png" descr="Diapositive 32 — TR-AI-01 — Triage IA et aide à la décision clinique&#10;Diapositive 32 — TR-AI-01 — Triage IA et aide à la décision clinique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2" w:name="__RefHeading___Toc837_4237577967"/>
      <w:bookmarkEnd w:id="32"/>
      <w:r>
        <w:rPr>
          <w:rFonts w:eastAsia="Montserrat" w:cs="Montserrat"/>
          <w:b/>
          <w:bCs/>
          <w:color w:val="123A5F"/>
          <w:sz w:val="26"/>
          <w:szCs w:val="26"/>
        </w:rPr>
        <w:t>33. Triage IA et aide à la décision clinique — demi-journée par demi-journée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5" name="slide-033.png" descr="Diapositive 33 — Triage IA et aide à la décision clinique — demi-journée par demi-journée&#10;Diapositive 33 — Triage IA et aide à la décision clinique — demi-journée par demi-journé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lide-033.png" descr="Diapositive 33 — Triage IA et aide à la décision clinique — demi-journée par demi-journée&#10;Diapositive 33 — Triage IA et aide à la décision clinique — demi-journée par demi-journée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3" w:name="__RefHeading___Toc839_4237577967"/>
      <w:bookmarkEnd w:id="33"/>
      <w:r>
        <w:rPr>
          <w:rFonts w:eastAsia="Montserrat" w:cs="Montserrat"/>
          <w:b/>
          <w:bCs/>
          <w:color w:val="123A5F"/>
          <w:sz w:val="26"/>
          <w:szCs w:val="26"/>
        </w:rPr>
        <w:t>34. Pourquoi chaque public doit suivre la formation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6" name="slide-034.png" descr="Diapositive 34 — Pourquoi chaque public doit suivre la formation&#10;Diapositive 34 — Pourquoi chaque public doit suivre la 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lide-034.png" descr="Diapositive 34 — Pourquoi chaque public doit suivre la formation&#10;Diapositive 34 — Pourquoi chaque public doit suivre la formation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4" w:name="__RefHeading___Toc841_4237577967"/>
      <w:bookmarkEnd w:id="34"/>
      <w:r>
        <w:rPr>
          <w:rFonts w:eastAsia="Montserrat" w:cs="Montserrat"/>
          <w:b/>
          <w:bCs/>
          <w:color w:val="123A5F"/>
          <w:sz w:val="26"/>
          <w:szCs w:val="26"/>
        </w:rPr>
        <w:t>35. Parcours, modules et ressources pédagogiques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7" name="slide-035.png" descr="Diapositive 35 — Parcours, modules et ressources pédagogiques&#10;Diapositive 35 — Parcours, modules et ressources pédagogiq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lide-035.png" descr="Diapositive 35 — Parcours, modules et ressources pédagogiques&#10;Diapositive 35 — Parcours, modules et ressources pédagogiques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5" w:name="__RefHeading___Toc843_4237577967"/>
      <w:bookmarkEnd w:id="35"/>
      <w:r>
        <w:rPr>
          <w:rFonts w:eastAsia="Montserrat" w:cs="Montserrat"/>
          <w:b/>
          <w:bCs/>
          <w:color w:val="123A5F"/>
          <w:sz w:val="26"/>
          <w:szCs w:val="26"/>
        </w:rPr>
        <w:t>36. Alloué, engagé, consommé et remboursements attendus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8" name="slide-036.png" descr="Diapositive 36 — Alloué, engagé, consommé et remboursements attendus&#10;Diapositive 36 — Alloué, engagé, consommé et remboursements attend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lide-036.png" descr="Diapositive 36 — Alloué, engagé, consommé et remboursements attendus&#10;Diapositive 36 — Alloué, engagé, consommé et remboursements attendus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36" w:name="__RefHeading___Toc845_4237577967"/>
      <w:bookmarkEnd w:id="36"/>
      <w:r>
        <w:rPr>
          <w:rFonts w:eastAsia="Montserrat" w:cs="Montserrat"/>
          <w:b/>
          <w:bCs/>
          <w:color w:val="123A5F"/>
          <w:sz w:val="40"/>
          <w:szCs w:val="40"/>
        </w:rPr>
        <w:t>05. Déploiement, évaluation et audit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39" name="slide-037.png" descr="Diapositive 37 — 05. Déploiement, évaluation et audit&#10;Diapositive 37 — 05. Déploiement, évaluation et au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lide-037.png" descr="Diapositive 37 — 05. Déploiement, évaluation et audit&#10;Diapositive 37 — 05. Déploiement, évaluation et audit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7" w:name="__RefHeading___Toc847_4237577967"/>
      <w:bookmarkEnd w:id="37"/>
      <w:r>
        <w:rPr>
          <w:rFonts w:eastAsia="Montserrat" w:cs="Montserrat"/>
          <w:b/>
          <w:bCs/>
          <w:color w:val="123A5F"/>
          <w:sz w:val="26"/>
          <w:szCs w:val="26"/>
        </w:rPr>
        <w:t>38. Quatre sessions réalisées avec leurs inscriptions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0" name="slide-038.png" descr="Diapositive 38 — Quatre sessions réalisées avec leurs inscriptions&#10;Diapositive 38 — Quatre sessions réalisées avec leurs inscrip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lide-038.png" descr="Diapositive 38 — Quatre sessions réalisées avec leurs inscriptions&#10;Diapositive 38 — Quatre sessions réalisées avec leurs inscriptions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8" w:name="__RefHeading___Toc849_4237577967"/>
      <w:bookmarkEnd w:id="38"/>
      <w:r>
        <w:rPr>
          <w:rFonts w:eastAsia="Montserrat" w:cs="Montserrat"/>
          <w:b/>
          <w:bCs/>
          <w:color w:val="123A5F"/>
          <w:sz w:val="26"/>
          <w:szCs w:val="26"/>
        </w:rPr>
        <w:t>39. Résultats mesurés sur trois niveaux de Kirkpatrick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1" name="slide-039.png" descr="Diapositive 39 — Résultats mesurés sur trois niveaux de Kirkpatrick&#10;Diapositive 39 — Résultats mesurés sur trois niveaux de Kirkpatr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lide-039.png" descr="Diapositive 39 — Résultats mesurés sur trois niveaux de Kirkpatrick&#10;Diapositive 39 — Résultats mesurés sur trois niveaux de Kirkpatrick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39" w:name="__RefHeading___Toc851_4237577967"/>
      <w:bookmarkEnd w:id="39"/>
      <w:r>
        <w:rPr>
          <w:rFonts w:eastAsia="Montserrat" w:cs="Montserrat"/>
          <w:b/>
          <w:bCs/>
          <w:color w:val="123A5F"/>
          <w:sz w:val="26"/>
          <w:szCs w:val="26"/>
        </w:rPr>
        <w:t>40. ROI de Phillips et indicateurs de l’étude ROI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2" name="slide-040.png" descr="Diapositive 40 — ROI de Phillips et indicateurs de l’étude ROI&#10;Diapositive 40 — ROI de Phillips et indicateurs de l’étude R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lide-040.png" descr="Diapositive 40 — ROI de Phillips et indicateurs de l’étude ROI&#10;Diapositive 40 — ROI de Phillips et indicateurs de l’étude ROI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0" w:name="__RefHeading___Toc853_4237577967"/>
      <w:bookmarkEnd w:id="40"/>
      <w:r>
        <w:rPr>
          <w:rFonts w:eastAsia="Montserrat" w:cs="Montserrat"/>
          <w:b/>
          <w:bCs/>
          <w:color w:val="123A5F"/>
          <w:sz w:val="26"/>
          <w:szCs w:val="26"/>
        </w:rPr>
        <w:t>41. Rapport d’audit — Groupe Santéora Cliniques Privées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3" name="slide-041.png" descr="Diapositive 41 — Rapport d’audit — Groupe Santéora Cliniques Privées&#10;Diapositive 41 — Rapport d’audit — Groupe Santéora Cliniques Priv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lide-041.png" descr="Diapositive 41 — Rapport d’audit — Groupe Santéora Cliniques Privées&#10;Diapositive 41 — Rapport d’audit — Groupe Santéora Cliniques Privées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1" w:name="__RefHeading___Toc855_4237577967"/>
      <w:bookmarkEnd w:id="41"/>
      <w:r>
        <w:rPr>
          <w:rFonts w:eastAsia="Montserrat" w:cs="Montserrat"/>
          <w:b/>
          <w:bCs/>
          <w:color w:val="123A5F"/>
          <w:sz w:val="26"/>
          <w:szCs w:val="26"/>
        </w:rPr>
        <w:t>42. REX — Triage IA et aide à la décision clinique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4" name="slide-042.png" descr="Diapositive 42 — REX — Triage IA et aide à la décision clinique&#10;Diapositive 42 — REX — Triage IA et aide à la décision clini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lide-042.png" descr="Diapositive 42 — REX — Triage IA et aide à la décision clinique&#10;Diapositive 42 — REX — Triage IA et aide à la décision clinique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pBdr>
          <w:bottom w:val="single" w:sz="6" w:space="6" w:color="E1E8F0"/>
        </w:pBdr>
        <w:spacing w:before="0" w:after="240"/>
        <w:rPr/>
      </w:pPr>
      <w:bookmarkStart w:id="42" w:name="__RefHeading___Toc857_4237577967"/>
      <w:bookmarkEnd w:id="42"/>
      <w:r>
        <w:rPr>
          <w:rFonts w:eastAsia="Montserrat" w:cs="Montserrat"/>
          <w:b/>
          <w:bCs/>
          <w:color w:val="123A5F"/>
          <w:sz w:val="40"/>
          <w:szCs w:val="40"/>
        </w:rPr>
        <w:t>06. Documents produits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5" name="slide-043.png" descr="Diapositive 43 — 06. Documents produits&#10;Diapositive 43 — 06. Documents produ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lide-043.png" descr="Diapositive 43 — 06. Documents produits&#10;Diapositive 43 — 06. Documents produits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3" w:name="__RefHeading___Toc859_4237577967"/>
      <w:bookmarkEnd w:id="43"/>
      <w:r>
        <w:rPr>
          <w:rFonts w:eastAsia="Montserrat" w:cs="Montserrat"/>
          <w:b/>
          <w:bCs/>
          <w:color w:val="123A5F"/>
          <w:sz w:val="26"/>
          <w:szCs w:val="26"/>
        </w:rPr>
        <w:t>44. Chaque processus de bout en bout laisse son document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6" name="slide-044.png" descr="Diapositive 44 — Chaque processus de bout en bout laisse son document&#10;Diapositive 44 — Chaque processus de bout en bout laisse son doc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lide-044.png" descr="Diapositive 44 — Chaque processus de bout en bout laisse son document&#10;Diapositive 44 — Chaque processus de bout en bout laisse son document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4" w:name="__RefHeading___Toc861_4237577967"/>
      <w:bookmarkEnd w:id="44"/>
      <w:r>
        <w:rPr>
          <w:rFonts w:eastAsia="Montserrat" w:cs="Montserrat"/>
          <w:b/>
          <w:bCs/>
          <w:color w:val="123A5F"/>
          <w:sz w:val="26"/>
          <w:szCs w:val="26"/>
        </w:rPr>
        <w:t>45. Documents produits (suite)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7" name="slide-045.png" descr="Diapositive 45 — Documents produits (suite)&#10;Diapositive 45 — Documents produits (suit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lide-045.png" descr="Diapositive 45 — Documents produits (suite)&#10;Diapositive 45 — Documents produits (suite)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5" w:name="__RefHeading___Toc863_4237577967"/>
      <w:bookmarkEnd w:id="45"/>
      <w:r>
        <w:rPr>
          <w:rFonts w:eastAsia="Montserrat" w:cs="Montserrat"/>
          <w:b/>
          <w:bCs/>
          <w:color w:val="123A5F"/>
          <w:sz w:val="26"/>
          <w:szCs w:val="26"/>
        </w:rPr>
        <w:t>46. Chaque chiffre du rapport provient d’un enregistrement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8" name="slide-046.png" descr="Diapositive 46 — Chaque chiffre du rapport provient d’un enregistrement&#10;Diapositive 46 — Chaque chiffre du rapport provient d’un enregistr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lide-046.png" descr="Diapositive 46 — Chaque chiffre du rapport provient d’un enregistrement&#10;Diapositive 46 — Chaque chiffre du rapport provient d’un enregistrement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6" w:name="__RefHeading___Toc865_4237577967"/>
      <w:bookmarkEnd w:id="46"/>
      <w:r>
        <w:rPr>
          <w:rFonts w:eastAsia="Montserrat" w:cs="Montserrat"/>
          <w:b/>
          <w:bCs/>
          <w:color w:val="123A5F"/>
          <w:sz w:val="26"/>
          <w:szCs w:val="26"/>
        </w:rPr>
        <w:t>47. Le plan de formation tel que les utilisateurs le voient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49" name="slide-047.png" descr="Diapositive 47 — Le plan de formation tel que les utilisateurs le voient&#10;Diapositive 47 — Le plan de formation tel que les utilisateurs le vo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lide-047.png" descr="Diapositive 47 — Le plan de formation tel que les utilisateurs le voient&#10;Diapositive 47 — Le plan de formation tel que les utilisateurs le voient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7" w:name="__RefHeading___Toc867_4237577967"/>
      <w:bookmarkEnd w:id="47"/>
      <w:r>
        <w:rPr>
          <w:rFonts w:eastAsia="Montserrat" w:cs="Montserrat"/>
          <w:b/>
          <w:bCs/>
          <w:color w:val="123A5F"/>
          <w:sz w:val="26"/>
          <w:szCs w:val="26"/>
        </w:rPr>
        <w:t>48. L’espace projet et le tableau de bord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50" name="slide-048.png" descr="Diapositive 48 — L’espace projet et le tableau de bord&#10;Diapositive 48 — L’espace projet et le tableau de b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slide-048.png" descr="Diapositive 48 — L’espace projet et le tableau de bord&#10;Diapositive 48 — L’espace projet et le tableau de bord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8" w:name="__RefHeading___Toc869_4237577967"/>
      <w:bookmarkEnd w:id="48"/>
      <w:r>
        <w:rPr>
          <w:rFonts w:eastAsia="Montserrat" w:cs="Montserrat"/>
          <w:b/>
          <w:bCs/>
          <w:color w:val="123A5F"/>
          <w:sz w:val="26"/>
          <w:szCs w:val="26"/>
        </w:rPr>
        <w:t>49. Ce que le groupe obtient en fin de cycle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51" name="slide-049.png" descr="Diapositive 49 — Ce que le groupe obtient en fin de cycle&#10;Diapositive 49 — Ce que le groupe obtient en fin de 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slide-049.png" descr="Diapositive 49 — Ce que le groupe obtient en fin de cycle&#10;Diapositive 49 — Ce que le groupe obtient en fin de cycle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keepNext w:val="true"/>
        <w:spacing w:before="0" w:after="120"/>
        <w:rPr/>
      </w:pPr>
      <w:bookmarkStart w:id="49" w:name="__RefHeading___Toc871_4237577967"/>
      <w:bookmarkEnd w:id="49"/>
      <w:r>
        <w:rPr>
          <w:rFonts w:eastAsia="Montserrat" w:cs="Montserrat"/>
          <w:b/>
          <w:bCs/>
          <w:color w:val="123A5F"/>
          <w:sz w:val="26"/>
          <w:szCs w:val="26"/>
        </w:rPr>
        <w:t>50. Clôture</w:t>
      </w:r>
    </w:p>
    <w:p>
      <w:pPr>
        <w:pStyle w:val="Normal"/>
        <w:spacing w:before="0" w:after="0"/>
        <w:jc w:val="center"/>
        <w:rPr/>
      </w:pPr>
      <w:r>
        <w:rPr/>
        <w:drawing>
          <wp:inline distT="0" distB="0" distL="0" distR="0">
            <wp:extent cx="8572500" cy="4819650"/>
            <wp:effectExtent l="0" t="0" r="0" b="0"/>
            <wp:docPr id="52" name="slide-050.png" descr="Diapositive 50 — Clôture&#10;Diapositive 50 — Clô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slide-050.png" descr="Diapositive 50 — Clôture&#10;Diapositive 50 — Clôture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54"/>
      <w:headerReference w:type="default" r:id="rId55"/>
      <w:headerReference w:type="first" r:id="rId56"/>
      <w:footerReference w:type="even" r:id="rId57"/>
      <w:footerReference w:type="default" r:id="rId58"/>
      <w:footerReference w:type="first" r:id="rId59"/>
      <w:type w:val="nextPage"/>
      <w:pgSz w:orient="landscape" w:w="11906" w:h="16838"/>
      <w:pgMar w:left="1134" w:right="1134" w:gutter="0" w:header="560" w:top="1134" w:footer="560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 Sans">
    <w:charset w:val="01"/>
    <w:family w:val="roman"/>
    <w:pitch w:val="variable"/>
  </w:font>
  <w:font w:name="Montserra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AIValueFooter"/>
      <w:tabs>
        <w:tab w:val="clear" w:pos="720"/>
        <w:tab w:val="right" w:pos="14570" w:leader="none"/>
      </w:tabs>
      <w:rPr/>
    </w:pPr>
    <w:r>
      <w:rPr>
        <w:rFonts w:eastAsia="Open Sans" w:cs="Open Sans"/>
        <w:color w:val="5A6B7B"/>
        <w:sz w:val="16"/>
        <w:szCs w:val="16"/>
      </w:rPr>
      <w:t>AI Value · Cas complet santé — Projet d’ingénierie de formation</w:t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52</w:t>
    </w:r>
    <w:r>
      <w:rPr/>
      <w:fldChar w:fldCharType="end"/>
    </w:r>
    <w:r>
      <w:rPr>
        <w:rFonts w:eastAsia="Open Sans" w:cs="Open Sans"/>
        <w:color w:val="5A6B7B"/>
        <w:sz w:val="16"/>
        <w:szCs w:val="16"/>
      </w:rPr>
      <w:t xml:space="preserve"> sur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52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1E8F0"/>
      </w:pBdr>
      <w:tabs>
        <w:tab w:val="clear" w:pos="720"/>
        <w:tab w:val="right" w:pos="14570" w:leader="none"/>
      </w:tabs>
      <w:rPr/>
    </w:pPr>
    <w:r>
      <w:rPr/>
      <w:drawing>
        <wp:inline distT="0" distB="0" distL="0" distR="0">
          <wp:extent cx="1428750" cy="266700"/>
          <wp:effectExtent l="0" t="0" r="0" b="0"/>
          <wp:docPr id="53" name="aivalue-lockup.png" descr="AI Value&#10;AI Val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aivalue-lockup.png" descr="AI Value&#10;AI Value log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eastAsia="Open Sans" w:cs="Open Sans"/>
      </w:rPr>
      <w:tab/>
    </w:r>
    <w:r>
      <w:rPr>
        <w:rFonts w:eastAsia="Open Sans" w:cs="Open Sans"/>
        <w:color w:val="5A6B7B"/>
        <w:sz w:val="16"/>
        <w:szCs w:val="16"/>
      </w:rPr>
      <w:t>CortexSkills · Groupe Santéora Cliniques Privées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color w:val="2C3E50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88" w:before="0" w:after="0"/>
      <w:jc w:val="left"/>
    </w:pPr>
    <w:rPr>
      <w:rFonts w:ascii="Open Sans" w:hAnsi="Open Sans" w:eastAsia="Open Sans" w:cs="Open Sans"/>
      <w:color w:val="2C3E50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rFonts w:ascii="Montserrat" w:hAnsi="Montserrat" w:eastAsia="Montserrat" w:cs="Montserrat"/>
      <w:b/>
      <w:bCs/>
      <w:color w:val="123A5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Montserrat" w:hAnsi="Montserrat" w:eastAsia="Montserrat" w:cs="Montserrat"/>
      <w:b/>
      <w:bCs/>
      <w:color w:val="123A5F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Montserrat" w:hAnsi="Montserrat" w:eastAsia="Montserrat" w:cs="Montserrat"/>
      <w:b/>
      <w:bCs/>
      <w:color w:val="123A5F"/>
      <w:sz w:val="26"/>
      <w:szCs w:val="26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AIValueFooter">
    <w:name w:val="AI Value Footer"/>
    <w:basedOn w:val="Normal"/>
    <w:qFormat/>
    <w:pPr>
      <w:spacing w:before="0" w:after="0"/>
    </w:pPr>
    <w:rPr>
      <w:rFonts w:ascii="Open Sans" w:hAnsi="Open Sans" w:eastAsia="Open Sans" w:cs="Open Sans"/>
      <w:color w:val="5A6B7B"/>
      <w:sz w:val="16"/>
      <w:szCs w:val="16"/>
    </w:rPr>
  </w:style>
  <w:style w:type="paragraph" w:styleId="TOC1">
    <w:name w:val="TOC 1"/>
    <w:basedOn w:val="Normal"/>
    <w:next w:val="Normal"/>
    <w:pPr>
      <w:spacing w:before="120" w:after="40"/>
      <w:ind w:left="0"/>
    </w:pPr>
    <w:rPr>
      <w:rFonts w:ascii="Open Sans" w:hAnsi="Open Sans" w:eastAsia="Open Sans" w:cs="Open Sans"/>
      <w:b/>
      <w:bCs/>
      <w:color w:val="123A5F"/>
      <w:sz w:val="22"/>
      <w:szCs w:val="22"/>
    </w:rPr>
  </w:style>
  <w:style w:type="paragraph" w:styleId="TOC2">
    <w:name w:val="TOC 2"/>
    <w:basedOn w:val="Normal"/>
    <w:next w:val="Normal"/>
    <w:pPr>
      <w:spacing w:before="0" w:after="40"/>
      <w:ind w:left="36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TOC3">
    <w:name w:val="TOC 3"/>
    <w:basedOn w:val="Normal"/>
    <w:next w:val="Normal"/>
    <w:pPr>
      <w:spacing w:before="0" w:after="40"/>
      <w:ind w:left="720"/>
    </w:pPr>
    <w:rPr>
      <w:rFonts w:ascii="Open Sans" w:hAnsi="Open Sans" w:eastAsia="Open Sans" w:cs="Open Sans"/>
      <w:b w:val="false"/>
      <w:bCs w:val="false"/>
      <w:color w:val="2C3E5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header" Target="header1.xml"/><Relationship Id="rId55" Type="http://schemas.openxmlformats.org/officeDocument/2006/relationships/header" Target="header2.xml"/><Relationship Id="rId56" Type="http://schemas.openxmlformats.org/officeDocument/2006/relationships/header" Target="header3.xml"/><Relationship Id="rId57" Type="http://schemas.openxmlformats.org/officeDocument/2006/relationships/footer" Target="footer1.xml"/><Relationship Id="rId58" Type="http://schemas.openxmlformats.org/officeDocument/2006/relationships/footer" Target="footer2.xml"/><Relationship Id="rId59" Type="http://schemas.openxmlformats.org/officeDocument/2006/relationships/footer" Target="footer3.xml"/><Relationship Id="rId60" Type="http://schemas.openxmlformats.org/officeDocument/2006/relationships/fontTable" Target="fontTable.xml"/><Relationship Id="rId61" Type="http://schemas.openxmlformats.org/officeDocument/2006/relationships/settings" Target="settings.xml"/><Relationship Id="rId6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5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2026-10-12T16:56:11Z</dcterms:created>
  <dc:creator>AI Value</dc:creator>
  <dc:description>Cas complet santé — Projet d’ingénierie de formation</dc:description>
  <dc:language>en-US</dc:language>
  <cp:lastModifiedBy/>
  <dcterms:modified xsi:type="dcterms:W3CDTF">2026-10-12T16:56:26Z</dcterms:modified>
  <cp:revision>2</cp:revision>
  <dc:subject/>
  <dc:title>Cas complet santé — Projet d’ingénierie de formation</dc:title>
</cp:coreProperties>
</file>