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GUIDE D’INSTALLATION · PRODUCTION</w:t>
      </w:r>
    </w:p>
    <w:p>
      <w:pPr>
        <w:pStyle w:val="Normal"/>
        <w:spacing w:before="0" w:after="200"/>
        <w:jc w:val="center"/>
        <w:rPr/>
      </w:pPr>
      <w:r>
        <w:rPr>
          <w:rFonts w:eastAsia="Montserrat" w:cs="Montserrat" w:ascii="Montserrat" w:hAnsi="Montserrat"/>
          <w:b/>
          <w:bCs/>
          <w:color w:val="123A5F"/>
          <w:sz w:val="56"/>
          <w:szCs w:val="56"/>
        </w:rPr>
        <w:t>CortexSkills — Cloud dédié et sur site (On-Prem)</w:t>
      </w:r>
    </w:p>
    <w:p>
      <w:pPr>
        <w:pStyle w:val="Normal"/>
        <w:spacing w:before="0" w:after="1400"/>
        <w:jc w:val="center"/>
        <w:rPr/>
      </w:pPr>
      <w:r>
        <w:rPr>
          <w:rFonts w:eastAsia="Open Sans" w:cs="Open Sans"/>
          <w:color w:val="2C3E50"/>
          <w:sz w:val="26"/>
          <w:szCs w:val="26"/>
        </w:rPr>
        <w:t>Installer CortexSkills pour un client dans son cloud public, son cloud privé ou son propre centre de données, activer la licence et les offres</w:t>
      </w:r>
    </w:p>
    <w:p>
      <w:pPr>
        <w:pStyle w:val="Normal"/>
        <w:spacing w:before="0" w:after="60"/>
        <w:jc w:val="center"/>
        <w:rPr/>
      </w:pPr>
      <w:r>
        <w:rPr>
          <w:rFonts w:eastAsia="Open Sans" w:cs="Open Sans"/>
          <w:color w:val="5A6B7B"/>
          <w:sz w:val="20"/>
          <w:szCs w:val="20"/>
        </w:rPr>
        <w:t>Version 1.10.0 · 2026-10-12</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5251_3373283034">
            <w:r>
              <w:rPr>
                <w:rStyle w:val="IndexLink"/>
              </w:rPr>
              <w:t>1. À propos de ce guide</w:t>
              <w:tab/>
              <w:t>4</w:t>
            </w:r>
          </w:hyperlink>
        </w:p>
        <w:p>
          <w:pPr>
            <w:pStyle w:val="TOC2"/>
            <w:tabs>
              <w:tab w:val="clear" w:pos="720"/>
              <w:tab w:val="right" w:pos="9637" w:leader="dot"/>
            </w:tabs>
            <w:rPr/>
          </w:pPr>
          <w:hyperlink w:anchor="__RefHeading___Toc5253_3373283034">
            <w:r>
              <w:rPr>
                <w:rStyle w:val="IndexLink"/>
              </w:rPr>
              <w:t>Licence : un fichier signé par l’éditeur</w:t>
              <w:tab/>
              <w:t>4</w:t>
            </w:r>
          </w:hyperlink>
        </w:p>
        <w:p>
          <w:pPr>
            <w:pStyle w:val="TOC2"/>
            <w:tabs>
              <w:tab w:val="clear" w:pos="720"/>
              <w:tab w:val="right" w:pos="9637" w:leader="dot"/>
            </w:tabs>
            <w:rPr/>
          </w:pPr>
          <w:hyperlink w:anchor="__RefHeading___Toc5255_3373283034">
            <w:r>
              <w:rPr>
                <w:rStyle w:val="IndexLink"/>
              </w:rPr>
              <w:t>Qui fait quoi</w:t>
              <w:tab/>
              <w:t>4</w:t>
            </w:r>
          </w:hyperlink>
        </w:p>
        <w:p>
          <w:pPr>
            <w:pStyle w:val="TOC1"/>
            <w:tabs>
              <w:tab w:val="clear" w:pos="720"/>
              <w:tab w:val="right" w:pos="9637" w:leader="dot"/>
            </w:tabs>
            <w:rPr/>
          </w:pPr>
          <w:hyperlink w:anchor="__RefHeading___Toc5257_3373283034">
            <w:r>
              <w:rPr>
                <w:rStyle w:val="IndexLink"/>
              </w:rPr>
              <w:t>2. Avant de commencer (côté serveur)</w:t>
              <w:tab/>
              <w:t>6</w:t>
            </w:r>
          </w:hyperlink>
        </w:p>
        <w:p>
          <w:pPr>
            <w:pStyle w:val="TOC2"/>
            <w:tabs>
              <w:tab w:val="clear" w:pos="720"/>
              <w:tab w:val="right" w:pos="9637" w:leader="dot"/>
            </w:tabs>
            <w:rPr/>
          </w:pPr>
          <w:hyperlink w:anchor="__RefHeading___Toc5259_3373283034">
            <w:r>
              <w:rPr>
                <w:rStyle w:val="IndexLink"/>
              </w:rPr>
              <w:t>Serveur et réseau</w:t>
              <w:tab/>
              <w:t>6</w:t>
            </w:r>
          </w:hyperlink>
        </w:p>
        <w:p>
          <w:pPr>
            <w:pStyle w:val="TOC2"/>
            <w:tabs>
              <w:tab w:val="clear" w:pos="720"/>
              <w:tab w:val="right" w:pos="9637" w:leader="dot"/>
            </w:tabs>
            <w:rPr/>
          </w:pPr>
          <w:hyperlink w:anchor="__RefHeading___Toc5261_3373283034">
            <w:r>
              <w:rPr>
                <w:rStyle w:val="IndexLink"/>
              </w:rPr>
              <w:t>Dimensionnement</w:t>
              <w:tab/>
              <w:t>6</w:t>
            </w:r>
          </w:hyperlink>
        </w:p>
        <w:p>
          <w:pPr>
            <w:pStyle w:val="TOC2"/>
            <w:tabs>
              <w:tab w:val="clear" w:pos="720"/>
              <w:tab w:val="right" w:pos="9637" w:leader="dot"/>
            </w:tabs>
            <w:rPr/>
          </w:pPr>
          <w:hyperlink w:anchor="__RefHeading___Toc5263_3373283034">
            <w:r>
              <w:rPr>
                <w:rStyle w:val="IndexLink"/>
              </w:rPr>
              <w:t>Préparation propre au cloud</w:t>
              <w:tab/>
              <w:t>7</w:t>
            </w:r>
          </w:hyperlink>
        </w:p>
        <w:p>
          <w:pPr>
            <w:pStyle w:val="TOC2"/>
            <w:tabs>
              <w:tab w:val="clear" w:pos="720"/>
              <w:tab w:val="right" w:pos="9637" w:leader="dot"/>
            </w:tabs>
            <w:rPr/>
          </w:pPr>
          <w:hyperlink w:anchor="__RefHeading___Toc5265_3373283034">
            <w:r>
              <w:rPr>
                <w:rStyle w:val="IndexLink"/>
              </w:rPr>
              <w:t>Ce que vous recevez de l’éditeur</w:t>
              <w:tab/>
              <w:t>7</w:t>
            </w:r>
          </w:hyperlink>
        </w:p>
        <w:p>
          <w:pPr>
            <w:pStyle w:val="TOC1"/>
            <w:tabs>
              <w:tab w:val="clear" w:pos="720"/>
              <w:tab w:val="right" w:pos="9637" w:leader="dot"/>
            </w:tabs>
            <w:rPr/>
          </w:pPr>
          <w:hyperlink w:anchor="__RefHeading___Toc5267_3373283034">
            <w:r>
              <w:rPr>
                <w:rStyle w:val="IndexLink"/>
              </w:rPr>
              <w:t>3. Installer sous Linux (côté serveur)</w:t>
              <w:tab/>
              <w:t>8</w:t>
            </w:r>
          </w:hyperlink>
        </w:p>
        <w:p>
          <w:pPr>
            <w:pStyle w:val="TOC2"/>
            <w:tabs>
              <w:tab w:val="clear" w:pos="720"/>
              <w:tab w:val="right" w:pos="9637" w:leader="dot"/>
            </w:tabs>
            <w:rPr/>
          </w:pPr>
          <w:hyperlink w:anchor="__RefHeading___Toc5269_3373283034">
            <w:r>
              <w:rPr>
                <w:rStyle w:val="IndexLink"/>
              </w:rPr>
              <w:t>Étape 1 — Installer Node.js 22 LTS</w:t>
              <w:tab/>
              <w:t>8</w:t>
            </w:r>
          </w:hyperlink>
        </w:p>
        <w:p>
          <w:pPr>
            <w:pStyle w:val="TOC2"/>
            <w:tabs>
              <w:tab w:val="clear" w:pos="720"/>
              <w:tab w:val="right" w:pos="9637" w:leader="dot"/>
            </w:tabs>
            <w:rPr/>
          </w:pPr>
          <w:hyperlink w:anchor="__RefHeading___Toc5271_3373283034">
            <w:r>
              <w:rPr>
                <w:rStyle w:val="IndexLink"/>
              </w:rPr>
              <w:t>Étape 2 — Créer le compte de service et les dossiers</w:t>
              <w:tab/>
              <w:t>8</w:t>
            </w:r>
          </w:hyperlink>
        </w:p>
        <w:p>
          <w:pPr>
            <w:pStyle w:val="TOC2"/>
            <w:tabs>
              <w:tab w:val="clear" w:pos="720"/>
              <w:tab w:val="right" w:pos="9637" w:leader="dot"/>
            </w:tabs>
            <w:rPr/>
          </w:pPr>
          <w:hyperlink w:anchor="__RefHeading___Toc5273_3373283034">
            <w:r>
              <w:rPr>
                <w:rStyle w:val="IndexLink"/>
              </w:rPr>
              <w:t>Étape 3 — Copier et décompresser l’application</w:t>
              <w:tab/>
              <w:t>8</w:t>
            </w:r>
          </w:hyperlink>
        </w:p>
        <w:p>
          <w:pPr>
            <w:pStyle w:val="TOC2"/>
            <w:tabs>
              <w:tab w:val="clear" w:pos="720"/>
              <w:tab w:val="right" w:pos="9637" w:leader="dot"/>
            </w:tabs>
            <w:rPr/>
          </w:pPr>
          <w:hyperlink w:anchor="__RefHeading___Toc5275_3373283034">
            <w:r>
              <w:rPr>
                <w:rStyle w:val="IndexLink"/>
              </w:rPr>
              <w:t>Étape 4 — Installer les composants</w:t>
              <w:tab/>
              <w:t>8</w:t>
            </w:r>
          </w:hyperlink>
        </w:p>
        <w:p>
          <w:pPr>
            <w:pStyle w:val="TOC2"/>
            <w:tabs>
              <w:tab w:val="clear" w:pos="720"/>
              <w:tab w:val="right" w:pos="9637" w:leader="dot"/>
            </w:tabs>
            <w:rPr/>
          </w:pPr>
          <w:hyperlink w:anchor="__RefHeading___Toc5277_3373283034">
            <w:r>
              <w:rPr>
                <w:rStyle w:val="IndexLink"/>
              </w:rPr>
              <w:t>Étape 5 — Écrire le fichier de configuration (.env)</w:t>
              <w:tab/>
              <w:t>8</w:t>
            </w:r>
          </w:hyperlink>
        </w:p>
        <w:p>
          <w:pPr>
            <w:pStyle w:val="TOC2"/>
            <w:tabs>
              <w:tab w:val="clear" w:pos="720"/>
              <w:tab w:val="right" w:pos="9637" w:leader="dot"/>
            </w:tabs>
            <w:rPr/>
          </w:pPr>
          <w:hyperlink w:anchor="__RefHeading___Toc5279_3373283034">
            <w:r>
              <w:rPr>
                <w:rStyle w:val="IndexLink"/>
              </w:rPr>
              <w:t>Étape 6 — Déposer la clé publique de l’éditeur</w:t>
              <w:tab/>
              <w:t>9</w:t>
            </w:r>
          </w:hyperlink>
        </w:p>
        <w:p>
          <w:pPr>
            <w:pStyle w:val="TOC2"/>
            <w:tabs>
              <w:tab w:val="clear" w:pos="720"/>
              <w:tab w:val="right" w:pos="9637" w:leader="dot"/>
            </w:tabs>
            <w:rPr/>
          </w:pPr>
          <w:hyperlink w:anchor="__RefHeading___Toc5281_3373283034">
            <w:r>
              <w:rPr>
                <w:rStyle w:val="IndexLink"/>
              </w:rPr>
              <w:t>Étape 7 — Créer la base de production</w:t>
              <w:tab/>
              <w:t>9</w:t>
            </w:r>
          </w:hyperlink>
        </w:p>
        <w:p>
          <w:pPr>
            <w:pStyle w:val="TOC2"/>
            <w:tabs>
              <w:tab w:val="clear" w:pos="720"/>
              <w:tab w:val="right" w:pos="9637" w:leader="dot"/>
            </w:tabs>
            <w:rPr/>
          </w:pPr>
          <w:hyperlink w:anchor="__RefHeading___Toc5283_3373283034">
            <w:r>
              <w:rPr>
                <w:rStyle w:val="IndexLink"/>
              </w:rPr>
              <w:t>Étape 8 — Exécuter CortexSkills comme service</w:t>
              <w:tab/>
              <w:t>10</w:t>
            </w:r>
          </w:hyperlink>
        </w:p>
        <w:p>
          <w:pPr>
            <w:pStyle w:val="TOC2"/>
            <w:tabs>
              <w:tab w:val="clear" w:pos="720"/>
              <w:tab w:val="right" w:pos="9637" w:leader="dot"/>
            </w:tabs>
            <w:rPr/>
          </w:pPr>
          <w:hyperlink w:anchor="__RefHeading___Toc5285_3373283034">
            <w:r>
              <w:rPr>
                <w:rStyle w:val="IndexLink"/>
              </w:rPr>
              <w:t>Étape 9 — Publier en HTTPS</w:t>
              <w:tab/>
              <w:t>10</w:t>
            </w:r>
          </w:hyperlink>
        </w:p>
        <w:p>
          <w:pPr>
            <w:pStyle w:val="TOC3"/>
            <w:tabs>
              <w:tab w:val="clear" w:pos="720"/>
              <w:tab w:val="right" w:pos="9637" w:leader="dot"/>
            </w:tabs>
            <w:rPr/>
          </w:pPr>
          <w:hyperlink w:anchor="__RefHeading___Toc5287_3373283034">
            <w:r>
              <w:rPr>
                <w:rStyle w:val="IndexLink"/>
              </w:rPr>
              <w:t>Option A — Nginx avec Let’s Encrypt</w:t>
              <w:tab/>
              <w:t>10</w:t>
            </w:r>
          </w:hyperlink>
        </w:p>
        <w:p>
          <w:pPr>
            <w:pStyle w:val="TOC3"/>
            <w:tabs>
              <w:tab w:val="clear" w:pos="720"/>
              <w:tab w:val="right" w:pos="9637" w:leader="dot"/>
            </w:tabs>
            <w:rPr/>
          </w:pPr>
          <w:hyperlink w:anchor="__RefHeading___Toc5289_3373283034">
            <w:r>
              <w:rPr>
                <w:rStyle w:val="IndexLink"/>
              </w:rPr>
              <w:t>Option B — Caddy (certificat automatique)</w:t>
              <w:tab/>
              <w:t>11</w:t>
            </w:r>
          </w:hyperlink>
        </w:p>
        <w:p>
          <w:pPr>
            <w:pStyle w:val="TOC3"/>
            <w:tabs>
              <w:tab w:val="clear" w:pos="720"/>
              <w:tab w:val="right" w:pos="9637" w:leader="dot"/>
            </w:tabs>
            <w:rPr/>
          </w:pPr>
          <w:hyperlink w:anchor="__RefHeading___Toc5291_3373283034">
            <w:r>
              <w:rPr>
                <w:rStyle w:val="IndexLink"/>
              </w:rPr>
              <w:t>Option C — Certificat de l’entreprise</w:t>
              <w:tab/>
              <w:t>11</w:t>
            </w:r>
          </w:hyperlink>
        </w:p>
        <w:p>
          <w:pPr>
            <w:pStyle w:val="TOC2"/>
            <w:tabs>
              <w:tab w:val="clear" w:pos="720"/>
              <w:tab w:val="right" w:pos="9637" w:leader="dot"/>
            </w:tabs>
            <w:rPr/>
          </w:pPr>
          <w:hyperlink w:anchor="__RefHeading___Toc5293_3373283034">
            <w:r>
              <w:rPr>
                <w:rStyle w:val="IndexLink"/>
              </w:rPr>
              <w:t>Étape 10 — Vérifier l’installation</w:t>
              <w:tab/>
              <w:t>11</w:t>
            </w:r>
          </w:hyperlink>
        </w:p>
        <w:p>
          <w:pPr>
            <w:pStyle w:val="TOC2"/>
            <w:tabs>
              <w:tab w:val="clear" w:pos="720"/>
              <w:tab w:val="right" w:pos="9637" w:leader="dot"/>
            </w:tabs>
            <w:rPr/>
          </w:pPr>
          <w:hyperlink w:anchor="__RefHeading___Toc5295_3373283034">
            <w:r>
              <w:rPr>
                <w:rStyle w:val="IndexLink"/>
              </w:rPr>
              <w:t>Installer sans accès Internet</w:t>
              <w:tab/>
              <w:t>11</w:t>
            </w:r>
          </w:hyperlink>
        </w:p>
        <w:p>
          <w:pPr>
            <w:pStyle w:val="TOC1"/>
            <w:tabs>
              <w:tab w:val="clear" w:pos="720"/>
              <w:tab w:val="right" w:pos="9637" w:leader="dot"/>
            </w:tabs>
            <w:rPr/>
          </w:pPr>
          <w:hyperlink w:anchor="__RefHeading___Toc5297_3373283034">
            <w:r>
              <w:rPr>
                <w:rStyle w:val="IndexLink"/>
              </w:rPr>
              <w:t>4. Installer sous Windows Server (côté serveur)</w:t>
              <w:tab/>
              <w:t>12</w:t>
            </w:r>
          </w:hyperlink>
        </w:p>
        <w:p>
          <w:pPr>
            <w:pStyle w:val="TOC1"/>
            <w:tabs>
              <w:tab w:val="clear" w:pos="720"/>
              <w:tab w:val="right" w:pos="9637" w:leader="dot"/>
            </w:tabs>
            <w:rPr/>
          </w:pPr>
          <w:hyperlink w:anchor="__RefHeading___Toc5299_3373283034">
            <w:r>
              <w:rPr>
                <w:rStyle w:val="IndexLink"/>
              </w:rPr>
              <w:t>5. Créer l’organisation et activer la licence</w:t>
              <w:tab/>
              <w:t>13</w:t>
            </w:r>
          </w:hyperlink>
        </w:p>
        <w:p>
          <w:pPr>
            <w:pStyle w:val="TOC2"/>
            <w:tabs>
              <w:tab w:val="clear" w:pos="720"/>
              <w:tab w:val="right" w:pos="9637" w:leader="dot"/>
            </w:tabs>
            <w:rPr/>
          </w:pPr>
          <w:hyperlink w:anchor="__RefHeading___Toc5301_3373283034">
            <w:r>
              <w:rPr>
                <w:rStyle w:val="IndexLink"/>
              </w:rPr>
              <w:t>Étape 1 — Créer l’organisation</w:t>
              <w:tab/>
              <w:t>13</w:t>
            </w:r>
          </w:hyperlink>
        </w:p>
        <w:p>
          <w:pPr>
            <w:pStyle w:val="TOC2"/>
            <w:tabs>
              <w:tab w:val="clear" w:pos="720"/>
              <w:tab w:val="right" w:pos="9637" w:leader="dot"/>
            </w:tabs>
            <w:rPr/>
          </w:pPr>
          <w:hyperlink w:anchor="__RefHeading___Toc5303_3373283034">
            <w:r>
              <w:rPr>
                <w:rStyle w:val="IndexLink"/>
              </w:rPr>
              <w:t>Étape 2 — Demander la licence</w:t>
              <w:tab/>
              <w:t>13</w:t>
            </w:r>
          </w:hyperlink>
        </w:p>
        <w:p>
          <w:pPr>
            <w:pStyle w:val="TOC2"/>
            <w:tabs>
              <w:tab w:val="clear" w:pos="720"/>
              <w:tab w:val="right" w:pos="9637" w:leader="dot"/>
            </w:tabs>
            <w:rPr/>
          </w:pPr>
          <w:hyperlink w:anchor="__RefHeading___Toc5305_3373283034">
            <w:r>
              <w:rPr>
                <w:rStyle w:val="IndexLink"/>
              </w:rPr>
              <w:t>Étape 3 — L’éditeur signe la licence</w:t>
              <w:tab/>
              <w:t>14</w:t>
            </w:r>
          </w:hyperlink>
        </w:p>
        <w:p>
          <w:pPr>
            <w:pStyle w:val="TOC2"/>
            <w:tabs>
              <w:tab w:val="clear" w:pos="720"/>
              <w:tab w:val="right" w:pos="9637" w:leader="dot"/>
            </w:tabs>
            <w:rPr/>
          </w:pPr>
          <w:hyperlink w:anchor="__RefHeading___Toc5307_3373283034">
            <w:r>
              <w:rPr>
                <w:rStyle w:val="IndexLink"/>
              </w:rPr>
              <w:t>Étape 4 — Installer la licence</w:t>
              <w:tab/>
              <w:t>14</w:t>
            </w:r>
          </w:hyperlink>
        </w:p>
        <w:p>
          <w:pPr>
            <w:pStyle w:val="TOC1"/>
            <w:tabs>
              <w:tab w:val="clear" w:pos="720"/>
              <w:tab w:val="right" w:pos="9637" w:leader="dot"/>
            </w:tabs>
            <w:rPr/>
          </w:pPr>
          <w:hyperlink w:anchor="__RefHeading___Toc5309_3373283034">
            <w:r>
              <w:rPr>
                <w:rStyle w:val="IndexLink"/>
              </w:rPr>
              <w:t>6. Activer et changer les offres</w:t>
              <w:tab/>
              <w:t>15</w:t>
            </w:r>
          </w:hyperlink>
        </w:p>
        <w:p>
          <w:pPr>
            <w:pStyle w:val="TOC2"/>
            <w:tabs>
              <w:tab w:val="clear" w:pos="720"/>
              <w:tab w:val="right" w:pos="9637" w:leader="dot"/>
            </w:tabs>
            <w:rPr/>
          </w:pPr>
          <w:hyperlink w:anchor="__RefHeading___Toc5311_3373283034">
            <w:r>
              <w:rPr>
                <w:rStyle w:val="IndexLink"/>
              </w:rPr>
              <w:t>Le catalogue</w:t>
              <w:tab/>
              <w:t>15</w:t>
            </w:r>
          </w:hyperlink>
        </w:p>
        <w:p>
          <w:pPr>
            <w:pStyle w:val="TOC2"/>
            <w:tabs>
              <w:tab w:val="clear" w:pos="720"/>
              <w:tab w:val="right" w:pos="9637" w:leader="dot"/>
            </w:tabs>
            <w:rPr/>
          </w:pPr>
          <w:hyperlink w:anchor="__RefHeading___Toc5313_3373283034">
            <w:r>
              <w:rPr>
                <w:rStyle w:val="IndexLink"/>
              </w:rPr>
              <w:t>Fonctionnement de l’activation en installation dédiée</w:t>
              <w:tab/>
              <w:t>17</w:t>
            </w:r>
          </w:hyperlink>
        </w:p>
        <w:p>
          <w:pPr>
            <w:pStyle w:val="TOC2"/>
            <w:tabs>
              <w:tab w:val="clear" w:pos="720"/>
              <w:tab w:val="right" w:pos="9637" w:leader="dot"/>
            </w:tabs>
            <w:rPr/>
          </w:pPr>
          <w:hyperlink w:anchor="__RefHeading___Toc5315_3373283034">
            <w:r>
              <w:rPr>
                <w:rStyle w:val="IndexLink"/>
              </w:rPr>
              <w:t>Monter en gamme, ajouter des utilisateurs ou renouveler</w:t>
              <w:tab/>
              <w:t>17</w:t>
            </w:r>
          </w:hyperlink>
        </w:p>
        <w:p>
          <w:pPr>
            <w:pStyle w:val="TOC2"/>
            <w:tabs>
              <w:tab w:val="clear" w:pos="720"/>
              <w:tab w:val="right" w:pos="9637" w:leader="dot"/>
            </w:tabs>
            <w:rPr/>
          </w:pPr>
          <w:hyperlink w:anchor="__RefHeading___Toc5317_3373283034">
            <w:r>
              <w:rPr>
                <w:rStyle w:val="IndexLink"/>
              </w:rPr>
              <w:t>États de la licence</w:t>
              <w:tab/>
              <w:t>18</w:t>
            </w:r>
          </w:hyperlink>
        </w:p>
        <w:p>
          <w:pPr>
            <w:pStyle w:val="TOC1"/>
            <w:tabs>
              <w:tab w:val="clear" w:pos="720"/>
              <w:tab w:val="right" w:pos="9637" w:leader="dot"/>
            </w:tabs>
            <w:rPr/>
          </w:pPr>
          <w:hyperlink w:anchor="__RefHeading___Toc5319_3373283034">
            <w:r>
              <w:rPr>
                <w:rStyle w:val="IndexLink"/>
              </w:rPr>
              <w:t>7. Côté client : démarrer</w:t>
              <w:tab/>
              <w:t>19</w:t>
            </w:r>
          </w:hyperlink>
        </w:p>
        <w:p>
          <w:pPr>
            <w:pStyle w:val="TOC2"/>
            <w:tabs>
              <w:tab w:val="clear" w:pos="720"/>
              <w:tab w:val="right" w:pos="9637" w:leader="dot"/>
            </w:tabs>
            <w:rPr/>
          </w:pPr>
          <w:hyperlink w:anchor="__RefHeading___Toc5321_3373283034">
            <w:r>
              <w:rPr>
                <w:rStyle w:val="IndexLink"/>
              </w:rPr>
              <w:t>Première connexion et mot de passe</w:t>
              <w:tab/>
              <w:t>19</w:t>
            </w:r>
          </w:hyperlink>
        </w:p>
        <w:p>
          <w:pPr>
            <w:pStyle w:val="TOC2"/>
            <w:tabs>
              <w:tab w:val="clear" w:pos="720"/>
              <w:tab w:val="right" w:pos="9637" w:leader="dot"/>
            </w:tabs>
            <w:rPr/>
          </w:pPr>
          <w:hyperlink w:anchor="__RefHeading___Toc5323_3373283034">
            <w:r>
              <w:rPr>
                <w:rStyle w:val="IndexLink"/>
              </w:rPr>
              <w:t>Vérifier la licence</w:t>
              <w:tab/>
              <w:t>20</w:t>
            </w:r>
          </w:hyperlink>
        </w:p>
        <w:p>
          <w:pPr>
            <w:pStyle w:val="TOC2"/>
            <w:tabs>
              <w:tab w:val="clear" w:pos="720"/>
              <w:tab w:val="right" w:pos="9637" w:leader="dot"/>
            </w:tabs>
            <w:rPr/>
          </w:pPr>
          <w:hyperlink w:anchor="__RefHeading___Toc5325_3373283034">
            <w:r>
              <w:rPr>
                <w:rStyle w:val="IndexLink"/>
              </w:rPr>
              <w:t>Créer les utilisateurs</w:t>
              <w:tab/>
              <w:t>20</w:t>
            </w:r>
          </w:hyperlink>
        </w:p>
        <w:p>
          <w:pPr>
            <w:pStyle w:val="TOC2"/>
            <w:tabs>
              <w:tab w:val="clear" w:pos="720"/>
              <w:tab w:val="right" w:pos="9637" w:leader="dot"/>
            </w:tabs>
            <w:rPr/>
          </w:pPr>
          <w:hyperlink w:anchor="__RefHeading___Toc5327_3373283034">
            <w:r>
              <w:rPr>
                <w:rStyle w:val="IndexLink"/>
              </w:rPr>
              <w:t>Terminer la configuration</w:t>
              <w:tab/>
              <w:t>21</w:t>
            </w:r>
          </w:hyperlink>
        </w:p>
        <w:p>
          <w:pPr>
            <w:pStyle w:val="TOC2"/>
            <w:tabs>
              <w:tab w:val="clear" w:pos="720"/>
              <w:tab w:val="right" w:pos="9637" w:leader="dot"/>
            </w:tabs>
            <w:rPr/>
          </w:pPr>
          <w:hyperlink w:anchor="__RefHeading___Toc5329_3373283034">
            <w:r>
              <w:rPr>
                <w:rStyle w:val="IndexLink"/>
              </w:rPr>
              <w:t>Activer add-ons et normes, téléverser une licence</w:t>
              <w:tab/>
              <w:t>22</w:t>
            </w:r>
          </w:hyperlink>
        </w:p>
        <w:p>
          <w:pPr>
            <w:pStyle w:val="TOC2"/>
            <w:tabs>
              <w:tab w:val="clear" w:pos="720"/>
              <w:tab w:val="right" w:pos="9637" w:leader="dot"/>
            </w:tabs>
            <w:rPr/>
          </w:pPr>
          <w:hyperlink w:anchor="__RefHeading___Toc5331_3373283034">
            <w:r>
              <w:rPr>
                <w:rStyle w:val="IndexLink"/>
              </w:rPr>
              <w:t>L’écran Configuration et licence</w:t>
              <w:tab/>
              <w:t>22</w:t>
            </w:r>
          </w:hyperlink>
        </w:p>
        <w:p>
          <w:pPr>
            <w:pStyle w:val="TOC2"/>
            <w:tabs>
              <w:tab w:val="clear" w:pos="720"/>
              <w:tab w:val="right" w:pos="9637" w:leader="dot"/>
            </w:tabs>
            <w:rPr/>
          </w:pPr>
          <w:hyperlink w:anchor="__RefHeading___Toc5333_3373283034">
            <w:r>
              <w:rPr>
                <w:rStyle w:val="IndexLink"/>
              </w:rPr>
              <w:t>Activer un add-on</w:t>
              <w:tab/>
              <w:t>22</w:t>
            </w:r>
          </w:hyperlink>
        </w:p>
        <w:p>
          <w:pPr>
            <w:pStyle w:val="TOC2"/>
            <w:tabs>
              <w:tab w:val="clear" w:pos="720"/>
              <w:tab w:val="right" w:pos="9637" w:leader="dot"/>
            </w:tabs>
            <w:rPr/>
          </w:pPr>
          <w:hyperlink w:anchor="__RefHeading___Toc5335_3373283034">
            <w:r>
              <w:rPr>
                <w:rStyle w:val="IndexLink"/>
              </w:rPr>
              <w:t>Activer une norme de conformité</w:t>
              <w:tab/>
              <w:t>23</w:t>
            </w:r>
          </w:hyperlink>
        </w:p>
        <w:p>
          <w:pPr>
            <w:pStyle w:val="TOC2"/>
            <w:tabs>
              <w:tab w:val="clear" w:pos="720"/>
              <w:tab w:val="right" w:pos="9637" w:leader="dot"/>
            </w:tabs>
            <w:rPr/>
          </w:pPr>
          <w:hyperlink w:anchor="__RefHeading___Toc5337_3373283034">
            <w:r>
              <w:rPr>
                <w:rStyle w:val="IndexLink"/>
              </w:rPr>
              <w:t>Téléverser un nouveau fichier de licence</w:t>
              <w:tab/>
              <w:t>24</w:t>
            </w:r>
          </w:hyperlink>
        </w:p>
        <w:p>
          <w:pPr>
            <w:pStyle w:val="TOC1"/>
            <w:tabs>
              <w:tab w:val="clear" w:pos="720"/>
              <w:tab w:val="right" w:pos="9637" w:leader="dot"/>
            </w:tabs>
            <w:rPr/>
          </w:pPr>
          <w:hyperlink w:anchor="__RefHeading___Toc5339_3373283034">
            <w:r>
              <w:rPr>
                <w:rStyle w:val="IndexLink"/>
              </w:rPr>
              <w:t>8. Exploiter l’installation (côté serveur)</w:t>
              <w:tab/>
              <w:t>25</w:t>
            </w:r>
          </w:hyperlink>
        </w:p>
        <w:p>
          <w:pPr>
            <w:pStyle w:val="TOC2"/>
            <w:tabs>
              <w:tab w:val="clear" w:pos="720"/>
              <w:tab w:val="right" w:pos="9637" w:leader="dot"/>
            </w:tabs>
            <w:rPr/>
          </w:pPr>
          <w:hyperlink w:anchor="__RefHeading___Toc5341_3373283034">
            <w:r>
              <w:rPr>
                <w:rStyle w:val="IndexLink"/>
              </w:rPr>
              <w:t>Sauvegardes</w:t>
              <w:tab/>
              <w:t>25</w:t>
            </w:r>
          </w:hyperlink>
        </w:p>
        <w:p>
          <w:pPr>
            <w:pStyle w:val="TOC3"/>
            <w:tabs>
              <w:tab w:val="clear" w:pos="720"/>
              <w:tab w:val="right" w:pos="9637" w:leader="dot"/>
            </w:tabs>
            <w:rPr/>
          </w:pPr>
          <w:hyperlink w:anchor="__RefHeading___Toc5343_3373283034">
            <w:r>
              <w:rPr>
                <w:rStyle w:val="IndexLink"/>
              </w:rPr>
              <w:t>Restaurer une sauvegarde</w:t>
              <w:tab/>
              <w:t>25</w:t>
            </w:r>
          </w:hyperlink>
        </w:p>
        <w:p>
          <w:pPr>
            <w:pStyle w:val="TOC2"/>
            <w:tabs>
              <w:tab w:val="clear" w:pos="720"/>
              <w:tab w:val="right" w:pos="9637" w:leader="dot"/>
            </w:tabs>
            <w:rPr/>
          </w:pPr>
          <w:hyperlink w:anchor="__RefHeading___Toc5345_3373283034">
            <w:r>
              <w:rPr>
                <w:rStyle w:val="IndexLink"/>
              </w:rPr>
              <w:t>Mettre à jour vers une nouvelle version</w:t>
              <w:tab/>
              <w:t>25</w:t>
            </w:r>
          </w:hyperlink>
        </w:p>
        <w:p>
          <w:pPr>
            <w:pStyle w:val="TOC2"/>
            <w:tabs>
              <w:tab w:val="clear" w:pos="720"/>
              <w:tab w:val="right" w:pos="9637" w:leader="dot"/>
            </w:tabs>
            <w:rPr/>
          </w:pPr>
          <w:hyperlink w:anchor="__RefHeading___Toc5347_3373283034">
            <w:r>
              <w:rPr>
                <w:rStyle w:val="IndexLink"/>
              </w:rPr>
              <w:t>Supervision et journaux</w:t>
              <w:tab/>
              <w:t>26</w:t>
            </w:r>
          </w:hyperlink>
        </w:p>
        <w:p>
          <w:pPr>
            <w:pStyle w:val="TOC2"/>
            <w:tabs>
              <w:tab w:val="clear" w:pos="720"/>
              <w:tab w:val="right" w:pos="9637" w:leader="dot"/>
            </w:tabs>
            <w:rPr/>
          </w:pPr>
          <w:hyperlink w:anchor="__RefHeading___Toc5349_3373283034">
            <w:r>
              <w:rPr>
                <w:rStyle w:val="IndexLink"/>
              </w:rPr>
              <w:t>Liste de contrôle sécurité</w:t>
              <w:tab/>
              <w:t>26</w:t>
            </w:r>
          </w:hyperlink>
        </w:p>
        <w:p>
          <w:pPr>
            <w:pStyle w:val="TOC2"/>
            <w:tabs>
              <w:tab w:val="clear" w:pos="720"/>
              <w:tab w:val="right" w:pos="9637" w:leader="dot"/>
            </w:tabs>
            <w:rPr/>
          </w:pPr>
          <w:hyperlink w:anchor="__RefHeading___Toc5351_3373283034">
            <w:r>
              <w:rPr>
                <w:rStyle w:val="IndexLink"/>
              </w:rPr>
              <w:t>Dépannage</w:t>
              <w:tab/>
              <w:t>26</w:t>
            </w:r>
          </w:hyperlink>
        </w:p>
        <w:p>
          <w:pPr>
            <w:pStyle w:val="TOC1"/>
            <w:tabs>
              <w:tab w:val="clear" w:pos="720"/>
              <w:tab w:val="right" w:pos="9637" w:leader="dot"/>
            </w:tabs>
            <w:rPr/>
          </w:pPr>
          <w:hyperlink w:anchor="__RefHeading___Toc5353_3373283034">
            <w:r>
              <w:rPr>
                <w:rStyle w:val="IndexLink"/>
              </w:rPr>
              <w:t>Annexe — Commandes de la console</w:t>
              <w:tab/>
              <w:t>28</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5251_3373283034"/>
      <w:bookmarkEnd w:id="0"/>
      <w:r>
        <w:rPr>
          <w:rFonts w:eastAsia="Montserrat" w:cs="Montserrat"/>
          <w:b/>
          <w:bCs/>
          <w:color w:val="123A5F"/>
          <w:sz w:val="40"/>
          <w:szCs w:val="40"/>
        </w:rPr>
        <w:t>1. À propos de ce guide</w:t>
      </w:r>
    </w:p>
    <w:p>
      <w:pPr>
        <w:pStyle w:val="Normal"/>
        <w:spacing w:lineRule="auto" w:line="288" w:before="0" w:after="160"/>
        <w:jc w:val="left"/>
        <w:rPr/>
      </w:pPr>
      <w:r>
        <w:rPr>
          <w:rFonts w:eastAsia="Open Sans" w:cs="Open Sans"/>
          <w:color w:val="2C3E50"/>
          <w:sz w:val="22"/>
          <w:szCs w:val="22"/>
        </w:rPr>
        <w:t>Dans une installation dédiée, CortexSkills fonctionne pour un seul client, dans un environnement choisi par le client. Le même guide couvre les trois cas ci-dessous, car l’installation est identique : seuls l’emplacement du serveur, le réseau et l’origine du certificat HTTPS changent.</w:t>
      </w:r>
    </w:p>
    <w:tbl>
      <w:tblPr>
        <w:tblW w:w="9638" w:type="dxa"/>
        <w:jc w:val="left"/>
        <w:tblInd w:w="0" w:type="dxa"/>
        <w:tblLayout w:type="fixed"/>
        <w:tblCellMar>
          <w:top w:w="70" w:type="dxa"/>
          <w:left w:w="110" w:type="dxa"/>
          <w:bottom w:w="70" w:type="dxa"/>
          <w:right w:w="110" w:type="dxa"/>
        </w:tblCellMar>
      </w:tblPr>
      <w:tblGrid>
        <w:gridCol w:w="1483"/>
        <w:gridCol w:w="2719"/>
        <w:gridCol w:w="2719"/>
        <w:gridCol w:w="2716"/>
      </w:tblGrid>
      <w:tr>
        <w:trPr>
          <w:tblHeader w:val="true"/>
          <w:cantSplit w:val="true"/>
        </w:trPr>
        <w:tc>
          <w:tcPr>
            <w:tcW w:w="1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
          </w:p>
        </w:tc>
        <w:tc>
          <w:tcPr>
            <w:tcW w:w="2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Cloud public dédié</w:t>
            </w:r>
          </w:p>
        </w:tc>
        <w:tc>
          <w:tcPr>
            <w:tcW w:w="2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Cloud privé dédié</w:t>
            </w:r>
          </w:p>
        </w:tc>
        <w:tc>
          <w:tcPr>
            <w:tcW w:w="2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Sur site (On-Prem)</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Où</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machine virtuelle dans l’abonnement Azure, AWS, Google Cloud ou OVHcloud du client</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machine virtuelle sur la plateforme VMware, Nutanix, OpenStack ou Hyper-V du client</w:t>
            </w:r>
          </w:p>
        </w:tc>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serveur (physique ou virtuel) dans les locaux du client</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Adresse</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https://skills.customer.com</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https://skills.customer.local (DNS interne) ou publique</w:t>
            </w:r>
          </w:p>
        </w:tc>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Adresse interne, souvent sans Internet</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Certificat</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Let’s Encrypt ou entreprise</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Autorité de certification de l’entreprise</w:t>
            </w:r>
          </w:p>
        </w:tc>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Autorité de certification de l’entreprise</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Sauvegardes</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Instantanés de disque + compte de stockage</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Sauvegarde VM + partage réseau</w:t>
            </w:r>
          </w:p>
        </w:tc>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Outil de sauvegarde + partage réseau</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Étapes d’installation</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Identiques (chapitres 3 à 6)</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Identiques (chapitres 3 à 6)</w:t>
            </w:r>
          </w:p>
        </w:tc>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Identiques ; sans Internet voir chapitre 3</w:t>
            </w:r>
          </w:p>
        </w:tc>
      </w:tr>
    </w:tbl>
    <w:p>
      <w:pPr>
        <w:pStyle w:val="Normal"/>
        <w:spacing w:before="0" w:after="120"/>
        <w:rPr/>
      </w:pPr>
      <w:r>
        <w:rPr/>
      </w:r>
    </w:p>
    <w:p>
      <w:pPr>
        <w:pStyle w:val="Heading2"/>
        <w:keepNext w:val="true"/>
        <w:spacing w:before="320" w:after="120"/>
        <w:rPr/>
      </w:pPr>
      <w:bookmarkStart w:id="1" w:name="__RefHeading___Toc5253_3373283034"/>
      <w:bookmarkEnd w:id="1"/>
      <w:r>
        <w:rPr>
          <w:rFonts w:eastAsia="Montserrat" w:cs="Montserrat"/>
          <w:b/>
          <w:bCs/>
          <w:color w:val="123A5F"/>
          <w:sz w:val="32"/>
          <w:szCs w:val="32"/>
        </w:rPr>
        <w:t>Licence : un fichier signé par l’éditeur</w:t>
      </w:r>
    </w:p>
    <w:p>
      <w:pPr>
        <w:pStyle w:val="Normal"/>
        <w:spacing w:lineRule="auto" w:line="288" w:before="0" w:after="160"/>
        <w:jc w:val="left"/>
        <w:rPr/>
      </w:pPr>
      <w:r>
        <w:rPr>
          <w:rFonts w:eastAsia="Open Sans" w:cs="Open Sans"/>
          <w:color w:val="2C3E50"/>
          <w:sz w:val="22"/>
          <w:szCs w:val="22"/>
        </w:rPr>
        <w:t>Une installation dédiée fonctionne en mode onprem (DEPLOYMENT_MODE=onprem). La licence est un fichier signé par l’éditeur avec sa clé privée ; le serveur vérifie la signature avec la clé publique de l’éditeur. Personne ne peut modifier l’offre, le nombre d’utilisateurs ou la date du fichier sans casser la signature. La clé privée de l’éditeur ne quitte jamais l’éditeur.</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Cloud dédié exploité par le fournisseur</w:t>
            </w:r>
          </w:p>
          <w:p>
            <w:pPr>
              <w:pStyle w:val="Normal"/>
              <w:spacing w:lineRule="auto" w:line="288" w:before="0" w:after="60"/>
              <w:jc w:val="left"/>
              <w:rPr/>
            </w:pPr>
            <w:r>
              <w:rPr>
                <w:rFonts w:eastAsia="Open Sans" w:cs="Open Sans"/>
                <w:color w:val="2C3E50"/>
                <w:sz w:val="21"/>
                <w:szCs w:val="21"/>
              </w:rPr>
              <w:t>Si le fournisseur exploite une instance dédiée dans son propre abonnement cloud pour un seul client, il peut aussi utiliser le mode SaaS avec une seule organisation (voir le guide SaaS). Utilisez ce guide quand le client ou son partenaire informatique exploite le serveur.</w:t>
            </w:r>
          </w:p>
        </w:tc>
      </w:tr>
    </w:tbl>
    <w:p>
      <w:pPr>
        <w:pStyle w:val="Heading2"/>
        <w:keepNext w:val="true"/>
        <w:spacing w:before="320" w:after="120"/>
        <w:rPr/>
      </w:pPr>
      <w:bookmarkStart w:id="2" w:name="__RefHeading___Toc5255_3373283034"/>
      <w:bookmarkEnd w:id="2"/>
      <w:r>
        <w:rPr>
          <w:rFonts w:eastAsia="Montserrat" w:cs="Montserrat"/>
          <w:b/>
          <w:bCs/>
          <w:color w:val="123A5F"/>
          <w:sz w:val="32"/>
          <w:szCs w:val="32"/>
        </w:rPr>
        <w:t>Qui fait quoi</w:t>
      </w:r>
    </w:p>
    <w:tbl>
      <w:tblPr>
        <w:tblW w:w="9638" w:type="dxa"/>
        <w:jc w:val="left"/>
        <w:tblInd w:w="0" w:type="dxa"/>
        <w:tblLayout w:type="fixed"/>
        <w:tblCellMar>
          <w:top w:w="70" w:type="dxa"/>
          <w:left w:w="110" w:type="dxa"/>
          <w:bottom w:w="70" w:type="dxa"/>
          <w:right w:w="110" w:type="dxa"/>
        </w:tblCellMar>
      </w:tblPr>
      <w:tblGrid>
        <w:gridCol w:w="4100"/>
        <w:gridCol w:w="1384"/>
        <w:gridCol w:w="2273"/>
        <w:gridCol w:w="1880"/>
      </w:tblGrid>
      <w:tr>
        <w:trPr>
          <w:tblHeader w:val="true"/>
          <w:cantSplit w:val="true"/>
        </w:trPr>
        <w:tc>
          <w:tcPr>
            <w:tcW w:w="4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w:t>
            </w:r>
          </w:p>
        </w:tc>
        <w:tc>
          <w:tcPr>
            <w:tcW w:w="1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Éditeur</w:t>
            </w:r>
          </w:p>
        </w:tc>
        <w:tc>
          <w:tcPr>
            <w:tcW w:w="2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Informatique du client (côté serveur)</w:t>
            </w:r>
          </w:p>
        </w:tc>
        <w:tc>
          <w:tcPr>
            <w:tcW w:w="1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Administrateur du client</w:t>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Livrer l’application et la clé publique</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Préparer serveur, réseau, DNS, certificat</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Installer, configurer, initialiser (chapitres 3–4)</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appui</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Créer l’organisation, demander la licence (chapitre 5)</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Signer le fichier de licence (chapitre 5)</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Installer la licence (chapitre 5)</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Utilisateurs, canaux, add-ons, normes (chapitres 6–7)</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Sauvegardes, mises à jour, supervision (chapitre 8)</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nouvelles versions</w:t>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bl>
    <w:p>
      <w:pPr>
        <w:pStyle w:val="Heading1"/>
        <w:pBdr>
          <w:bottom w:val="single" w:sz="6" w:space="6" w:color="E1E8F0"/>
        </w:pBdr>
        <w:spacing w:before="0" w:after="240"/>
        <w:rPr/>
      </w:pPr>
      <w:r>
        <w:br w:type="page"/>
      </w:r>
      <w:bookmarkStart w:id="3" w:name="__RefHeading___Toc5257_3373283034"/>
      <w:bookmarkEnd w:id="3"/>
      <w:r>
        <w:rPr>
          <w:rFonts w:eastAsia="Montserrat" w:cs="Montserrat"/>
          <w:b/>
          <w:bCs/>
          <w:color w:val="123A5F"/>
          <w:sz w:val="40"/>
          <w:szCs w:val="40"/>
        </w:rPr>
        <w:t>2. Avant de commencer (côté serveur)</w:t>
      </w:r>
    </w:p>
    <w:p>
      <w:pPr>
        <w:pStyle w:val="Heading2"/>
        <w:keepNext w:val="true"/>
        <w:spacing w:before="320" w:after="120"/>
        <w:rPr/>
      </w:pPr>
      <w:bookmarkStart w:id="4" w:name="__RefHeading___Toc5259_3373283034"/>
      <w:bookmarkEnd w:id="4"/>
      <w:r>
        <w:rPr>
          <w:rFonts w:eastAsia="Montserrat" w:cs="Montserrat"/>
          <w:b/>
          <w:bCs/>
          <w:color w:val="123A5F"/>
          <w:sz w:val="32"/>
          <w:szCs w:val="32"/>
        </w:rPr>
        <w:t>Serveur et réseau</w:t>
      </w:r>
    </w:p>
    <w:tbl>
      <w:tblPr>
        <w:tblW w:w="9638" w:type="dxa"/>
        <w:jc w:val="left"/>
        <w:tblInd w:w="0" w:type="dxa"/>
        <w:tblLayout w:type="fixed"/>
        <w:tblCellMar>
          <w:top w:w="70" w:type="dxa"/>
          <w:left w:w="110" w:type="dxa"/>
          <w:bottom w:w="70" w:type="dxa"/>
          <w:right w:w="110" w:type="dxa"/>
        </w:tblCellMar>
      </w:tblPr>
      <w:tblGrid>
        <w:gridCol w:w="2076"/>
        <w:gridCol w:w="2965"/>
        <w:gridCol w:w="4597"/>
      </w:tblGrid>
      <w:tr>
        <w:trPr>
          <w:tblHeader w:val="true"/>
          <w:cantSplit w:val="true"/>
        </w:trPr>
        <w:tc>
          <w:tcPr>
            <w:tcW w:w="2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Recommandé</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Remarques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Système d’exploitation</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Server 22.04 / 24.04 LTS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Fonctionne aussi sur Debian 12, RHEL 9 et Windows Server 2019/2022 (voir le chapitre Windows).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Node.js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22 LTS (22.13 ou plus récent)</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seul environnement d’exécution nécessaire. La base de données est intégrée à Node.js (SQLite) : aucun serveur de base de données à installer.</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Proxy inverse</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Nginx ou Caddy (Linux), IIS (Windows)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Termine le HTTPS et transmet à CortexSkills sur 127.0.0.1:4000.</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 de domaine</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skills.customer.com</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 enregistrement DNS pointant vers le serveur (ou vers l’équilibreur de charge).</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TLS</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Let’s Encrypt (automatique) ou le certificat de l’entreprise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HTTPS est obligatoire en production : le serveur refuse de démarrer sans adresse publique https://.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Ports ouverts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 (HTTPS), 80 (redirection seulement)</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port 4000 reste fermé vers l’extérieur ; seul le proxy inverse y accède.</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Accès sortant</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SMTP ; API WhatsApp Cloud (optionnel) ; fournisseur d’IA (optionnel)</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Nécessaire uniquement pour les canaux et fonctions d’IA utilisés.</w:t>
            </w:r>
          </w:p>
        </w:tc>
      </w:tr>
    </w:tbl>
    <w:p>
      <w:pPr>
        <w:pStyle w:val="Normal"/>
        <w:spacing w:before="0" w:after="120"/>
        <w:rPr/>
      </w:pPr>
      <w:r>
        <w:rPr/>
      </w:r>
    </w:p>
    <w:p>
      <w:pPr>
        <w:pStyle w:val="Heading2"/>
        <w:keepNext w:val="true"/>
        <w:spacing w:before="320" w:after="120"/>
        <w:rPr/>
      </w:pPr>
      <w:bookmarkStart w:id="5" w:name="__RefHeading___Toc5261_3373283034"/>
      <w:bookmarkEnd w:id="5"/>
      <w:r>
        <w:rPr>
          <w:rFonts w:eastAsia="Montserrat" w:cs="Montserrat"/>
          <w:b/>
          <w:bCs/>
          <w:color w:val="123A5F"/>
          <w:sz w:val="32"/>
          <w:szCs w:val="32"/>
        </w:rPr>
        <w:t>Dimensionnement</w:t>
      </w:r>
    </w:p>
    <w:p>
      <w:pPr>
        <w:pStyle w:val="Normal"/>
        <w:spacing w:lineRule="auto" w:line="288" w:before="0" w:after="160"/>
        <w:jc w:val="left"/>
        <w:rPr/>
      </w:pPr>
      <w:r>
        <w:rPr>
          <w:rFonts w:eastAsia="Open Sans" w:cs="Open Sans"/>
          <w:color w:val="2C3E50"/>
          <w:sz w:val="22"/>
          <w:szCs w:val="22"/>
        </w:rPr>
        <w:t>CortexSkills fonctionne comme un seul processus Node.js avec une base de données intégrée. Il se dimensionne en hauteur (un serveur plus puissant), pas en largeur. Les tailles ci-dessous sont des recommandations pour des utilisateurs actifs au même moment ; surveillez le serveur et ajustez.</w:t>
      </w:r>
    </w:p>
    <w:tbl>
      <w:tblPr>
        <w:tblW w:w="9638" w:type="dxa"/>
        <w:jc w:val="left"/>
        <w:tblInd w:w="0" w:type="dxa"/>
        <w:tblLayout w:type="fixed"/>
        <w:tblCellMar>
          <w:top w:w="70" w:type="dxa"/>
          <w:left w:w="110" w:type="dxa"/>
          <w:bottom w:w="70" w:type="dxa"/>
          <w:right w:w="110" w:type="dxa"/>
        </w:tblCellMar>
      </w:tblPr>
      <w:tblGrid>
        <w:gridCol w:w="1878"/>
        <w:gridCol w:w="890"/>
        <w:gridCol w:w="1186"/>
        <w:gridCol w:w="1285"/>
        <w:gridCol w:w="4399"/>
      </w:tblGrid>
      <w:tr>
        <w:trPr>
          <w:tblHeader w:val="true"/>
          <w:cantSplit w:val="true"/>
        </w:trPr>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Utilisateurs (total)</w:t>
            </w:r>
          </w:p>
        </w:tc>
        <w:tc>
          <w:tcPr>
            <w:tcW w:w="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vCPU</w:t>
            </w:r>
          </w:p>
        </w:tc>
        <w:tc>
          <w:tcPr>
            <w:tcW w:w="1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Mémoire</w:t>
            </w:r>
          </w:p>
        </w:tc>
        <w:tc>
          <w:tcPr>
            <w:tcW w:w="1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Disque SSD</w:t>
            </w:r>
          </w:p>
        </w:tc>
        <w:tc>
          <w:tcPr>
            <w:tcW w:w="4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Exemple</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jusqu’à 500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B2ms · AWS t3.medium · GCP e2-medium</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500 – 3 000</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c>
          <w:tcPr>
            <w:tcW w:w="1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 GB</w:t>
            </w:r>
          </w:p>
        </w:tc>
        <w:tc>
          <w:tcPr>
            <w:tcW w:w="1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100 GB</w:t>
            </w:r>
          </w:p>
        </w:tc>
        <w:tc>
          <w:tcPr>
            <w:tcW w:w="4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Azure D4s v5 · AWS m6i.xlarge · GCP e2-standard-4</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3 000 – 10 000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D8s v5 · AWS m6i.2xlarge · GCP e2-standard-8</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Espace disque</w:t>
            </w:r>
          </w:p>
          <w:p>
            <w:pPr>
              <w:pStyle w:val="Normal"/>
              <w:spacing w:lineRule="auto" w:line="288" w:before="0" w:after="60"/>
              <w:jc w:val="left"/>
              <w:rPr/>
            </w:pPr>
            <w:r>
              <w:rPr>
                <w:rFonts w:eastAsia="Open Sans" w:cs="Open Sans"/>
                <w:color w:val="2C3E50"/>
                <w:sz w:val="21"/>
                <w:szCs w:val="21"/>
              </w:rPr>
              <w:t>Prévoyez le disque pour le dossier de données (base + fichiers joints + 30 jours de sauvegardes quotidiennes). Une base de 1 Go avec 30 sauvegardes demande environ 31 Go. Placez le dossier de données sur un disque sauvegardé ou pris en instantané.</w:t>
            </w:r>
          </w:p>
        </w:tc>
      </w:tr>
    </w:tbl>
    <w:p>
      <w:pPr>
        <w:pStyle w:val="Heading2"/>
        <w:keepNext w:val="true"/>
        <w:spacing w:before="320" w:after="120"/>
        <w:rPr/>
      </w:pPr>
      <w:bookmarkStart w:id="6" w:name="__RefHeading___Toc5263_3373283034"/>
      <w:bookmarkEnd w:id="6"/>
      <w:r>
        <w:rPr>
          <w:rFonts w:eastAsia="Montserrat" w:cs="Montserrat"/>
          <w:b/>
          <w:bCs/>
          <w:color w:val="123A5F"/>
          <w:sz w:val="32"/>
          <w:szCs w:val="32"/>
        </w:rPr>
        <w:t>Préparation propre au cloud</w:t>
      </w:r>
    </w:p>
    <w:tbl>
      <w:tblPr>
        <w:tblW w:w="9638" w:type="dxa"/>
        <w:jc w:val="left"/>
        <w:tblInd w:w="0" w:type="dxa"/>
        <w:tblLayout w:type="fixed"/>
        <w:tblCellMar>
          <w:top w:w="70" w:type="dxa"/>
          <w:left w:w="110" w:type="dxa"/>
          <w:bottom w:w="70" w:type="dxa"/>
          <w:right w:w="110" w:type="dxa"/>
        </w:tblCellMar>
      </w:tblPr>
      <w:tblGrid>
        <w:gridCol w:w="2571"/>
        <w:gridCol w:w="7066"/>
      </w:tblGrid>
      <w:tr>
        <w:trPr>
          <w:tblHeader w:val="true"/>
          <w:cantSplit w:val="true"/>
        </w:trPr>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Plateforme</w:t>
            </w:r>
          </w:p>
        </w:tc>
        <w:tc>
          <w:tcPr>
            <w:tcW w:w="7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qu’il faut préparer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Microsoft Azure</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VM Linux (Ubuntu 24.04), un disque de données SSD Premium monté sur /var/lib/cortexskills, un groupe de sécurité réseau autorisant 443 (et 80 pour Let’s Encrypt), Azure Backup sur la VM, un partage Azure Files monté pour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AWS</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instance EC2 (Ubuntu 24.04), un volume EBS gp3 pour /var/lib/cortexskills, un groupe de sécurité autorisant 443/80, des instantanés EBS avec Data Lifecycle Manager, un compartiment S3 monté (Mountpoint for S3) ou EFS pour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Google Cloud</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VM Compute Engine, un disque persistant SSD, une règle de pare-feu pour 443/80, des planifications d’instantanés, un partage Filestore ou un bucket Cloud Storage (gcsfuse) pour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Cloud privé (VMware, Nutanix, OpenStack, Hyper-V)</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VM depuis le modèle Ubuntu ou RHEL, un enregistrement DNS interne, un certificat de l’autorité de l’entreprise, la VM dans la politique de sauvegarde, un partage NFS/SMB pour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Sur site</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Comme le cloud privé. Sous Windows Server, suivez le chapitre 4 au lieu du chapitre 3.</w:t>
            </w:r>
          </w:p>
        </w:tc>
      </w:tr>
    </w:tbl>
    <w:p>
      <w:pPr>
        <w:pStyle w:val="Heading2"/>
        <w:keepNext w:val="true"/>
        <w:spacing w:before="320" w:after="120"/>
        <w:rPr/>
      </w:pPr>
      <w:bookmarkStart w:id="7" w:name="__RefHeading___Toc5265_3373283034"/>
      <w:bookmarkEnd w:id="7"/>
      <w:r>
        <w:rPr>
          <w:rFonts w:eastAsia="Montserrat" w:cs="Montserrat"/>
          <w:b/>
          <w:bCs/>
          <w:color w:val="123A5F"/>
          <w:sz w:val="32"/>
          <w:szCs w:val="32"/>
        </w:rPr>
        <w:t>Ce que vous recevez de l’éditeur</w:t>
      </w:r>
    </w:p>
    <w:tbl>
      <w:tblPr>
        <w:tblW w:w="9638" w:type="dxa"/>
        <w:jc w:val="left"/>
        <w:tblInd w:w="0" w:type="dxa"/>
        <w:tblLayout w:type="fixed"/>
        <w:tblCellMar>
          <w:top w:w="70" w:type="dxa"/>
          <w:left w:w="110" w:type="dxa"/>
          <w:bottom w:w="70" w:type="dxa"/>
          <w:right w:w="110" w:type="dxa"/>
        </w:tblCellMar>
      </w:tblPr>
      <w:tblGrid>
        <w:gridCol w:w="2965"/>
        <w:gridCol w:w="6672"/>
      </w:tblGrid>
      <w:tr>
        <w:trPr>
          <w:tblHeader w:val="true"/>
          <w:cantSplit w:val="true"/>
        </w:trPr>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Fichier</w:t>
            </w:r>
          </w:p>
        </w:tc>
        <w:tc>
          <w:tcPr>
            <w:tcW w:w="6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CortexSkills-app.zip</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L’application : server, web/dist (écrans construits), deploy (exemples de configuration)</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vendor-public.pem</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clé publique de l’éditeur (vérifie la signature de la licence)</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&lt;société&gt;.lic (plus tard)</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fichier de licence signé, après l’envoi de l’identifiant d’organisation (chapitre 5)</w:t>
            </w:r>
          </w:p>
        </w:tc>
      </w:tr>
    </w:tbl>
    <w:p>
      <w:pPr>
        <w:pStyle w:val="Heading1"/>
        <w:pBdr>
          <w:bottom w:val="single" w:sz="6" w:space="6" w:color="E1E8F0"/>
        </w:pBdr>
        <w:spacing w:before="0" w:after="240"/>
        <w:rPr/>
      </w:pPr>
      <w:r>
        <w:br w:type="page"/>
      </w:r>
      <w:bookmarkStart w:id="8" w:name="__RefHeading___Toc5267_3373283034"/>
      <w:bookmarkEnd w:id="8"/>
      <w:r>
        <w:rPr>
          <w:rFonts w:eastAsia="Montserrat" w:cs="Montserrat"/>
          <w:b/>
          <w:bCs/>
          <w:color w:val="123A5F"/>
          <w:sz w:val="40"/>
          <w:szCs w:val="40"/>
        </w:rPr>
        <w:t>3. Installer sous Linux (côté serveur)</w:t>
      </w:r>
    </w:p>
    <w:p>
      <w:pPr>
        <w:pStyle w:val="Normal"/>
        <w:spacing w:lineRule="auto" w:line="288" w:before="0" w:after="160"/>
        <w:jc w:val="left"/>
        <w:rPr/>
      </w:pPr>
      <w:r>
        <w:rPr>
          <w:rFonts w:eastAsia="Open Sans" w:cs="Open Sans"/>
          <w:color w:val="2C3E50"/>
          <w:sz w:val="22"/>
          <w:szCs w:val="22"/>
        </w:rPr>
        <w:t>Les commandes ci-dessous sont pour Ubuntu Server ; sous RHEL utilisez dnf au lieu de apt-get. Tapez-les une à une.</w:t>
      </w:r>
    </w:p>
    <w:p>
      <w:pPr>
        <w:pStyle w:val="Heading2"/>
        <w:keepNext w:val="true"/>
        <w:spacing w:before="320" w:after="120"/>
        <w:rPr/>
      </w:pPr>
      <w:bookmarkStart w:id="9" w:name="__RefHeading___Toc5269_3373283034"/>
      <w:bookmarkEnd w:id="9"/>
      <w:r>
        <w:rPr>
          <w:rFonts w:eastAsia="Montserrat" w:cs="Montserrat"/>
          <w:b/>
          <w:bCs/>
          <w:color w:val="123A5F"/>
          <w:sz w:val="32"/>
          <w:szCs w:val="32"/>
        </w:rPr>
        <w:t>Étape 1 — Installer Node.js 22 LTS</w:t>
      </w:r>
    </w:p>
    <w:p>
      <w:pPr>
        <w:pStyle w:val="Normal"/>
        <w:spacing w:lineRule="auto" w:line="288" w:before="0" w:after="160"/>
        <w:jc w:val="left"/>
        <w:rPr/>
      </w:pPr>
      <w:r>
        <w:rPr>
          <w:rFonts w:eastAsia="Open Sans" w:cs="Open Sans"/>
          <w:color w:val="2C3E50"/>
          <w:sz w:val="22"/>
          <w:szCs w:val="22"/>
        </w:rPr>
        <w:t>Connectez-vous au serveur en SSH avec un utilisateur disposant des droits sudo, puis tapez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https://deb.nodesource.com/setup_22.x | sudo -E bash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nodejs unzip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w:t>
      </w:r>
    </w:p>
    <w:p>
      <w:pPr>
        <w:pStyle w:val="Normal"/>
        <w:spacing w:lineRule="auto" w:line="288" w:before="0" w:after="160"/>
        <w:jc w:val="left"/>
        <w:rPr/>
      </w:pPr>
      <w:r>
        <w:rPr>
          <w:rFonts w:eastAsia="Open Sans" w:cs="Open Sans"/>
          <w:color w:val="2C3E50"/>
          <w:sz w:val="22"/>
          <w:szCs w:val="22"/>
        </w:rPr>
        <w:t>La dernière commande doit afficher v22.13 ou plus.</w:t>
      </w:r>
    </w:p>
    <w:p>
      <w:pPr>
        <w:pStyle w:val="Heading2"/>
        <w:keepNext w:val="true"/>
        <w:spacing w:before="320" w:after="120"/>
        <w:rPr/>
      </w:pPr>
      <w:bookmarkStart w:id="10" w:name="__RefHeading___Toc5271_3373283034"/>
      <w:bookmarkEnd w:id="10"/>
      <w:r>
        <w:rPr>
          <w:rFonts w:eastAsia="Montserrat" w:cs="Montserrat"/>
          <w:b/>
          <w:bCs/>
          <w:color w:val="123A5F"/>
          <w:sz w:val="32"/>
          <w:szCs w:val="32"/>
        </w:rPr>
        <w:t>Étape 2 — Créer le compte de service et les dossiers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useradd --system --home /opt/cortexskills --shell /usr/sbin/nologin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/var/lib/cortexskills /var/log/cortexskills</w:t>
      </w:r>
    </w:p>
    <w:p>
      <w:pPr>
        <w:pStyle w:val="Heading2"/>
        <w:keepNext w:val="true"/>
        <w:spacing w:before="320" w:after="120"/>
        <w:rPr/>
      </w:pPr>
      <w:bookmarkStart w:id="11" w:name="__RefHeading___Toc5273_3373283034"/>
      <w:bookmarkEnd w:id="11"/>
      <w:r>
        <w:rPr>
          <w:rFonts w:eastAsia="Montserrat" w:cs="Montserrat"/>
          <w:b/>
          <w:bCs/>
          <w:color w:val="123A5F"/>
          <w:sz w:val="32"/>
          <w:szCs w:val="32"/>
        </w:rPr>
        <w:t>Étape 3 — Copier et décompresser l’application</w:t>
      </w:r>
    </w:p>
    <w:p>
      <w:pPr>
        <w:pStyle w:val="Normal"/>
        <w:spacing w:lineRule="auto" w:line="288" w:before="0" w:after="160"/>
        <w:jc w:val="left"/>
        <w:rPr/>
      </w:pPr>
      <w:r>
        <w:rPr>
          <w:rFonts w:eastAsia="Open Sans" w:cs="Open Sans"/>
          <w:color w:val="2C3E50"/>
          <w:sz w:val="22"/>
          <w:szCs w:val="22"/>
        </w:rPr>
        <w:t>Copiez CortexSkills-app.zip sur le serveur (par exemple avec scp ou WinSCP), puis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/tmp &amp;&amp; unzip -q CortexSkills-app.zip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-r /tmp/CortexSkills/. /opt/cortexskills/</w:t>
      </w:r>
    </w:p>
    <w:p>
      <w:pPr>
        <w:pStyle w:val="Normal"/>
        <w:spacing w:lineRule="auto" w:line="288" w:before="0" w:after="160"/>
        <w:jc w:val="left"/>
        <w:rPr/>
      </w:pPr>
      <w:r>
        <w:rPr>
          <w:rFonts w:eastAsia="Open Sans" w:cs="Open Sans"/>
          <w:color w:val="2C3E50"/>
          <w:sz w:val="22"/>
          <w:szCs w:val="22"/>
        </w:rPr>
        <w:t>Le dossier contient maintenant server (l’application et ses outils), web/dist (les écrans, déjà construits) et deploy (les fichiers de configuration utilisés dans ce guide).</w:t>
      </w:r>
    </w:p>
    <w:p>
      <w:pPr>
        <w:pStyle w:val="Heading2"/>
        <w:keepNext w:val="true"/>
        <w:spacing w:before="320" w:after="120"/>
        <w:rPr/>
      </w:pPr>
      <w:bookmarkStart w:id="12" w:name="__RefHeading___Toc5275_3373283034"/>
      <w:bookmarkEnd w:id="12"/>
      <w:r>
        <w:rPr>
          <w:rFonts w:eastAsia="Montserrat" w:cs="Montserrat"/>
          <w:b/>
          <w:bCs/>
          <w:color w:val="123A5F"/>
          <w:sz w:val="32"/>
          <w:szCs w:val="32"/>
        </w:rPr>
        <w:t>Étape 4 — Installer les composants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npm ci --omit=dev</w:t>
      </w:r>
    </w:p>
    <w:p>
      <w:pPr>
        <w:pStyle w:val="Normal"/>
        <w:spacing w:lineRule="auto" w:line="288" w:before="0" w:after="160"/>
        <w:jc w:val="left"/>
        <w:rPr/>
      </w:pPr>
      <w:r>
        <w:rPr>
          <w:rFonts w:eastAsia="Open Sans" w:cs="Open Sans"/>
          <w:color w:val="2C3E50"/>
          <w:sz w:val="22"/>
          <w:szCs w:val="22"/>
        </w:rPr>
        <w:t>Cette commande télécharge les composants listés dans package-lock.json (1 à 3 minutes). Le serveur a besoin d’un accès Internet au registre npm uniquement pour cette étape ; pour un serveur sans Internet, voir « Installer sans accès Internet ».</w:t>
      </w:r>
    </w:p>
    <w:p>
      <w:pPr>
        <w:pStyle w:val="Heading2"/>
        <w:keepNext w:val="true"/>
        <w:spacing w:before="320" w:after="120"/>
        <w:rPr/>
      </w:pPr>
      <w:bookmarkStart w:id="13" w:name="__RefHeading___Toc5277_3373283034"/>
      <w:bookmarkEnd w:id="13"/>
      <w:r>
        <w:rPr>
          <w:rFonts w:eastAsia="Montserrat" w:cs="Montserrat"/>
          <w:b/>
          <w:bCs/>
          <w:color w:val="123A5F"/>
          <w:sz w:val="32"/>
          <w:szCs w:val="32"/>
        </w:rPr>
        <w:t>Étape 5 — Écrire le fichier de configuration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/opt/cortexskills/deploy/env.production.example /opt/cortexskills/server/.env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npm run -s secrets</w:t>
      </w:r>
    </w:p>
    <w:p>
      <w:pPr>
        <w:pStyle w:val="Normal"/>
        <w:spacing w:lineRule="auto" w:line="288" w:before="0" w:after="160"/>
        <w:jc w:val="left"/>
        <w:rPr/>
      </w:pPr>
      <w:r>
        <w:rPr>
          <w:rFonts w:eastAsia="Open Sans" w:cs="Open Sans"/>
          <w:color w:val="2C3E50"/>
          <w:sz w:val="22"/>
          <w:szCs w:val="22"/>
        </w:rPr>
        <w:t>La seconde commande affiche trois nouveaux secrets aléatoires. Ouvrez le fichier .env (sudo nano .env) et remplissez-le comme ci-dessous :</w:t>
      </w:r>
    </w:p>
    <w:tbl>
      <w:tblPr>
        <w:tblW w:w="9638" w:type="dxa"/>
        <w:jc w:val="left"/>
        <w:tblInd w:w="0" w:type="dxa"/>
        <w:tblLayout w:type="fixed"/>
        <w:tblCellMar>
          <w:top w:w="70" w:type="dxa"/>
          <w:left w:w="110" w:type="dxa"/>
          <w:bottom w:w="70" w:type="dxa"/>
          <w:right w:w="110" w:type="dxa"/>
        </w:tblCellMar>
      </w:tblPr>
      <w:tblGrid>
        <w:gridCol w:w="3856"/>
        <w:gridCol w:w="5781"/>
      </w:tblGrid>
      <w:tr>
        <w:trPr>
          <w:tblHeader w:val="true"/>
          <w:cantSplit w:val="true"/>
        </w:trPr>
        <w:tc>
          <w:tcPr>
            <w:tcW w:w="3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Paramètre</w:t>
            </w:r>
          </w:p>
        </w:tc>
        <w:tc>
          <w:tcPr>
            <w:tcW w:w="5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NODE_ENV</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production</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DEPLOYMENT_MODE</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onprem</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 CORS_ORIGIN</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https://skills.customer.com</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TRUST_PROXY</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loopback (le proxy inverse est sur le même serveur)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les valeurs affichées par npm run secrets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LICENSE_HMAC_SECRET</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laisser vide (non utilisé : la licence est un fichier signé par l’éditeur)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DATA_DIR</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/var/lib/cortexskills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BACKUP_RETENTION_DAYS / BACKUP_COPY_DIR</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 un dossier monté sur une autre machine ou un stockage cloud</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premier administrateur de la plateforme (utilisé une fois par npm run init)</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SMTP_HOST, SMTP_PORT, SMTP_USER, SMTP_PASS, SMTP_FROM</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serveur de messagerie de la plateforme (invitations, relances)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WHATSAPP_*</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optionnel : API WhatsApp Business Cloud</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Protégez les secrets</w:t>
            </w:r>
          </w:p>
          <w:p>
            <w:pPr>
              <w:pStyle w:val="Normal"/>
              <w:spacing w:lineRule="auto" w:line="288" w:before="0" w:after="60"/>
              <w:jc w:val="left"/>
              <w:rPr/>
            </w:pPr>
            <w:r>
              <w:rPr>
                <w:rFonts w:eastAsia="Open Sans" w:cs="Open Sans"/>
                <w:color w:val="2C3E50"/>
                <w:sz w:val="21"/>
                <w:szCs w:val="21"/>
              </w:rPr>
              <w:t>Conservez une copie du fichier .env dans votre coffre-fort de mots de passe. Changer JWT_SECRET déconnecte tous les utilisateurs ; changer CHANNEL_SECRET_KEY rend illisibles les mots de passe des canaux enregistrés.</w:t>
            </w:r>
          </w:p>
        </w:tc>
      </w:tr>
    </w:tbl>
    <w:p>
      <w:pPr>
        <w:pStyle w:val="Heading2"/>
        <w:keepNext w:val="true"/>
        <w:spacing w:before="320" w:after="120"/>
        <w:rPr/>
      </w:pPr>
      <w:bookmarkStart w:id="14" w:name="__RefHeading___Toc5279_3373283034"/>
      <w:bookmarkEnd w:id="14"/>
      <w:r>
        <w:rPr>
          <w:rFonts w:eastAsia="Montserrat" w:cs="Montserrat"/>
          <w:b/>
          <w:bCs/>
          <w:color w:val="123A5F"/>
          <w:sz w:val="32"/>
          <w:szCs w:val="32"/>
        </w:rPr>
        <w:t>Étape 6 — Déposer la clé publique de l’éditeur</w:t>
      </w:r>
    </w:p>
    <w:p>
      <w:pPr>
        <w:pStyle w:val="Normal"/>
        <w:spacing w:lineRule="auto" w:line="288" w:before="0" w:after="160"/>
        <w:jc w:val="left"/>
        <w:rPr/>
      </w:pPr>
      <w:r>
        <w:rPr>
          <w:rFonts w:eastAsia="Open Sans" w:cs="Open Sans"/>
          <w:color w:val="2C3E50"/>
          <w:sz w:val="22"/>
          <w:szCs w:val="22"/>
        </w:rPr>
        <w:t>L’éditeur envoie vendor-public.pem avec la licence. Elle permet au serveur de vérifier que le fichier de licence a été signé par l’éditeur et n’a pas été modifié.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/opt/cortexskills/server/tools/keys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vendor-public.pem /opt/cortexskills/server/tools/keys/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Jamais la clé privée</w:t>
            </w:r>
          </w:p>
          <w:p>
            <w:pPr>
              <w:pStyle w:val="Normal"/>
              <w:spacing w:lineRule="auto" w:line="288" w:before="0" w:after="60"/>
              <w:jc w:val="left"/>
              <w:rPr/>
            </w:pPr>
            <w:r>
              <w:rPr>
                <w:rFonts w:eastAsia="Open Sans" w:cs="Open Sans"/>
                <w:color w:val="2C3E50"/>
                <w:sz w:val="21"/>
                <w:szCs w:val="21"/>
              </w:rPr>
              <w:t>Seule la clé publique va sur le serveur du client. Si un fichier vendor-private.pem est présent dans tools/keys, le serveur refuse de démarrer.</w:t>
            </w:r>
          </w:p>
        </w:tc>
      </w:tr>
    </w:tbl>
    <w:p>
      <w:pPr>
        <w:pStyle w:val="Heading2"/>
        <w:keepNext w:val="true"/>
        <w:spacing w:before="320" w:after="120"/>
        <w:rPr/>
      </w:pPr>
      <w:bookmarkStart w:id="15" w:name="__RefHeading___Toc5281_3373283034"/>
      <w:bookmarkEnd w:id="15"/>
      <w:r>
        <w:rPr>
          <w:rFonts w:eastAsia="Montserrat" w:cs="Montserrat"/>
          <w:b/>
          <w:bCs/>
          <w:color w:val="123A5F"/>
          <w:sz w:val="32"/>
          <w:szCs w:val="32"/>
        </w:rPr>
        <w:t>Étape 7 — Créer la base de 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chown -R cortexskills:cortexskills /opt/cortexskills /var/lib/cortexskills /var/log/cortexskills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init</w:t>
      </w:r>
    </w:p>
    <w:p>
      <w:pPr>
        <w:pStyle w:val="Normal"/>
        <w:spacing w:lineRule="auto" w:line="288" w:before="0" w:after="160"/>
        <w:jc w:val="left"/>
        <w:rPr/>
      </w:pPr>
      <w:r>
        <w:rPr>
          <w:rFonts w:eastAsia="Open Sans" w:cs="Open Sans"/>
          <w:color w:val="2C3E50"/>
          <w:sz w:val="22"/>
          <w:szCs w:val="22"/>
        </w:rPr>
        <w:t>npm run init construit le catalogue de référence (conception des processus, packs, secteurs, modèles de documents), crée l’administrateur de la plateforme à partir de ADMIN_EMAIL / ADMIN_PASSWORD et réalise une première sauvegarde. Elle ne contient ni données de démonstration ni organisation cliente. Elle prend quelques secondes et affiche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Production database ready in 1 s: reference catalog, 261 library records, no organization.</w:t>
      </w:r>
    </w:p>
    <w:p>
      <w:pPr>
        <w:pStyle w:val="ListParagraph"/>
        <w:numPr>
          <w:ilvl w:val="0"/>
          <w:numId w:val="11"/>
        </w:numPr>
        <w:spacing w:lineRule="auto" w:line="288" w:before="0" w:after="80"/>
        <w:rPr/>
      </w:pPr>
      <w:r>
        <w:rPr>
          <w:rFonts w:eastAsia="Open Sans" w:cs="Open Sans"/>
          <w:color w:val="2C3E50"/>
          <w:sz w:val="22"/>
          <w:szCs w:val="22"/>
        </w:rPr>
        <w:t>Le mot de passe doit comporter au moins 12 caractères, avec majuscules, minuscules, un chiffre et un symbole ; sinon init s’arrête et indique pourquoi.</w:t>
      </w:r>
    </w:p>
    <w:p>
      <w:pPr>
        <w:pStyle w:val="ListParagraph"/>
        <w:numPr>
          <w:ilvl w:val="0"/>
          <w:numId w:val="1"/>
        </w:numPr>
        <w:spacing w:lineRule="auto" w:line="288" w:before="0" w:after="80"/>
        <w:rPr/>
      </w:pPr>
      <w:r>
        <w:rPr>
          <w:rFonts w:eastAsia="Open Sans" w:cs="Open Sans"/>
          <w:color w:val="2C3E50"/>
          <w:sz w:val="22"/>
          <w:szCs w:val="22"/>
        </w:rPr>
        <w:t>Supprimez ensuite la ligne ADMIN_PASSWORD du fichier .env.</w:t>
      </w:r>
    </w:p>
    <w:p>
      <w:pPr>
        <w:pStyle w:val="ListParagraph"/>
        <w:numPr>
          <w:ilvl w:val="0"/>
          <w:numId w:val="1"/>
        </w:numPr>
        <w:spacing w:lineRule="auto" w:line="288" w:before="0" w:after="80"/>
        <w:rPr/>
      </w:pPr>
      <w:r>
        <w:rPr>
          <w:rFonts w:eastAsia="Open Sans" w:cs="Open Sans"/>
          <w:color w:val="2C3E50"/>
          <w:sz w:val="22"/>
          <w:szCs w:val="22"/>
        </w:rPr>
        <w:t>npm run init refuse de s’exécuter sur une base qui contient déjà des organisations. npm run seed (données de démonstration) est désactivé en production.</w:t>
      </w:r>
    </w:p>
    <w:p>
      <w:pPr>
        <w:pStyle w:val="Heading2"/>
        <w:keepNext w:val="true"/>
        <w:spacing w:before="320" w:after="120"/>
        <w:rPr/>
      </w:pPr>
      <w:bookmarkStart w:id="16" w:name="__RefHeading___Toc5283_3373283034"/>
      <w:bookmarkEnd w:id="16"/>
      <w:r>
        <w:rPr>
          <w:rFonts w:eastAsia="Montserrat" w:cs="Montserrat"/>
          <w:b/>
          <w:bCs/>
          <w:color w:val="123A5F"/>
          <w:sz w:val="32"/>
          <w:szCs w:val="32"/>
        </w:rPr>
        <w:t>Étape 8 — Exécuter CortexSkills comme service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/opt/cortexskills/deploy/cortexskills.service /etc/systemd/system/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daemon-reload &amp;&amp; sudo systemctl enable --now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status cortexskills</w:t>
      </w:r>
    </w:p>
    <w:p>
      <w:pPr>
        <w:pStyle w:val="Normal"/>
        <w:spacing w:lineRule="auto" w:line="288" w:before="0" w:after="160"/>
        <w:jc w:val="left"/>
        <w:rPr/>
      </w:pPr>
      <w:r>
        <w:rPr>
          <w:rFonts w:eastAsia="Open Sans" w:cs="Open Sans"/>
          <w:color w:val="2C3E50"/>
          <w:sz w:val="22"/>
          <w:szCs w:val="22"/>
        </w:rPr>
        <w:t>Le service démarre avec le serveur, redémarre automatiquement après un incident et écrit son journal dans /var/log/cortexskills. Les premières lignes du journal indiquent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API is running on http://localhost:4000  (mode: onprem, 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 the application at https://skills.customer.com.</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Contrôle de sécurité au démarrage</w:t>
            </w:r>
          </w:p>
          <w:p>
            <w:pPr>
              <w:pStyle w:val="Normal"/>
              <w:spacing w:lineRule="auto" w:line="288" w:before="0" w:after="60"/>
              <w:jc w:val="left"/>
              <w:rPr/>
            </w:pPr>
            <w:r>
              <w:rPr>
                <w:rFonts w:eastAsia="Open Sans" w:cs="Open Sans"/>
                <w:color w:val="2C3E50"/>
                <w:sz w:val="21"/>
                <w:szCs w:val="21"/>
              </w:rPr>
              <w:t>En production, le serveur refuse de démarrer tant qu’un paramètre n’est pas sûr et liste chaque problème avec sa correction : secret absent ou de développement, même valeur pour deux secrets, adresse publique non https://, CORS_ORIGIN=*, données de démonstration, clé publique de l’éditeur absente ou clé privée de l’éditeur présente sur le serveur.</w:t>
            </w:r>
          </w:p>
          <w:p>
            <w:pPr>
              <w:pStyle w:val="Normal"/>
              <w:spacing w:lineRule="auto" w:line="288" w:before="0" w:after="60"/>
              <w:jc w:val="left"/>
              <w:rPr/>
            </w:pPr>
            <w:r>
              <w:rPr>
                <w:rFonts w:eastAsia="Open Sans" w:cs="Open Sans"/>
                <w:color w:val="2C3E50"/>
                <w:sz w:val="21"/>
                <w:szCs w:val="21"/>
              </w:rPr>
              <w:t>Lisez la raison avec : sudo tail -n 20 /var/log/cortexskills/cortexskills-error.log</w:t>
            </w:r>
          </w:p>
        </w:tc>
      </w:tr>
    </w:tbl>
    <w:p>
      <w:pPr>
        <w:pStyle w:val="Heading2"/>
        <w:keepNext w:val="true"/>
        <w:spacing w:before="320" w:after="120"/>
        <w:rPr/>
      </w:pPr>
      <w:bookmarkStart w:id="17" w:name="__RefHeading___Toc5285_3373283034"/>
      <w:bookmarkEnd w:id="17"/>
      <w:r>
        <w:rPr>
          <w:rFonts w:eastAsia="Montserrat" w:cs="Montserrat"/>
          <w:b/>
          <w:bCs/>
          <w:color w:val="123A5F"/>
          <w:sz w:val="32"/>
          <w:szCs w:val="32"/>
        </w:rPr>
        <w:t>Étape 9 — Publier en HTTPS</w:t>
      </w:r>
    </w:p>
    <w:p>
      <w:pPr>
        <w:pStyle w:val="Heading3"/>
        <w:keepNext w:val="true"/>
        <w:spacing w:before="240" w:after="80"/>
        <w:rPr/>
      </w:pPr>
      <w:bookmarkStart w:id="18" w:name="__RefHeading___Toc5287_3373283034"/>
      <w:bookmarkEnd w:id="18"/>
      <w:r>
        <w:rPr>
          <w:rFonts w:eastAsia="Montserrat" w:cs="Montserrat"/>
          <w:b/>
          <w:bCs/>
          <w:color w:val="123A5F"/>
          <w:sz w:val="26"/>
          <w:szCs w:val="26"/>
        </w:rPr>
        <w:t>Option A — Nginx avec Let’s Encrypt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skills.customer.com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/opt/cortexskills/deploy/nginx-cortexskills.conf /etc/nginx/sites-available/cortexskills</w:t>
      </w:r>
    </w:p>
    <w:p>
      <w:pPr>
        <w:pStyle w:val="Normal"/>
        <w:spacing w:lineRule="auto" w:line="288" w:before="0" w:after="160"/>
        <w:jc w:val="left"/>
        <w:rPr/>
      </w:pPr>
      <w:r>
        <w:rPr>
          <w:rFonts w:eastAsia="Open Sans" w:cs="Open Sans"/>
          <w:color w:val="2C3E50"/>
          <w:sz w:val="22"/>
          <w:szCs w:val="22"/>
        </w:rPr>
        <w:t>Remplacez skills.example.com par skills.customer.com dans le fichier, puis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ln -s /etc/nginx/sites-available/cortexskills /etc/nginx/sites-enabled/ &amp;&amp; sudo nginx -t &amp;&amp; sudo systemctl reload nginx</w:t>
      </w:r>
    </w:p>
    <w:p>
      <w:pPr>
        <w:pStyle w:val="Heading3"/>
        <w:keepNext w:val="true"/>
        <w:spacing w:before="240" w:after="80"/>
        <w:rPr/>
      </w:pPr>
      <w:bookmarkStart w:id="19" w:name="__RefHeading___Toc5289_3373283034"/>
      <w:bookmarkEnd w:id="19"/>
      <w:r>
        <w:rPr>
          <w:rFonts w:eastAsia="Montserrat" w:cs="Montserrat"/>
          <w:b/>
          <w:bCs/>
          <w:color w:val="123A5F"/>
          <w:sz w:val="26"/>
          <w:szCs w:val="26"/>
        </w:rPr>
        <w:t>Option B — Caddy (certificat automatique)</w:t>
      </w:r>
    </w:p>
    <w:p>
      <w:pPr>
        <w:pStyle w:val="Normal"/>
        <w:spacing w:lineRule="auto" w:line="288" w:before="0" w:after="160"/>
        <w:jc w:val="left"/>
        <w:rPr/>
      </w:pPr>
      <w:r>
        <w:rPr>
          <w:rFonts w:eastAsia="Open Sans" w:cs="Open Sans"/>
          <w:color w:val="2C3E50"/>
          <w:sz w:val="22"/>
          <w:szCs w:val="22"/>
        </w:rPr>
        <w:t>Installez Caddy (caddyserver.com), copiez deploy/Caddyfile vers /etc/caddy/Caddyfile, remplacez l’adresse par skills.customer.com et lancez sudo systemctl reload caddy. Caddy obtient et renouvelle le certificat lui-même.</w:t>
      </w:r>
    </w:p>
    <w:p>
      <w:pPr>
        <w:pStyle w:val="Heading3"/>
        <w:keepNext w:val="true"/>
        <w:spacing w:before="240" w:after="80"/>
        <w:rPr/>
      </w:pPr>
      <w:bookmarkStart w:id="20" w:name="__RefHeading___Toc5291_3373283034"/>
      <w:bookmarkEnd w:id="20"/>
      <w:r>
        <w:rPr>
          <w:rFonts w:eastAsia="Montserrat" w:cs="Montserrat"/>
          <w:b/>
          <w:bCs/>
          <w:color w:val="123A5F"/>
          <w:sz w:val="26"/>
          <w:szCs w:val="26"/>
        </w:rPr>
        <w:t>Option C — Certificat de l’entreprise</w:t>
      </w:r>
    </w:p>
    <w:p>
      <w:pPr>
        <w:pStyle w:val="Normal"/>
        <w:spacing w:lineRule="auto" w:line="288" w:before="0" w:after="160"/>
        <w:jc w:val="left"/>
        <w:rPr/>
      </w:pPr>
      <w:r>
        <w:rPr>
          <w:rFonts w:eastAsia="Open Sans" w:cs="Open Sans"/>
          <w:color w:val="2C3E50"/>
          <w:sz w:val="22"/>
          <w:szCs w:val="22"/>
        </w:rPr>
        <w:t>Avec un certificat de votre propre autorité de certification (fréquent en cloud privé et sur site), gardez le fichier Nginx et faites pointer ssl_certificate et ssl_certificate_key vers votre certificat (chaîne complète) et sa clé privée.</w:t>
      </w:r>
    </w:p>
    <w:p>
      <w:pPr>
        <w:pStyle w:val="Heading2"/>
        <w:keepNext w:val="true"/>
        <w:spacing w:before="320" w:after="120"/>
        <w:rPr/>
      </w:pPr>
      <w:bookmarkStart w:id="21" w:name="__RefHeading___Toc5293_3373283034"/>
      <w:bookmarkEnd w:id="21"/>
      <w:r>
        <w:rPr>
          <w:rFonts w:eastAsia="Montserrat" w:cs="Montserrat"/>
          <w:b/>
          <w:bCs/>
          <w:color w:val="123A5F"/>
          <w:sz w:val="32"/>
          <w:szCs w:val="32"/>
        </w:rPr>
        <w:t>Étape 10 — Vérifier l’installation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https://skills.customer.com/api/health</w:t>
      </w:r>
    </w:p>
    <w:p>
      <w:pPr>
        <w:pStyle w:val="Normal"/>
        <w:spacing w:lineRule="auto" w:line="288" w:before="0" w:after="160"/>
        <w:jc w:val="left"/>
        <w:rPr/>
      </w:pPr>
      <w:r>
        <w:rPr>
          <w:rFonts w:eastAsia="Open Sans" w:cs="Open Sans"/>
          <w:color w:val="2C3E50"/>
          <w:sz w:val="22"/>
          <w:szCs w:val="22"/>
        </w:rPr>
        <w:t>La réponse doit être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{"status":"ok","initialized":true,"mode":"onprem","version":"1.10.0"}</w:t>
      </w:r>
    </w:p>
    <w:p>
      <w:pPr>
        <w:pStyle w:val="Normal"/>
        <w:spacing w:lineRule="auto" w:line="288" w:before="0" w:after="160"/>
        <w:jc w:val="left"/>
        <w:rPr/>
      </w:pPr>
      <w:r>
        <w:rPr>
          <w:rFonts w:eastAsia="Open Sans" w:cs="Open Sans"/>
          <w:color w:val="2C3E50"/>
          <w:sz w:val="22"/>
          <w:szCs w:val="22"/>
        </w:rPr>
        <w:t>Ouvrez ensuite https://skills.customer.com dans un navigateur et connectez-vous avec le compte administrateur de la plateforme (ADMIN_EMAIL).</w:t>
      </w:r>
    </w:p>
    <w:p>
      <w:pPr>
        <w:pStyle w:val="Heading2"/>
        <w:keepNext w:val="true"/>
        <w:spacing w:before="320" w:after="120"/>
        <w:rPr/>
      </w:pPr>
      <w:bookmarkStart w:id="22" w:name="__RefHeading___Toc5295_3373283034"/>
      <w:bookmarkEnd w:id="22"/>
      <w:r>
        <w:rPr>
          <w:rFonts w:eastAsia="Montserrat" w:cs="Montserrat"/>
          <w:b/>
          <w:bCs/>
          <w:color w:val="123A5F"/>
          <w:sz w:val="32"/>
          <w:szCs w:val="32"/>
        </w:rPr>
        <w:t>Installer sans accès Internet</w:t>
      </w:r>
    </w:p>
    <w:p>
      <w:pPr>
        <w:pStyle w:val="Normal"/>
        <w:spacing w:lineRule="auto" w:line="288" w:before="0" w:after="160"/>
        <w:jc w:val="left"/>
        <w:rPr/>
      </w:pPr>
      <w:r>
        <w:rPr>
          <w:rFonts w:eastAsia="Open Sans" w:cs="Open Sans"/>
          <w:color w:val="2C3E50"/>
          <w:sz w:val="22"/>
          <w:szCs w:val="22"/>
        </w:rPr>
        <w:t>L’étape 4 (npm ci) a besoin du registre npm. Pour un serveur sans Internet (fréquent sur site) :</w:t>
      </w:r>
    </w:p>
    <w:p>
      <w:pPr>
        <w:pStyle w:val="ListParagraph"/>
        <w:numPr>
          <w:ilvl w:val="0"/>
          <w:numId w:val="12"/>
        </w:numPr>
        <w:spacing w:lineRule="auto" w:line="288" w:before="0" w:after="80"/>
        <w:rPr/>
      </w:pPr>
      <w:r>
        <w:rPr>
          <w:rFonts w:eastAsia="Open Sans" w:cs="Open Sans"/>
          <w:color w:val="2C3E50"/>
          <w:sz w:val="22"/>
          <w:szCs w:val="22"/>
        </w:rPr>
        <w:t>Sur une machine connectée avec le même système, le même type de processeur (x64 ou arm64) et Node.js 22, décompressez CortexSkills-app.zip et lancez npm ci --omit=dev dans le dossier server.</w:t>
      </w:r>
    </w:p>
    <w:p>
      <w:pPr>
        <w:pStyle w:val="ListParagraph"/>
        <w:numPr>
          <w:ilvl w:val="0"/>
          <w:numId w:val="2"/>
        </w:numPr>
        <w:spacing w:lineRule="auto" w:line="288" w:before="0" w:after="80"/>
        <w:rPr/>
      </w:pPr>
      <w:r>
        <w:rPr>
          <w:rFonts w:eastAsia="Open Sans" w:cs="Open Sans"/>
          <w:color w:val="2C3E50"/>
          <w:sz w:val="22"/>
          <w:szCs w:val="22"/>
        </w:rPr>
        <w:t>Compressez tout le dossier CortexSkills (avec server/node_modules) et copiez-le sur le serveur, avec l’installateur de Node.js 22 (nodejs.org, « Linux binaries » ou le .msi pour Windows).</w:t>
      </w:r>
    </w:p>
    <w:p>
      <w:pPr>
        <w:pStyle w:val="ListParagraph"/>
        <w:numPr>
          <w:ilvl w:val="0"/>
          <w:numId w:val="2"/>
        </w:numPr>
        <w:spacing w:lineRule="auto" w:line="288" w:before="0" w:after="80"/>
        <w:rPr/>
      </w:pPr>
      <w:r>
        <w:rPr>
          <w:rFonts w:eastAsia="Open Sans" w:cs="Open Sans"/>
          <w:color w:val="2C3E50"/>
          <w:sz w:val="22"/>
          <w:szCs w:val="22"/>
        </w:rPr>
        <w:t>Poursuivez à l’étape 5. Le système doit correspondre car un composant (le moteur d’images des graphiques des documents) fournit un fichier compilé par système.</w:t>
      </w:r>
    </w:p>
    <w:p>
      <w:pPr>
        <w:pStyle w:val="Normal"/>
        <w:spacing w:lineRule="auto" w:line="288" w:before="0" w:after="160"/>
        <w:jc w:val="left"/>
        <w:rPr/>
      </w:pPr>
      <w:r>
        <w:rPr>
          <w:rFonts w:eastAsia="Open Sans" w:cs="Open Sans"/>
          <w:color w:val="2C3E50"/>
          <w:sz w:val="22"/>
          <w:szCs w:val="22"/>
        </w:rPr>
        <w:t>Sans Internet, les canaux e-mail et WhatsApp ont besoin d’un relais SMTP interne et d’une route sortante vers l’API WhatsApp ; l’assistant IA a besoin d’une route vers le fournisseur d’IA (ou reste désactivé).</w:t>
      </w:r>
      <w:r>
        <w:br w:type="page"/>
      </w:r>
    </w:p>
    <w:p>
      <w:pPr>
        <w:pStyle w:val="Heading1"/>
        <w:pBdr>
          <w:bottom w:val="single" w:sz="6" w:space="6" w:color="E1E8F0"/>
        </w:pBdr>
        <w:spacing w:before="0" w:after="240"/>
        <w:rPr/>
      </w:pPr>
      <w:bookmarkStart w:id="23" w:name="__RefHeading___Toc5297_3373283034"/>
      <w:bookmarkEnd w:id="23"/>
      <w:r>
        <w:rPr>
          <w:rFonts w:eastAsia="Montserrat" w:cs="Montserrat"/>
          <w:b/>
          <w:bCs/>
          <w:color w:val="123A5F"/>
          <w:sz w:val="40"/>
          <w:szCs w:val="40"/>
        </w:rPr>
        <w:t>4. Installer sous Windows Server (côté serveur)</w:t>
      </w:r>
    </w:p>
    <w:p>
      <w:pPr>
        <w:pStyle w:val="Normal"/>
        <w:spacing w:lineRule="auto" w:line="288" w:before="0" w:after="160"/>
        <w:jc w:val="left"/>
        <w:rPr/>
      </w:pPr>
      <w:r>
        <w:rPr>
          <w:rFonts w:eastAsia="Open Sans" w:cs="Open Sans"/>
          <w:color w:val="2C3E50"/>
          <w:sz w:val="22"/>
          <w:szCs w:val="22"/>
        </w:rPr>
        <w:t>Utilisez PowerShell ouvert en tant qu’administrateur.</w:t>
      </w:r>
    </w:p>
    <w:p>
      <w:pPr>
        <w:pStyle w:val="ListParagraph"/>
        <w:numPr>
          <w:ilvl w:val="0"/>
          <w:numId w:val="13"/>
        </w:numPr>
        <w:spacing w:lineRule="auto" w:line="288" w:before="0" w:after="80"/>
        <w:rPr/>
      </w:pPr>
      <w:r>
        <w:rPr>
          <w:rFonts w:eastAsia="Open Sans" w:cs="Open Sans"/>
          <w:color w:val="2C3E50"/>
          <w:sz w:val="22"/>
          <w:szCs w:val="22"/>
        </w:rPr>
        <w:t>Installez Node.js 22 LTS (le .msi de nodejs.org) avec les options par défaut ; vérifiez avec node -v (v22.13 ou plus).</w:t>
      </w:r>
    </w:p>
    <w:p>
      <w:pPr>
        <w:pStyle w:val="ListParagraph"/>
        <w:numPr>
          <w:ilvl w:val="0"/>
          <w:numId w:val="3"/>
        </w:numPr>
        <w:spacing w:lineRule="auto" w:line="288" w:before="0" w:after="80"/>
        <w:rPr/>
      </w:pPr>
      <w:r>
        <w:rPr>
          <w:rFonts w:eastAsia="Open Sans" w:cs="Open Sans"/>
          <w:color w:val="2C3E50"/>
          <w:sz w:val="22"/>
          <w:szCs w:val="22"/>
        </w:rPr>
        <w:t>Décompressez CortexSkills-app.zip dans C:\CortexSkills (le dossier contient server, web et deploy). Créez le dossier de données D:\CortexSkillsData (sur un disque sauvegardé).</w:t>
      </w:r>
    </w:p>
    <w:p>
      <w:pPr>
        <w:pStyle w:val="ListParagraph"/>
        <w:numPr>
          <w:ilvl w:val="0"/>
          <w:numId w:val="3"/>
        </w:numPr>
        <w:spacing w:lineRule="auto" w:line="288" w:before="0" w:after="80"/>
        <w:rPr/>
      </w:pPr>
      <w:r>
        <w:rPr>
          <w:rFonts w:eastAsia="Open Sans" w:cs="Open Sans"/>
          <w:color w:val="2C3E50"/>
          <w:sz w:val="22"/>
          <w:szCs w:val="22"/>
        </w:rPr>
        <w:t>Dans C:\CortexSkills\server lancez : npm ci --omit=dev</w:t>
      </w:r>
    </w:p>
    <w:p>
      <w:pPr>
        <w:pStyle w:val="ListParagraph"/>
        <w:numPr>
          <w:ilvl w:val="0"/>
          <w:numId w:val="3"/>
        </w:numPr>
        <w:spacing w:lineRule="auto" w:line="288" w:before="0" w:after="80"/>
        <w:rPr/>
      </w:pPr>
      <w:r>
        <w:rPr>
          <w:rFonts w:eastAsia="Open Sans" w:cs="Open Sans"/>
          <w:color w:val="2C3E50"/>
          <w:sz w:val="22"/>
          <w:szCs w:val="22"/>
        </w:rPr>
        <w:t>Copiez deploy\env.production.example vers server\.env, lancez npm run -s secrets et remplissez .env comme au chapitre 3 étape 5, avec DEPLOYMENT_MODE=onprem et DATA_DIR=D:\CortexSkillsData.</w:t>
      </w:r>
    </w:p>
    <w:p>
      <w:pPr>
        <w:pStyle w:val="ListParagraph"/>
        <w:numPr>
          <w:ilvl w:val="0"/>
          <w:numId w:val="3"/>
        </w:numPr>
        <w:spacing w:lineRule="auto" w:line="288" w:before="0" w:after="80"/>
        <w:rPr/>
      </w:pPr>
      <w:r>
        <w:rPr>
          <w:rFonts w:eastAsia="Open Sans" w:cs="Open Sans"/>
          <w:color w:val="2C3E50"/>
          <w:sz w:val="22"/>
          <w:szCs w:val="22"/>
        </w:rPr>
        <w:t>Créez server\tools\keys et copiez-y vendor-public.pem.</w:t>
      </w:r>
    </w:p>
    <w:p>
      <w:pPr>
        <w:pStyle w:val="ListParagraph"/>
        <w:numPr>
          <w:ilvl w:val="0"/>
          <w:numId w:val="3"/>
        </w:numPr>
        <w:spacing w:lineRule="auto" w:line="288" w:before="0" w:after="80"/>
        <w:rPr/>
      </w:pPr>
      <w:r>
        <w:rPr>
          <w:rFonts w:eastAsia="Open Sans" w:cs="Open Sans"/>
          <w:color w:val="2C3E50"/>
          <w:sz w:val="22"/>
          <w:szCs w:val="22"/>
        </w:rPr>
        <w:t>Lancez npm run init (il utilise ADMIN_EMAIL, ADMIN_NAME et ADMIN_PASSWORD de .env), puis supprimez ADMIN_PASSWORD de .env.</w:t>
      </w:r>
    </w:p>
    <w:p>
      <w:pPr>
        <w:pStyle w:val="ListParagraph"/>
        <w:numPr>
          <w:ilvl w:val="0"/>
          <w:numId w:val="3"/>
        </w:numPr>
        <w:spacing w:lineRule="auto" w:line="288" w:before="0" w:after="80"/>
        <w:rPr/>
      </w:pPr>
      <w:r>
        <w:rPr>
          <w:rFonts w:eastAsia="Open Sans" w:cs="Open Sans"/>
          <w:color w:val="2C3E50"/>
          <w:sz w:val="22"/>
          <w:szCs w:val="22"/>
        </w:rPr>
        <w:t>Installez NSSM (nssm.cc), ajoutez-le au PATH, puis exécutez le script deploy\install-windows-service.ps1 (adaptez $App si le dossier n’est pas C:\CortexSkills). Vérifiez : nssm status CortexSkills affiche SERVICE_RUNNING.</w:t>
      </w:r>
    </w:p>
    <w:p>
      <w:pPr>
        <w:pStyle w:val="ListParagraph"/>
        <w:numPr>
          <w:ilvl w:val="0"/>
          <w:numId w:val="3"/>
        </w:numPr>
        <w:spacing w:lineRule="auto" w:line="288" w:before="0" w:after="80"/>
        <w:rPr/>
      </w:pPr>
      <w:r>
        <w:rPr>
          <w:rFonts w:eastAsia="Open Sans" w:cs="Open Sans"/>
          <w:color w:val="2C3E50"/>
          <w:sz w:val="22"/>
          <w:szCs w:val="22"/>
        </w:rPr>
        <w:t>Dans IIS, installez les modules URL Rewrite et Application Request Routing ; dans « Server Proxy Settings » d’ARR cochez Enable proxy. Créez un site lié à https://skills.customer.com avec votre certificat, et copiez deploy\web.config dans son dossier. Il transmet chaque requête à http://127.0.0.1:4000 et autorise les envois jusqu’à 30 Mo.</w:t>
      </w:r>
    </w:p>
    <w:p>
      <w:pPr>
        <w:pStyle w:val="ListParagraph"/>
        <w:numPr>
          <w:ilvl w:val="0"/>
          <w:numId w:val="3"/>
        </w:numPr>
        <w:spacing w:lineRule="auto" w:line="288" w:before="0" w:after="80"/>
        <w:rPr/>
      </w:pPr>
      <w:r>
        <w:rPr>
          <w:rFonts w:eastAsia="Open Sans" w:cs="Open Sans"/>
          <w:color w:val="2C3E50"/>
          <w:sz w:val="22"/>
          <w:szCs w:val="22"/>
        </w:rPr>
        <w:t>Ouvrez https://skills.customer.com/api/health : la réponse est {"status":"ok", … "mode":"onprem"}. Les journaux sont dans C:\CortexSkills\logs.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Remarques Windows</w:t>
            </w:r>
          </w:p>
          <w:p>
            <w:pPr>
              <w:pStyle w:val="Normal"/>
              <w:spacing w:lineRule="auto" w:line="288" w:before="0" w:after="60"/>
              <w:jc w:val="left"/>
              <w:rPr/>
            </w:pPr>
            <w:r>
              <w:rPr>
                <w:rFonts w:eastAsia="Open Sans" w:cs="Open Sans"/>
                <w:color w:val="2C3E50"/>
                <w:sz w:val="21"/>
                <w:szCs w:val="21"/>
              </w:rPr>
              <w:t>Sous Windows, exécutez les commandes console de ce guide dans C:\CortexSkills\server sans sudo -u cortexskills, par exemple : npm run -s admin -- org-list. Excluez le dossier de données de l’analyse antivirus en temps réel et de la synchronisation OneDrive. La restauration et la mise à jour se font comme au chapitre 8, service arrêté (nssm stop CortexSkills).</w:t>
            </w:r>
          </w:p>
        </w:tc>
      </w:tr>
    </w:tbl>
    <w:p>
      <w:pPr>
        <w:pStyle w:val="Heading1"/>
        <w:pBdr>
          <w:bottom w:val="single" w:sz="6" w:space="6" w:color="E1E8F0"/>
        </w:pBdr>
        <w:spacing w:before="0" w:after="240"/>
        <w:rPr/>
      </w:pPr>
      <w:r>
        <w:br w:type="page"/>
      </w:r>
      <w:bookmarkStart w:id="24" w:name="__RefHeading___Toc5299_3373283034"/>
      <w:bookmarkEnd w:id="24"/>
      <w:r>
        <w:rPr>
          <w:rFonts w:eastAsia="Montserrat" w:cs="Montserrat"/>
          <w:b/>
          <w:bCs/>
          <w:color w:val="123A5F"/>
          <w:sz w:val="40"/>
          <w:szCs w:val="40"/>
        </w:rPr>
        <w:t>5. Créer l’organisation et activer la licence</w:t>
      </w:r>
    </w:p>
    <w:p>
      <w:pPr>
        <w:pStyle w:val="Normal"/>
        <w:spacing w:lineRule="auto" w:line="288" w:before="0" w:after="160"/>
        <w:jc w:val="left"/>
        <w:rPr/>
      </w:pPr>
      <w:r>
        <w:rPr>
          <w:rFonts w:eastAsia="Open Sans" w:cs="Open Sans"/>
          <w:color w:val="2C3E50"/>
          <w:sz w:val="22"/>
          <w:szCs w:val="22"/>
        </w:rPr>
        <w:t>La licence est liée à l’identifiant d’organisation créé sur votre serveur. L’activation se fait en quatre étapes ; les utilisateurs du client ne peuvent pas se connecter avant l’étape 4.</w:t>
      </w:r>
    </w:p>
    <w:tbl>
      <w:tblPr>
        <w:tblW w:w="9638" w:type="dxa"/>
        <w:jc w:val="left"/>
        <w:tblInd w:w="0" w:type="dxa"/>
        <w:tblLayout w:type="fixed"/>
        <w:tblCellMar>
          <w:top w:w="70" w:type="dxa"/>
          <w:left w:w="110" w:type="dxa"/>
          <w:bottom w:w="70" w:type="dxa"/>
          <w:right w:w="110" w:type="dxa"/>
        </w:tblCellMar>
      </w:tblPr>
      <w:tblGrid>
        <w:gridCol w:w="889"/>
        <w:gridCol w:w="2572"/>
        <w:gridCol w:w="6177"/>
      </w:tblGrid>
      <w:tr>
        <w:trPr>
          <w:tblHeader w:val="true"/>
          <w:cantSplit w:val="true"/>
        </w:trPr>
        <w:tc>
          <w:tcPr>
            <w:tcW w:w="8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Étape</w:t>
            </w:r>
          </w:p>
        </w:tc>
        <w:tc>
          <w:tcPr>
            <w:tcW w:w="2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Qui</w:t>
            </w:r>
          </w:p>
        </w:tc>
        <w:tc>
          <w:tcPr>
            <w:tcW w:w="6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Action</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Informatique du client</w:t>
            </w:r>
          </w:p>
        </w:tc>
        <w:tc>
          <w:tcPr>
            <w:tcW w:w="6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Créer l’organisation et son administrateur (org-create)</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w:t>
            </w:r>
          </w:p>
        </w:tc>
        <w:tc>
          <w:tcPr>
            <w:tcW w:w="2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Informatique du client</w:t>
            </w:r>
          </w:p>
        </w:tc>
        <w:tc>
          <w:tcPr>
            <w:tcW w:w="6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Envoyer la demande de licence à l’éditeur (licence-request)</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Éditeur</w:t>
            </w:r>
          </w:p>
        </w:tc>
        <w:tc>
          <w:tcPr>
            <w:tcW w:w="6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Signer le fichier de licence et l’envoyer</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c>
          <w:tcPr>
            <w:tcW w:w="2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Informatique du client</w:t>
            </w:r>
          </w:p>
        </w:tc>
        <w:tc>
          <w:tcPr>
            <w:tcW w:w="6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Installer le fichier (licence-install) ; les utilisateurs peuvent se connecter</w:t>
            </w:r>
          </w:p>
        </w:tc>
      </w:tr>
    </w:tbl>
    <w:p>
      <w:pPr>
        <w:pStyle w:val="Heading2"/>
        <w:keepNext w:val="true"/>
        <w:spacing w:before="320" w:after="120"/>
        <w:rPr/>
      </w:pPr>
      <w:bookmarkStart w:id="25" w:name="__RefHeading___Toc5301_3373283034"/>
      <w:bookmarkEnd w:id="25"/>
      <w:r>
        <w:rPr>
          <w:rFonts w:eastAsia="Montserrat" w:cs="Montserrat"/>
          <w:b/>
          <w:bCs/>
          <w:color w:val="123A5F"/>
          <w:sz w:val="32"/>
          <w:szCs w:val="32"/>
        </w:rPr>
        <w:t>Étape 1 — Créer l’organisation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org-create --name "Office Régional Nord" --domain orn.ma --segment LARGE --sector HCPR --pack BND-02 --seats 150 --days 365 --lang fr --country Morocco --city Casablanca --admin-email dsi@orn.ma --admin-name "Nadia Benali" --admin-password "Choose#AStrong1"</w:t>
      </w:r>
    </w:p>
    <w:p>
      <w:pPr>
        <w:pStyle w:val="Normal"/>
        <w:spacing w:lineRule="auto" w:line="288" w:before="0" w:after="160"/>
        <w:jc w:val="left"/>
        <w:rPr/>
      </w:pPr>
      <w:r>
        <w:rPr>
          <w:rFonts w:eastAsia="Open Sans" w:cs="Open Sans"/>
          <w:color w:val="2C3E50"/>
          <w:sz w:val="22"/>
          <w:szCs w:val="22"/>
        </w:rPr>
        <w:t>La console affiche l’identifiant de l’organisation et le compte administrateur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created: Office Régional Nord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ID: 5c2f2728-9f25-4059-af3e-931b36b51b20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Pack: BND-02 · seats: 150 · licence valid 365 days (OnPrem: upload the vendor-signed licence to activate it)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Administrator: dsi@orn.ma (role R-01, full rights in this organization)</w:t>
      </w:r>
    </w:p>
    <w:tbl>
      <w:tblPr>
        <w:tblW w:w="9638" w:type="dxa"/>
        <w:jc w:val="left"/>
        <w:tblInd w:w="0" w:type="dxa"/>
        <w:tblLayout w:type="fixed"/>
        <w:tblCellMar>
          <w:top w:w="70" w:type="dxa"/>
          <w:left w:w="110" w:type="dxa"/>
          <w:bottom w:w="70" w:type="dxa"/>
          <w:right w:w="110" w:type="dxa"/>
        </w:tblCellMar>
      </w:tblPr>
      <w:tblGrid>
        <w:gridCol w:w="3560"/>
        <w:gridCol w:w="6077"/>
      </w:tblGrid>
      <w:tr>
        <w:trPr>
          <w:tblHeader w:val="true"/>
          <w:cantSplit w:val="true"/>
        </w:trPr>
        <w:tc>
          <w:tcPr>
            <w:tcW w:w="35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Signification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 / --domain</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de l’entreprise ; domaine e-mail de ses utilisateurs (unique par organisation)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LARGE (par défaut) ou SME (PME)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Code secteur (par exemple HCPR santé privée) ; la console liste les codes valides en cas d’erreur</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--pack / --seats / --days</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Pack contractuel, nombre d’utilisateurs et durée de la licence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--lang / --country / --city</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Langue par défaut (en, fr, ar) et localisation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--admin-email / --admin-name / --admin-password</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premier administrateur du client (rôle R-01). Un mot de passe fort est exigé.</w:t>
            </w:r>
          </w:p>
        </w:tc>
      </w:tr>
    </w:tbl>
    <w:p>
      <w:pPr>
        <w:pStyle w:val="Heading2"/>
        <w:keepNext w:val="true"/>
        <w:spacing w:before="320" w:after="120"/>
        <w:rPr/>
      </w:pPr>
      <w:bookmarkStart w:id="26" w:name="__RefHeading___Toc5303_3373283034"/>
      <w:bookmarkEnd w:id="26"/>
      <w:r>
        <w:rPr>
          <w:rFonts w:eastAsia="Montserrat" w:cs="Montserrat"/>
          <w:b/>
          <w:bCs/>
          <w:color w:val="123A5F"/>
          <w:sz w:val="32"/>
          <w:szCs w:val="32"/>
        </w:rPr>
        <w:t>Étape 2 — Demander la 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licence-request --org orn.ma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Company: Office Régional Nord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ID: 6ec2a117-eb31-4af4-ad03-5696108ecd13</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Requested pack: BND-02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Requested users: 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Add-ons: none</w:t>
      </w:r>
    </w:p>
    <w:p>
      <w:pPr>
        <w:pStyle w:val="Normal"/>
        <w:spacing w:lineRule="auto" w:line="288" w:before="0" w:after="160"/>
        <w:jc w:val="left"/>
        <w:rPr/>
      </w:pPr>
      <w:r>
        <w:rPr>
          <w:rFonts w:eastAsia="Open Sans" w:cs="Open Sans"/>
          <w:color w:val="2C3E50"/>
          <w:sz w:val="22"/>
          <w:szCs w:val="22"/>
        </w:rPr>
        <w:t>Envoyez ces lignes à l’éditeur avec la date de fin de contrat prévue.</w:t>
      </w:r>
    </w:p>
    <w:p>
      <w:pPr>
        <w:pStyle w:val="Heading2"/>
        <w:keepNext w:val="true"/>
        <w:spacing w:before="320" w:after="120"/>
        <w:rPr/>
      </w:pPr>
      <w:bookmarkStart w:id="27" w:name="__RefHeading___Toc5305_3373283034"/>
      <w:bookmarkEnd w:id="27"/>
      <w:r>
        <w:rPr>
          <w:rFonts w:eastAsia="Montserrat" w:cs="Montserrat"/>
          <w:b/>
          <w:bCs/>
          <w:color w:val="123A5F"/>
          <w:sz w:val="32"/>
          <w:szCs w:val="32"/>
        </w:rPr>
        <w:t>Étape 3 — L’éditeur signe la licence</w:t>
      </w:r>
    </w:p>
    <w:p>
      <w:pPr>
        <w:pStyle w:val="Normal"/>
        <w:spacing w:lineRule="auto" w:line="288" w:before="0" w:after="160"/>
        <w:jc w:val="left"/>
        <w:rPr/>
      </w:pPr>
      <w:r>
        <w:rPr>
          <w:rFonts w:eastAsia="Open Sans" w:cs="Open Sans"/>
          <w:color w:val="2C3E50"/>
          <w:sz w:val="22"/>
          <w:szCs w:val="22"/>
        </w:rPr>
        <w:t>Sur l’ordinateur de signature de l’éditeur uniquement (jamais sur un serveur client), dans le dossier server du code source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sign-licence -- --company "Office Régional Nord" --companyId 6ec2a117-eb31-4af4-ad03-5696108ecd13 --expiry 2027-12-31 --maxUsers 150 --plan BND-02 --features analytics,export,api --output ./ORN.lic</w:t>
      </w:r>
    </w:p>
    <w:p>
      <w:pPr>
        <w:pStyle w:val="Normal"/>
        <w:spacing w:lineRule="auto" w:line="288" w:before="0" w:after="160"/>
        <w:jc w:val="left"/>
        <w:rPr/>
      </w:pPr>
      <w:r>
        <w:rPr>
          <w:rFonts w:eastAsia="Open Sans" w:cs="Open Sans"/>
          <w:color w:val="2C3E50"/>
          <w:sz w:val="22"/>
          <w:szCs w:val="22"/>
        </w:rPr>
        <w:t>La première exécution crée la paire de clés de l’éditeur dans server/tools/keys : vendor-private.pem (secrète : à garder hors ligne et sauvegardée) et vendor-public.pem (la même pour tous les clients). L’éditeur envoie ORN.lic et vendor-public.pem au client.</w:t>
      </w:r>
    </w:p>
    <w:p>
      <w:pPr>
        <w:pStyle w:val="Heading2"/>
        <w:keepNext w:val="true"/>
        <w:spacing w:before="320" w:after="120"/>
        <w:rPr/>
      </w:pPr>
      <w:bookmarkStart w:id="28" w:name="__RefHeading___Toc5307_3373283034"/>
      <w:bookmarkEnd w:id="28"/>
      <w:r>
        <w:rPr>
          <w:rFonts w:eastAsia="Montserrat" w:cs="Montserrat"/>
          <w:b/>
          <w:bCs/>
          <w:color w:val="123A5F"/>
          <w:sz w:val="32"/>
          <w:szCs w:val="32"/>
        </w:rPr>
        <w:t>Étape 4 — Installer la 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licence-install --file /tmp/ORN.lic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 installed for Office Régional Nord: pack BND-02, 150 users, valid until 2027-12-31.</w:t>
      </w:r>
    </w:p>
    <w:p>
      <w:pPr>
        <w:pStyle w:val="Normal"/>
        <w:spacing w:lineRule="auto" w:line="288" w:before="0" w:after="160"/>
        <w:jc w:val="left"/>
        <w:rPr/>
      </w:pPr>
      <w:r>
        <w:rPr>
          <w:rFonts w:eastAsia="Open Sans" w:cs="Open Sans"/>
          <w:color w:val="2C3E50"/>
          <w:sz w:val="22"/>
          <w:szCs w:val="22"/>
        </w:rPr>
        <w:t>La console vérifie la signature de l’éditeur et l’identifiant d’organisation, écrit le fichier dans le dossier de données (license.lic, ou LICENSE_PATH) et règle l’offre et le nombre d’utilisateurs de l’organisation. Aucun redémarrage n’est nécessaire : l’administrateur peut se connecter aussitôt. Un fichier modifié est refusé avec « La signature de la licence n’est pas valide ».</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Plusieurs organisations sur un même serveur dédié</w:t>
            </w:r>
          </w:p>
          <w:p>
            <w:pPr>
              <w:pStyle w:val="Normal"/>
              <w:spacing w:lineRule="auto" w:line="288" w:before="0" w:after="60"/>
              <w:jc w:val="left"/>
              <w:rPr/>
            </w:pPr>
            <w:r>
              <w:rPr>
                <w:rFonts w:eastAsia="Open Sans" w:cs="Open Sans"/>
                <w:color w:val="2C3E50"/>
                <w:sz w:val="21"/>
                <w:szCs w:val="21"/>
              </w:rPr>
              <w:t>Un groupe de plusieurs sociétés peut créer une organisation par société sur le même serveur. Chaque organisation a besoin de sa propre licence signée ; le fichier de licence conserve une entrée par identifiant d’organisation.</w:t>
            </w:r>
          </w:p>
        </w:tc>
      </w:tr>
    </w:tbl>
    <w:p>
      <w:pPr>
        <w:pStyle w:val="Heading1"/>
        <w:pBdr>
          <w:bottom w:val="single" w:sz="6" w:space="6" w:color="E1E8F0"/>
        </w:pBdr>
        <w:spacing w:before="0" w:after="240"/>
        <w:rPr/>
      </w:pPr>
      <w:r>
        <w:br w:type="page"/>
      </w:r>
      <w:bookmarkStart w:id="29" w:name="__RefHeading___Toc5309_3373283034"/>
      <w:bookmarkEnd w:id="29"/>
      <w:r>
        <w:rPr>
          <w:rFonts w:eastAsia="Montserrat" w:cs="Montserrat"/>
          <w:b/>
          <w:bCs/>
          <w:color w:val="123A5F"/>
          <w:sz w:val="40"/>
          <w:szCs w:val="40"/>
        </w:rPr>
        <w:t>6. Activer et changer les offres</w:t>
      </w:r>
    </w:p>
    <w:p>
      <w:pPr>
        <w:pStyle w:val="Heading2"/>
        <w:keepNext w:val="true"/>
        <w:spacing w:before="320" w:after="120"/>
        <w:rPr/>
      </w:pPr>
      <w:bookmarkStart w:id="30" w:name="__RefHeading___Toc5311_3373283034"/>
      <w:bookmarkEnd w:id="30"/>
      <w:r>
        <w:rPr>
          <w:rFonts w:eastAsia="Montserrat" w:cs="Montserrat"/>
          <w:b/>
          <w:bCs/>
          <w:color w:val="123A5F"/>
          <w:sz w:val="32"/>
          <w:szCs w:val="32"/>
        </w:rPr>
        <w:t>Le catalogue</w:t>
      </w:r>
    </w:p>
    <w:p>
      <w:pPr>
        <w:pStyle w:val="Normal"/>
        <w:spacing w:lineRule="auto" w:line="288" w:before="0" w:after="160"/>
        <w:jc w:val="left"/>
        <w:rPr/>
      </w:pPr>
      <w:r>
        <w:rPr>
          <w:rFonts w:eastAsia="Open Sans" w:cs="Open Sans"/>
          <w:color w:val="2C3E50"/>
          <w:sz w:val="22"/>
          <w:szCs w:val="22"/>
        </w:rPr>
        <w:t>Une organisation cliente a toujours exactement une offre (un pack, une offre groupée ou un pack PME). Les add-ons et les normes de conformité sont indépendants et s’ajoutent à n’importe quelle offre. Changer d’offre conserve toutes les données : les modules hors de la nouvelle offre passent en lecture seule, ils ne sont jamais supprimés.</w:t>
      </w:r>
    </w:p>
    <w:tbl>
      <w:tblPr>
        <w:tblW w:w="9638" w:type="dxa"/>
        <w:jc w:val="left"/>
        <w:tblInd w:w="0" w:type="dxa"/>
        <w:tblLayout w:type="fixed"/>
        <w:tblCellMar>
          <w:top w:w="70" w:type="dxa"/>
          <w:left w:w="110" w:type="dxa"/>
          <w:bottom w:w="70" w:type="dxa"/>
          <w:right w:w="110" w:type="dxa"/>
        </w:tblCellMar>
      </w:tblPr>
      <w:tblGrid>
        <w:gridCol w:w="938"/>
        <w:gridCol w:w="2274"/>
        <w:gridCol w:w="988"/>
        <w:gridCol w:w="1680"/>
        <w:gridCol w:w="1284"/>
        <w:gridCol w:w="2473"/>
      </w:tblGrid>
      <w:tr>
        <w:trPr>
          <w:tblHeader w:val="true"/>
          <w:cantSplit w:val="true"/>
        </w:trPr>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ID</w:t>
            </w:r>
          </w:p>
        </w:tc>
        <w:tc>
          <w:tcPr>
            <w:tcW w:w="2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w:t>
            </w:r>
          </w:p>
        </w:tc>
        <w:tc>
          <w:tcPr>
            <w:tcW w:w="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w:t>
            </w:r>
          </w:p>
        </w:tc>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Contient</w:t>
            </w:r>
          </w:p>
        </w:tc>
        <w:tc>
          <w:tcPr>
            <w:tcW w:w="1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 d’IA</w:t>
            </w:r>
          </w:p>
        </w:tc>
        <w:tc>
          <w:tcPr>
            <w:tcW w:w="2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Prix</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ingénierie de formation de base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99 USD/mois (jusqu'à 100 utilisateurs) ; 0,75 $/utilisateur/mois au-delà de 100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réalisation et expérience d'apprentissage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PK-02</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149 USD/mois (jusqu'à 250 utilisateurs) ; 0,60 $/utilisateur/mois au-delà de 250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évaluation, analytique et ROI</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129 USD/mois (jusqu'à 500 utilisateurs) ; 0,50 $/utilisateur/mois au-delà de 500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conformité et certification</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PK-04</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99 USD/mois (jusqu'à 300 utilisateurs) ; 0,55 $/utilisateur/mois au-delà de 300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talents et mobilité</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119 USD/mois (jusqu'à 300 utilisateurs) ; 0,65 $/utilisateur/mois au-delà de 300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PK-06</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entreprise étendue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PK-06</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109 USD/mois (jusqu'à 200 utilisateurs externes) ; 0,80 $/utilisateur externe/mois au-delà de 200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PK-07</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conseil et diagnostic</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PK-07</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249 USD/mois (jusqu'à 50 missions simultanées) ; 5 $/mission/mois au-delà de 50</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PK-08</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pilotage stratégique des effectifs et gouvernance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199 USD/mois (jusqu'à 500 utilisateurs) ; 0,45 $/utilisateur/mois au-delà de 500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Démarrage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10 % de remise sur la somme des prix de base (248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Croissance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15 % de remise sur la somme des prix de base (377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Entreprise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20 % de remise sur la somme des prix de base (595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Stratégique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25 % de remise sur la somme des prix de base (903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Suite complète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30 % de remise sur la somme des prix de base (1152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SME-ESS</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 Essentiel</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 AD-11</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25 utilisateurs ; 1,2 USD par utilisateur supplémentaire et par mois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SME-GRO</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PME Croissance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PME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Minimum 50 utilisateurs ; 1 USD par utilisateur supplémentaire et par mois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SME-CMP</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 Complet</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100 utilisateurs ; 0,9 USD par utilisateur supplémentaire et par mois</w:t>
            </w:r>
          </w:p>
        </w:tc>
      </w:tr>
    </w:tbl>
    <w:p>
      <w:pPr>
        <w:pStyle w:val="Normal"/>
        <w:spacing w:before="0" w:after="240"/>
        <w:jc w:val="center"/>
        <w:rPr/>
      </w:pPr>
      <w:r>
        <w:rPr>
          <w:rFonts w:eastAsia="Open Sans" w:cs="Open Sans"/>
          <w:i/>
          <w:iCs/>
          <w:color w:val="5A6B7B"/>
          <w:sz w:val="18"/>
          <w:szCs w:val="18"/>
        </w:rPr>
        <w:t>Packs, offres groupées et packs PME (prix catalogue ; votre contrat prévaut).</w:t>
      </w:r>
    </w:p>
    <w:tbl>
      <w:tblPr>
        <w:tblW w:w="9638" w:type="dxa"/>
        <w:jc w:val="left"/>
        <w:tblInd w:w="0" w:type="dxa"/>
        <w:tblLayout w:type="fixed"/>
        <w:tblCellMar>
          <w:top w:w="70" w:type="dxa"/>
          <w:left w:w="110" w:type="dxa"/>
          <w:bottom w:w="70" w:type="dxa"/>
          <w:right w:w="110" w:type="dxa"/>
        </w:tblCellMar>
      </w:tblPr>
      <w:tblGrid>
        <w:gridCol w:w="987"/>
        <w:gridCol w:w="6672"/>
        <w:gridCol w:w="1979"/>
      </w:tblGrid>
      <w:tr>
        <w:trPr>
          <w:tblHeader w:val="true"/>
          <w:cantSplit w:val="true"/>
        </w:trPr>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6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Add-on</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Prix</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Apprentissage immersif (RV/RA/simulation)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AD-02</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Moteur de personnalisation IA</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AD-03</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Analytique prédictive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$69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AD-04</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Apprentissage social et collaboratif</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$40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AD-05</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Moteur de ludification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AD-06</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Moteur de curation et d'agrégation de contenus</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AD-07</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Capture et transfert des savoirs d'experts</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AD-08</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Déploiement multi-sites / multi-entités</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$55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AD-09</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Validation externe du plan de formation (réglementaire)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AD-10</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 et développement de la maturité managériale</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$69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AD-11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Bibliothèque de questionnaires et diffusion multicanale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mois</w:t>
            </w:r>
          </w:p>
        </w:tc>
      </w:tr>
    </w:tbl>
    <w:p>
      <w:pPr>
        <w:pStyle w:val="Normal"/>
        <w:spacing w:before="0" w:after="240"/>
        <w:jc w:val="center"/>
        <w:rPr/>
      </w:pPr>
      <w:r>
        <w:rPr>
          <w:rFonts w:eastAsia="Open Sans" w:cs="Open Sans"/>
          <w:i/>
          <w:iCs/>
          <w:color w:val="5A6B7B"/>
          <w:sz w:val="18"/>
          <w:szCs w:val="18"/>
        </w:rPr>
        <w:t>Add-ons.</w:t>
      </w:r>
    </w:p>
    <w:tbl>
      <w:tblPr>
        <w:tblW w:w="9638" w:type="dxa"/>
        <w:jc w:val="left"/>
        <w:tblInd w:w="0" w:type="dxa"/>
        <w:tblLayout w:type="fixed"/>
        <w:tblCellMar>
          <w:top w:w="70" w:type="dxa"/>
          <w:left w:w="110" w:type="dxa"/>
          <w:bottom w:w="70" w:type="dxa"/>
          <w:right w:w="110" w:type="dxa"/>
        </w:tblCellMar>
      </w:tblPr>
      <w:tblGrid>
        <w:gridCol w:w="1976"/>
        <w:gridCol w:w="7661"/>
      </w:tblGrid>
      <w:tr>
        <w:trPr>
          <w:tblHeader w:val="true"/>
          <w:cantSplit w:val="true"/>
        </w:trPr>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7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Norme de conformité et de sécurité</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GDPR</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GDPR</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ISO27001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SOC2</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SOC 2</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ISO27701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27701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ISO9001</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ISO 9001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LAW0908</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Law 09-08 (CNDP, Morocco)</w:t>
            </w:r>
          </w:p>
        </w:tc>
      </w:tr>
    </w:tbl>
    <w:p>
      <w:pPr>
        <w:pStyle w:val="Normal"/>
        <w:spacing w:before="0" w:after="240"/>
        <w:jc w:val="center"/>
        <w:rPr/>
      </w:pPr>
      <w:r>
        <w:rPr>
          <w:rFonts w:eastAsia="Open Sans" w:cs="Open Sans"/>
          <w:i/>
          <w:iCs/>
          <w:color w:val="5A6B7B"/>
          <w:sz w:val="18"/>
          <w:szCs w:val="18"/>
        </w:rPr>
        <w:t>Normes de conformité. CortexSkills organise les éléments probants ; il ne certifie pas la conformité.</w:t>
      </w:r>
    </w:p>
    <w:p>
      <w:pPr>
        <w:pStyle w:val="Normal"/>
        <w:spacing w:lineRule="auto" w:line="288" w:before="0" w:after="160"/>
        <w:jc w:val="left"/>
        <w:rPr/>
      </w:pPr>
      <w:r>
        <w:rPr>
          <w:rFonts w:eastAsia="Open Sans" w:cs="Open Sans"/>
          <w:color w:val="2C3E50"/>
          <w:sz w:val="22"/>
          <w:szCs w:val="22"/>
        </w:rPr>
        <w:t xml:space="preserve">Sur le serveur, la console affiche le même catalogue : </w:t>
      </w:r>
      <w:r>
        <w:rPr>
          <w:rFonts w:eastAsia="Open Sans" w:cs="Open Sans"/>
          <w:b/>
          <w:bCs/>
          <w:color w:val="2C3E50"/>
          <w:sz w:val="22"/>
          <w:szCs w:val="22"/>
        </w:rPr>
        <w:t>npm run -s admin -- packs</w:t>
      </w:r>
    </w:p>
    <w:p>
      <w:pPr>
        <w:pStyle w:val="Heading2"/>
        <w:keepNext w:val="true"/>
        <w:spacing w:before="320" w:after="120"/>
        <w:rPr/>
      </w:pPr>
      <w:bookmarkStart w:id="31" w:name="__RefHeading___Toc5313_3373283034"/>
      <w:bookmarkEnd w:id="31"/>
      <w:r>
        <w:rPr>
          <w:rFonts w:eastAsia="Montserrat" w:cs="Montserrat"/>
          <w:b/>
          <w:bCs/>
          <w:color w:val="123A5F"/>
          <w:sz w:val="32"/>
          <w:szCs w:val="32"/>
        </w:rPr>
        <w:t>Fonctionnement de l’activation en installation dédiée</w:t>
      </w:r>
    </w:p>
    <w:tbl>
      <w:tblPr>
        <w:tblW w:w="9638" w:type="dxa"/>
        <w:jc w:val="left"/>
        <w:tblInd w:w="0" w:type="dxa"/>
        <w:tblLayout w:type="fixed"/>
        <w:tblCellMar>
          <w:top w:w="70" w:type="dxa"/>
          <w:left w:w="110" w:type="dxa"/>
          <w:bottom w:w="70" w:type="dxa"/>
          <w:right w:w="110" w:type="dxa"/>
        </w:tblCellMar>
      </w:tblPr>
      <w:tblGrid>
        <w:gridCol w:w="2768"/>
        <w:gridCol w:w="2571"/>
        <w:gridCol w:w="4299"/>
      </w:tblGrid>
      <w:tr>
        <w:trPr>
          <w:tblHeader w:val="true"/>
          <w:cantSplit w:val="true"/>
        </w:trPr>
        <w:tc>
          <w:tcPr>
            <w:tcW w:w="27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Décidé par</w:t>
            </w:r>
          </w:p>
        </w:tc>
        <w:tc>
          <w:tcPr>
            <w:tcW w:w="4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Comment</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Offre, nombre d’utilisateurs, échéance</w:t>
            </w:r>
          </w:p>
        </w:tc>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fichier de licence signé</w:t>
            </w:r>
          </w:p>
        </w:tc>
        <w:tc>
          <w:tcPr>
            <w:tcW w:w="4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Installé avec licence-install (serveur) ou téléversé dans Configuration et licence (administrateur du client)</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Add-ons</w:t>
            </w:r>
          </w:p>
        </w:tc>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Administrateur du client, selon le contrat</w:t>
            </w:r>
          </w:p>
        </w:tc>
        <w:tc>
          <w:tcPr>
            <w:tcW w:w="4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Cases à cocher dans Configuration et licence, ou addon --on (serveur) ; listés dans licence-request pour la régularisation</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Normes de conformité</w:t>
            </w:r>
          </w:p>
        </w:tc>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du client</w:t>
            </w:r>
          </w:p>
        </w:tc>
        <w:tc>
          <w:tcPr>
            <w:tcW w:w="4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Cases à cocher dans Configuration et licence</w:t>
            </w:r>
          </w:p>
        </w:tc>
      </w:tr>
    </w:tbl>
    <w:p>
      <w:pPr>
        <w:pStyle w:val="Heading2"/>
        <w:keepNext w:val="true"/>
        <w:spacing w:before="320" w:after="120"/>
        <w:rPr/>
      </w:pPr>
      <w:bookmarkStart w:id="32" w:name="__RefHeading___Toc5315_3373283034"/>
      <w:bookmarkEnd w:id="32"/>
      <w:r>
        <w:rPr>
          <w:rFonts w:eastAsia="Montserrat" w:cs="Montserrat"/>
          <w:b/>
          <w:bCs/>
          <w:color w:val="123A5F"/>
          <w:sz w:val="32"/>
          <w:szCs w:val="32"/>
        </w:rPr>
        <w:t>Monter en gamme, ajouter des utilisateurs ou renouveler</w:t>
      </w:r>
    </w:p>
    <w:p>
      <w:pPr>
        <w:pStyle w:val="ListParagraph"/>
        <w:numPr>
          <w:ilvl w:val="0"/>
          <w:numId w:val="14"/>
        </w:numPr>
        <w:spacing w:lineRule="auto" w:line="288" w:before="0" w:after="80"/>
        <w:rPr/>
      </w:pPr>
      <w:r>
        <w:rPr>
          <w:rFonts w:eastAsia="Open Sans" w:cs="Open Sans"/>
          <w:color w:val="2C3E50"/>
          <w:sz w:val="22"/>
          <w:szCs w:val="22"/>
        </w:rPr>
        <w:t>Le client commande le changement à l’éditeur (nouvelle offre, plus d’utilisateurs ou nouvelle échéance).</w:t>
      </w:r>
    </w:p>
    <w:p>
      <w:pPr>
        <w:pStyle w:val="ListParagraph"/>
        <w:numPr>
          <w:ilvl w:val="0"/>
          <w:numId w:val="4"/>
        </w:numPr>
        <w:spacing w:lineRule="auto" w:line="288" w:before="0" w:after="80"/>
        <w:rPr/>
      </w:pPr>
      <w:r>
        <w:rPr>
          <w:rFonts w:eastAsia="Open Sans" w:cs="Open Sans"/>
          <w:color w:val="2C3E50"/>
          <w:sz w:val="22"/>
          <w:szCs w:val="22"/>
        </w:rPr>
        <w:t>L’éditeur signe un nouveau fichier pour le même identifiant d’organisation (étape 3 du chapitre 5) et l’envoie.</w:t>
      </w:r>
    </w:p>
    <w:p>
      <w:pPr>
        <w:pStyle w:val="ListParagraph"/>
        <w:numPr>
          <w:ilvl w:val="0"/>
          <w:numId w:val="4"/>
        </w:numPr>
        <w:spacing w:lineRule="auto" w:line="288" w:before="0" w:after="80"/>
        <w:rPr/>
      </w:pPr>
      <w:r>
        <w:rPr>
          <w:rFonts w:eastAsia="Open Sans" w:cs="Open Sans"/>
          <w:color w:val="2C3E50"/>
          <w:sz w:val="22"/>
          <w:szCs w:val="22"/>
        </w:rPr>
        <w:t>L’administrateur du client ouvre Administration › Configuration et licence, clique sur Téléverser la licence et choisit le fichier — ou l’équipe informatique relance licence-install. Le nouveau fichier remplace le précédent pour cette organisation ; l’offre et le nombre d’utilisateurs sont mis à jour aussitôt.</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Téléverser avant l’échéance</w:t>
            </w:r>
          </w:p>
          <w:p>
            <w:pPr>
              <w:pStyle w:val="Normal"/>
              <w:spacing w:lineRule="auto" w:line="288" w:before="0" w:after="60"/>
              <w:jc w:val="left"/>
              <w:rPr/>
            </w:pPr>
            <w:r>
              <w:rPr>
                <w:rFonts w:eastAsia="Open Sans" w:cs="Open Sans"/>
                <w:color w:val="2C3E50"/>
                <w:sz w:val="21"/>
                <w:szCs w:val="21"/>
              </w:rPr>
              <w:t>Après l’échéance, la licence est en lecture seule mais les administrateurs peuvent toujours se connecter et téléverser un nouveau fichier. Si la licence n’a jamais été installée (statut inactif), utilisez licence-install sur le serveur.</w:t>
            </w:r>
          </w:p>
        </w:tc>
      </w:tr>
    </w:tbl>
    <w:p>
      <w:pPr>
        <w:pStyle w:val="Heading2"/>
        <w:keepNext w:val="true"/>
        <w:spacing w:before="320" w:after="120"/>
        <w:rPr/>
      </w:pPr>
      <w:bookmarkStart w:id="33" w:name="__RefHeading___Toc5317_3373283034"/>
      <w:bookmarkEnd w:id="33"/>
      <w:r>
        <w:rPr>
          <w:rFonts w:eastAsia="Montserrat" w:cs="Montserrat"/>
          <w:b/>
          <w:bCs/>
          <w:color w:val="123A5F"/>
          <w:sz w:val="32"/>
          <w:szCs w:val="32"/>
        </w:rPr>
        <w:t>États de la licence</w:t>
      </w:r>
    </w:p>
    <w:tbl>
      <w:tblPr>
        <w:tblW w:w="9638" w:type="dxa"/>
        <w:jc w:val="left"/>
        <w:tblInd w:w="0" w:type="dxa"/>
        <w:tblLayout w:type="fixed"/>
        <w:tblCellMar>
          <w:top w:w="70" w:type="dxa"/>
          <w:left w:w="110" w:type="dxa"/>
          <w:bottom w:w="70" w:type="dxa"/>
          <w:right w:w="110" w:type="dxa"/>
        </w:tblCellMar>
      </w:tblPr>
      <w:tblGrid>
        <w:gridCol w:w="1680"/>
        <w:gridCol w:w="3362"/>
        <w:gridCol w:w="4596"/>
      </w:tblGrid>
      <w:tr>
        <w:trPr>
          <w:tblHeader w:val="true"/>
          <w:cantSplit w:val="true"/>
        </w:trPr>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État</w:t>
            </w:r>
          </w:p>
        </w:tc>
        <w:tc>
          <w:tcPr>
            <w:tcW w:w="3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voient les utilisateurs</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D9EAD3" w:val="clear"/>
          </w:tcPr>
          <w:p>
            <w:pPr>
              <w:pStyle w:val="Normal"/>
              <w:spacing w:before="0" w:after="20"/>
              <w:rPr/>
            </w:pPr>
            <w:r>
              <w:rPr>
                <w:rFonts w:eastAsia="Open Sans" w:cs="Open Sans"/>
                <w:b w:val="false"/>
                <w:bCs w:val="false"/>
                <w:color w:val="2C3E50"/>
                <w:sz w:val="18"/>
                <w:szCs w:val="18"/>
              </w:rPr>
              <w:t>Active</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Plus de 30 jours avant l’échéance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Utilisation normale.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BE0B5" w:val="clear"/>
          </w:tcPr>
          <w:p>
            <w:pPr>
              <w:pStyle w:val="Normal"/>
              <w:spacing w:before="0" w:after="20"/>
              <w:rPr/>
            </w:pPr>
            <w:r>
              <w:rPr>
                <w:rFonts w:eastAsia="Open Sans" w:cs="Open Sans"/>
                <w:b w:val="false"/>
                <w:bCs w:val="false"/>
                <w:color w:val="2C3E50"/>
                <w:sz w:val="18"/>
                <w:szCs w:val="18"/>
              </w:rPr>
              <w:t>Alerte</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jours ou moins avant l’échéance</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 bandeau rappelle à l’administrateur de renouveler.</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Expirée</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Après l’échéance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Lecture seule : les utilisateurs se connectent et consultent, sans modifier.</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Inactive</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Aucune licence pour l’organisation</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connexion est refusée avec « La licence de cette organisation n’est pas active ».</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Le nombre d’utilisateurs est contrôlé : quand les utilisateurs actifs atteignent le maximum de la licence, la création d’un nouvel utilisateur est refusée jusqu’à la désactivation d’un utilisateur ou l’extension de la licence.</w:t>
      </w:r>
      <w:r>
        <w:br w:type="page"/>
      </w:r>
    </w:p>
    <w:p>
      <w:pPr>
        <w:pStyle w:val="Heading1"/>
        <w:pBdr>
          <w:bottom w:val="single" w:sz="6" w:space="6" w:color="E1E8F0"/>
        </w:pBdr>
        <w:spacing w:before="0" w:after="240"/>
        <w:rPr/>
      </w:pPr>
      <w:bookmarkStart w:id="34" w:name="__RefHeading___Toc5319_3373283034"/>
      <w:bookmarkEnd w:id="34"/>
      <w:r>
        <w:rPr>
          <w:rFonts w:eastAsia="Montserrat" w:cs="Montserrat"/>
          <w:b/>
          <w:bCs/>
          <w:color w:val="123A5F"/>
          <w:sz w:val="40"/>
          <w:szCs w:val="40"/>
        </w:rPr>
        <w:t>7. Côté client : démarrer</w:t>
      </w:r>
    </w:p>
    <w:p>
      <w:pPr>
        <w:pStyle w:val="Normal"/>
        <w:spacing w:lineRule="auto" w:line="288" w:before="0" w:after="160"/>
        <w:jc w:val="left"/>
        <w:rPr/>
      </w:pPr>
      <w:r>
        <w:rPr>
          <w:rFonts w:eastAsia="Open Sans" w:cs="Open Sans"/>
          <w:color w:val="2C3E50"/>
          <w:sz w:val="22"/>
          <w:szCs w:val="22"/>
        </w:rPr>
        <w:t>Ce chapitre s’adresse à l’administrateur du client, une fois la licence installée. Tout se fait dans le navigateur.</w:t>
      </w:r>
    </w:p>
    <w:p>
      <w:pPr>
        <w:pStyle w:val="Heading2"/>
        <w:keepNext w:val="true"/>
        <w:spacing w:before="320" w:after="120"/>
        <w:rPr/>
      </w:pPr>
      <w:bookmarkStart w:id="35" w:name="__RefHeading___Toc5321_3373283034"/>
      <w:bookmarkEnd w:id="35"/>
      <w:r>
        <w:rPr>
          <w:rFonts w:eastAsia="Montserrat" w:cs="Montserrat"/>
          <w:b/>
          <w:bCs/>
          <w:color w:val="123A5F"/>
          <w:sz w:val="32"/>
          <w:szCs w:val="32"/>
        </w:rPr>
        <w:t>Première connexion et mot de passe</w:t>
      </w:r>
    </w:p>
    <w:p>
      <w:pPr>
        <w:pStyle w:val="ListParagraph"/>
        <w:numPr>
          <w:ilvl w:val="0"/>
          <w:numId w:val="15"/>
        </w:numPr>
        <w:spacing w:lineRule="auto" w:line="288" w:before="0" w:after="80"/>
        <w:rPr/>
      </w:pPr>
      <w:r>
        <w:rPr>
          <w:rFonts w:eastAsia="Open Sans" w:cs="Open Sans"/>
          <w:color w:val="2C3E50"/>
          <w:sz w:val="22"/>
          <w:szCs w:val="22"/>
        </w:rPr>
        <w:t>Ouvrez https://skills.customer.com et connectez-vous avec l’e-mail administrateur et le mot de passe temporaire reçus de votre équipe informatique ou de l’éditeur.</w:t>
      </w:r>
    </w:p>
    <w:p>
      <w:pPr>
        <w:pStyle w:val="ListParagraph"/>
        <w:numPr>
          <w:ilvl w:val="0"/>
          <w:numId w:val="5"/>
        </w:numPr>
        <w:spacing w:lineRule="auto" w:line="288" w:before="0" w:after="80"/>
        <w:rPr/>
      </w:pPr>
      <w:r>
        <w:rPr>
          <w:rFonts w:eastAsia="Open Sans" w:cs="Open Sans"/>
          <w:color w:val="2C3E50"/>
          <w:sz w:val="22"/>
          <w:szCs w:val="22"/>
        </w:rPr>
        <w:t>Cliquez sur l’icône de profil (en haut à droite), puis sur Changer le mot de passe.</w:t>
      </w:r>
    </w:p>
    <w:p>
      <w:pPr>
        <w:pStyle w:val="ListParagraph"/>
        <w:numPr>
          <w:ilvl w:val="0"/>
          <w:numId w:val="5"/>
        </w:numPr>
        <w:spacing w:lineRule="auto" w:line="288" w:before="0" w:after="80"/>
        <w:rPr/>
      </w:pPr>
      <w:r>
        <w:rPr>
          <w:rFonts w:eastAsia="Open Sans" w:cs="Open Sans"/>
          <w:color w:val="2C3E50"/>
          <w:sz w:val="22"/>
          <w:szCs w:val="22"/>
        </w:rPr>
        <w:t>Saisissez le mot de passe actuel, puis le nouveau deux fois (12 caractères ou plus, majuscules, minuscules, un chiffre et un symbole) et cliquez sur Enregistrer.</w:t>
      </w:r>
    </w:p>
    <w:p>
      <w:pPr>
        <w:pStyle w:val="Normal"/>
        <w:keepNext w:val="true"/>
        <w:spacing w:before="120" w:after="60"/>
        <w:jc w:val="center"/>
        <w:rPr/>
      </w:pPr>
      <w:r>
        <w:rPr/>
        <w:drawing>
          <wp:inline distT="0" distB="0" distL="0" distR="0">
            <wp:extent cx="3048000" cy="2514600"/>
            <wp:effectExtent l="0" t="0" r="0" b="0"/>
            <wp:docPr id="3" name="menu.png" descr="Figure 1 — Le menu du profil&#10;Figure 1 — Le menu du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nu.png" descr="Figure 1 — Le menu du profil&#10;Figure 1 — Le menu du profil"/>
                    <pic:cNvPicPr>
                      <a:picLocks noChangeAspect="1" noChangeArrowheads="1"/>
                    </pic:cNvPicPr>
                  </pic:nvPicPr>
                  <pic:blipFill>
                    <a:blip r:embed="rId4"/>
                    <a:stretch>
                      <a:fillRect/>
                    </a:stretch>
                  </pic:blipFill>
                  <pic:spPr bwMode="auto">
                    <a:xfrm>
                      <a:off x="0" y="0"/>
                      <a:ext cx="30480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 — Le menu du profil</w:t>
      </w:r>
    </w:p>
    <w:p>
      <w:pPr>
        <w:pStyle w:val="Normal"/>
        <w:keepNext w:val="true"/>
        <w:spacing w:before="120" w:after="60"/>
        <w:jc w:val="center"/>
        <w:rPr/>
      </w:pPr>
      <w:r>
        <w:rPr/>
        <w:drawing>
          <wp:inline distT="0" distB="0" distL="0" distR="0">
            <wp:extent cx="3619500" cy="3105150"/>
            <wp:effectExtent l="0" t="0" r="0" b="0"/>
            <wp:docPr id="4" name="password.png" descr="Figure 2 — Changer le mot de passe&#10;Figure 2 — Changer le mot de p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sword.png" descr="Figure 2 — Changer le mot de passe&#10;Figure 2 — Changer le mot de passe"/>
                    <pic:cNvPicPr>
                      <a:picLocks noChangeAspect="1" noChangeArrowheads="1"/>
                    </pic:cNvPicPr>
                  </pic:nvPicPr>
                  <pic:blipFill>
                    <a:blip r:embed="rId5"/>
                    <a:stretch>
                      <a:fillRect/>
                    </a:stretch>
                  </pic:blipFill>
                  <pic:spPr bwMode="auto">
                    <a:xfrm>
                      <a:off x="0" y="0"/>
                      <a:ext cx="3619500" cy="31051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2 — Changer le mot de passe</w:t>
      </w:r>
    </w:p>
    <w:p>
      <w:pPr>
        <w:pStyle w:val="Heading2"/>
        <w:keepNext w:val="true"/>
        <w:spacing w:before="320" w:after="120"/>
        <w:rPr/>
      </w:pPr>
      <w:bookmarkStart w:id="36" w:name="__RefHeading___Toc5323_3373283034"/>
      <w:bookmarkEnd w:id="36"/>
      <w:r>
        <w:rPr>
          <w:rFonts w:eastAsia="Montserrat" w:cs="Montserrat"/>
          <w:b/>
          <w:bCs/>
          <w:color w:val="123A5F"/>
          <w:sz w:val="32"/>
          <w:szCs w:val="32"/>
        </w:rPr>
        <w:t>Vérifier la licence</w:t>
      </w:r>
    </w:p>
    <w:p>
      <w:pPr>
        <w:pStyle w:val="Normal"/>
        <w:spacing w:lineRule="auto" w:line="288" w:before="0" w:after="160"/>
        <w:jc w:val="left"/>
        <w:rPr/>
      </w:pPr>
      <w:r>
        <w:rPr>
          <w:rFonts w:eastAsia="Open Sans" w:cs="Open Sans"/>
          <w:color w:val="2C3E50"/>
          <w:sz w:val="22"/>
          <w:szCs w:val="22"/>
        </w:rPr>
        <w:t>Ouvrez Administration › Configuration et licence et vérifiez la carte Licence : statut Actif, le plan et le nombre d’utilisateurs de votre contrat, l’échéance. En cas d’écart, contactez l’éditeur avant d’inviter les utilisateurs.</w:t>
      </w:r>
    </w:p>
    <w:p>
      <w:pPr>
        <w:pStyle w:val="Heading2"/>
        <w:keepNext w:val="true"/>
        <w:spacing w:before="320" w:after="120"/>
        <w:rPr/>
      </w:pPr>
      <w:bookmarkStart w:id="37" w:name="__RefHeading___Toc5325_3373283034"/>
      <w:bookmarkEnd w:id="37"/>
      <w:r>
        <w:rPr>
          <w:rFonts w:eastAsia="Montserrat" w:cs="Montserrat"/>
          <w:b/>
          <w:bCs/>
          <w:color w:val="123A5F"/>
          <w:sz w:val="32"/>
          <w:szCs w:val="32"/>
        </w:rPr>
        <w:t>Créer les utilisateurs</w:t>
      </w:r>
    </w:p>
    <w:p>
      <w:pPr>
        <w:pStyle w:val="ListParagraph"/>
        <w:numPr>
          <w:ilvl w:val="0"/>
          <w:numId w:val="16"/>
        </w:numPr>
        <w:spacing w:lineRule="auto" w:line="288" w:before="0" w:after="80"/>
        <w:rPr/>
      </w:pPr>
      <w:r>
        <w:rPr>
          <w:rFonts w:eastAsia="Open Sans" w:cs="Open Sans"/>
          <w:color w:val="2C3E50"/>
          <w:sz w:val="22"/>
          <w:szCs w:val="22"/>
        </w:rPr>
        <w:t>Ouvrez Administration › Utilisateurs et cliquez sur Nouvel utilisateur.</w:t>
      </w:r>
    </w:p>
    <w:p>
      <w:pPr>
        <w:pStyle w:val="ListParagraph"/>
        <w:numPr>
          <w:ilvl w:val="0"/>
          <w:numId w:val="6"/>
        </w:numPr>
        <w:spacing w:lineRule="auto" w:line="288" w:before="0" w:after="80"/>
        <w:rPr/>
      </w:pPr>
      <w:r>
        <w:rPr>
          <w:rFonts w:eastAsia="Open Sans" w:cs="Open Sans"/>
          <w:color w:val="2C3E50"/>
          <w:sz w:val="22"/>
          <w:szCs w:val="22"/>
        </w:rPr>
        <w:t>Saisissez le nom, l’e-mail, la fonction, la langue et un mot de passe temporaire ; choisissez le rôle (par exemple Responsable formation et développement, Chargé de formation, Propriétaire de processus, Collaborateur).</w:t>
      </w:r>
    </w:p>
    <w:p>
      <w:pPr>
        <w:pStyle w:val="ListParagraph"/>
        <w:numPr>
          <w:ilvl w:val="0"/>
          <w:numId w:val="6"/>
        </w:numPr>
        <w:spacing w:lineRule="auto" w:line="288" w:before="0" w:after="80"/>
        <w:rPr/>
      </w:pPr>
      <w:r>
        <w:rPr>
          <w:rFonts w:eastAsia="Open Sans" w:cs="Open Sans"/>
          <w:color w:val="2C3E50"/>
          <w:sz w:val="22"/>
          <w:szCs w:val="22"/>
        </w:rPr>
        <w:t>Envoyez à chaque utilisateur l’adresse de l’application et le mot de passe temporaire, et demandez-lui de le changer à la première connexion (profil › Changer le mot de passe).</w:t>
      </w:r>
    </w:p>
    <w:p>
      <w:pPr>
        <w:pStyle w:val="Normal"/>
        <w:keepNext w:val="true"/>
        <w:spacing w:before="120" w:after="60"/>
        <w:jc w:val="center"/>
        <w:rPr/>
      </w:pPr>
      <w:r>
        <w:rPr/>
        <w:drawing>
          <wp:inline distT="0" distB="0" distL="0" distR="0">
            <wp:extent cx="5905500" cy="4105275"/>
            <wp:effectExtent l="0" t="0" r="0" b="0"/>
            <wp:docPr id="5" name="users.png" descr="Figure 3 — Administration › Utilisateurs&#10;Figure 3 — Administration ›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s.png" descr="Figure 3 — Administration › Utilisateurs&#10;Figure 3 — Administration › Utilisateurs"/>
                    <pic:cNvPicPr>
                      <a:picLocks noChangeAspect="1" noChangeArrowheads="1"/>
                    </pic:cNvPicPr>
                  </pic:nvPicPr>
                  <pic:blipFill>
                    <a:blip r:embed="rId6"/>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3 — Administration › Utilisateurs</w:t>
      </w:r>
    </w:p>
    <w:p>
      <w:pPr>
        <w:pStyle w:val="Heading2"/>
        <w:keepNext w:val="true"/>
        <w:spacing w:before="320" w:after="120"/>
        <w:rPr/>
      </w:pPr>
      <w:bookmarkStart w:id="38" w:name="__RefHeading___Toc5327_3373283034"/>
      <w:bookmarkEnd w:id="38"/>
      <w:r>
        <w:rPr>
          <w:rFonts w:eastAsia="Montserrat" w:cs="Montserrat"/>
          <w:b/>
          <w:bCs/>
          <w:color w:val="123A5F"/>
          <w:sz w:val="32"/>
          <w:szCs w:val="32"/>
        </w:rPr>
        <w:t>Terminer la configuration</w:t>
      </w:r>
    </w:p>
    <w:tbl>
      <w:tblPr>
        <w:tblW w:w="9638" w:type="dxa"/>
        <w:jc w:val="left"/>
        <w:tblInd w:w="0" w:type="dxa"/>
        <w:tblLayout w:type="fixed"/>
        <w:tblCellMar>
          <w:top w:w="70" w:type="dxa"/>
          <w:left w:w="110" w:type="dxa"/>
          <w:bottom w:w="70" w:type="dxa"/>
          <w:right w:w="110" w:type="dxa"/>
        </w:tblCellMar>
      </w:tblPr>
      <w:tblGrid>
        <w:gridCol w:w="3461"/>
        <w:gridCol w:w="6176"/>
      </w:tblGrid>
      <w:tr>
        <w:trPr>
          <w:tblHeader w:val="true"/>
          <w:cantSplit w:val="true"/>
        </w:trPr>
        <w:tc>
          <w:tcPr>
            <w:tcW w:w="34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Menu</w:t>
            </w:r>
          </w:p>
        </w:tc>
        <w:tc>
          <w:tcPr>
            <w:tcW w:w="6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 faire</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Canaux (e-mail, WhatsApp)</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Saisissez votre propre serveur de messagerie (optionnel : sinon la messagerie de la plateforme est utilisée) et, si vous l’utilisez, votre compte WhatsApp Business. Envoyez un message de test.</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Paramètres IA</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Choisissez le fournisseur et le modèle d’IA, ou laissez l’assistant désactivé.</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Matrice des permissions</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Vérifiez ce que chaque rôle peut voir et faire ; adaptez-le à votre organisation.</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Portefeuille › Groupes et organisations</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Construisez la structure de l’organisation (directions, départements, unités) et affectez les personnes.</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Intégration PME</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Packs PME uniquement : répondez aux questions d’intégration ; le parcours guidé est préparé pour vous.</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Sauvegardes et santé</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Consultez les dernières sauvegardes et la santé du service.</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Créez ensuite le premier projet (Portefeuille › Nouveau projet) : les utilisateurs trouvent leurs tâches dans Mes tâches. Le Guide utilisateur et le Guide administrateur décrivent chaque écran en détail.</w:t>
      </w:r>
    </w:p>
    <w:p>
      <w:pPr>
        <w:pStyle w:val="Heading2"/>
        <w:keepNext w:val="true"/>
        <w:spacing w:before="320" w:after="120"/>
        <w:rPr/>
      </w:pPr>
      <w:bookmarkStart w:id="39" w:name="__RefHeading___Toc5329_3373283034"/>
      <w:bookmarkEnd w:id="39"/>
      <w:r>
        <w:rPr>
          <w:rFonts w:eastAsia="Montserrat" w:cs="Montserrat"/>
          <w:b/>
          <w:bCs/>
          <w:color w:val="123A5F"/>
          <w:sz w:val="32"/>
          <w:szCs w:val="32"/>
        </w:rPr>
        <w:t>Activer add-ons et normes, téléverser une licence</w:t>
      </w:r>
    </w:p>
    <w:p>
      <w:pPr>
        <w:pStyle w:val="Heading2"/>
        <w:keepNext w:val="true"/>
        <w:spacing w:before="320" w:after="120"/>
        <w:rPr/>
      </w:pPr>
      <w:bookmarkStart w:id="40" w:name="__RefHeading___Toc5331_3373283034"/>
      <w:bookmarkEnd w:id="40"/>
      <w:r>
        <w:rPr>
          <w:rFonts w:eastAsia="Montserrat" w:cs="Montserrat"/>
          <w:b/>
          <w:bCs/>
          <w:color w:val="123A5F"/>
          <w:sz w:val="32"/>
          <w:szCs w:val="32"/>
        </w:rPr>
        <w:t>L’écran Configuration et licence</w:t>
      </w:r>
    </w:p>
    <w:p>
      <w:pPr>
        <w:pStyle w:val="Normal"/>
        <w:spacing w:lineRule="auto" w:line="288" w:before="0" w:after="160"/>
        <w:jc w:val="left"/>
        <w:rPr/>
      </w:pPr>
      <w:r>
        <w:rPr>
          <w:rFonts w:eastAsia="Open Sans" w:cs="Open Sans"/>
          <w:color w:val="2C3E50"/>
          <w:sz w:val="22"/>
          <w:szCs w:val="22"/>
        </w:rPr>
        <w:t>Menu : Administration › Configuration et licence. Les quatre tuiles indiquent l’offre actuelle, le nombre de modules inclus, le niveau d’IA et l’état de la licence. La carte Licence indique le mode de déploiement, le plan, le nombre maximal d’utilisateurs, l’échéance et les add-ons actifs.</w:t>
      </w:r>
    </w:p>
    <w:p>
      <w:pPr>
        <w:pStyle w:val="Normal"/>
        <w:keepNext w:val="true"/>
        <w:spacing w:before="120" w:after="60"/>
        <w:jc w:val="center"/>
        <w:rPr/>
      </w:pPr>
      <w:r>
        <w:rPr/>
        <w:drawing>
          <wp:inline distT="0" distB="0" distL="0" distR="0">
            <wp:extent cx="5905500" cy="4105275"/>
            <wp:effectExtent l="0" t="0" r="0" b="0"/>
            <wp:docPr id="6" name="config.png" descr="Figure 4 — Administration › Configuration et licence&#10;Figure 4 — Administration › Configuration et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ig.png" descr="Figure 4 — Administration › Configuration et licence&#10;Figure 4 — Administration › Configuration et licence"/>
                    <pic:cNvPicPr>
                      <a:picLocks noChangeAspect="1" noChangeArrowheads="1"/>
                    </pic:cNvPicPr>
                  </pic:nvPicPr>
                  <pic:blipFill>
                    <a:blip r:embed="rId7"/>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4 — Administration › Configuration et licence</w:t>
      </w:r>
    </w:p>
    <w:p>
      <w:pPr>
        <w:pStyle w:val="Heading2"/>
        <w:keepNext w:val="true"/>
        <w:spacing w:before="320" w:after="120"/>
        <w:rPr/>
      </w:pPr>
      <w:bookmarkStart w:id="41" w:name="__RefHeading___Toc5333_3373283034"/>
      <w:bookmarkEnd w:id="41"/>
      <w:r>
        <w:rPr>
          <w:rFonts w:eastAsia="Montserrat" w:cs="Montserrat"/>
          <w:b/>
          <w:bCs/>
          <w:color w:val="123A5F"/>
          <w:sz w:val="32"/>
          <w:szCs w:val="32"/>
        </w:rPr>
        <w:t>Activer un add-on</w:t>
      </w:r>
    </w:p>
    <w:p>
      <w:pPr>
        <w:pStyle w:val="Normal"/>
        <w:spacing w:lineRule="auto" w:line="288" w:before="0" w:after="160"/>
        <w:jc w:val="left"/>
        <w:rPr/>
      </w:pPr>
      <w:r>
        <w:rPr>
          <w:rFonts w:eastAsia="Open Sans" w:cs="Open Sans"/>
          <w:color w:val="2C3E50"/>
          <w:sz w:val="22"/>
          <w:szCs w:val="22"/>
        </w:rPr>
        <w:t>Dans la section Add-ons, cochez la case de l’add-on. Il devient Actif et ses écrans apparaissent pour les utilisateurs qui ont la permission. Décochez pour le désactiver (ses données sont conservées).</w:t>
      </w:r>
    </w:p>
    <w:p>
      <w:pPr>
        <w:pStyle w:val="Normal"/>
        <w:keepNext w:val="true"/>
        <w:spacing w:before="120" w:after="60"/>
        <w:jc w:val="center"/>
        <w:rPr/>
      </w:pPr>
      <w:r>
        <w:rPr/>
        <w:drawing>
          <wp:inline distT="0" distB="0" distL="0" distR="0">
            <wp:extent cx="5905500" cy="5505450"/>
            <wp:effectExtent l="0" t="0" r="0" b="0"/>
            <wp:docPr id="7" name="addons.png" descr="Figure 5 — Add-ons : une case à cocher par add-on&#10;Figure 5 — Add-ons : une case à cocher par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dons.png" descr="Figure 5 — Add-ons : une case à cocher par add-on&#10;Figure 5 — Add-ons : une case à cocher par add-on"/>
                    <pic:cNvPicPr>
                      <a:picLocks noChangeAspect="1" noChangeArrowheads="1"/>
                    </pic:cNvPicPr>
                  </pic:nvPicPr>
                  <pic:blipFill>
                    <a:blip r:embed="rId8"/>
                    <a:stretch>
                      <a:fillRect/>
                    </a:stretch>
                  </pic:blipFill>
                  <pic:spPr bwMode="auto">
                    <a:xfrm>
                      <a:off x="0" y="0"/>
                      <a:ext cx="5905500" cy="55054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5 — Add-ons : une case à cocher par add-on</w:t>
      </w:r>
    </w:p>
    <w:p>
      <w:pPr>
        <w:pStyle w:val="Heading2"/>
        <w:keepNext w:val="true"/>
        <w:spacing w:before="320" w:after="120"/>
        <w:rPr/>
      </w:pPr>
      <w:bookmarkStart w:id="42" w:name="__RefHeading___Toc5335_3373283034"/>
      <w:bookmarkEnd w:id="42"/>
      <w:r>
        <w:rPr>
          <w:rFonts w:eastAsia="Montserrat" w:cs="Montserrat"/>
          <w:b/>
          <w:bCs/>
          <w:color w:val="123A5F"/>
          <w:sz w:val="32"/>
          <w:szCs w:val="32"/>
        </w:rPr>
        <w:t>Activer une norme de conformité</w:t>
      </w:r>
    </w:p>
    <w:p>
      <w:pPr>
        <w:pStyle w:val="Normal"/>
        <w:spacing w:lineRule="auto" w:line="288" w:before="0" w:after="160"/>
        <w:jc w:val="left"/>
        <w:rPr/>
      </w:pPr>
      <w:r>
        <w:rPr>
          <w:rFonts w:eastAsia="Open Sans" w:cs="Open Sans"/>
          <w:color w:val="2C3E50"/>
          <w:sz w:val="22"/>
          <w:szCs w:val="22"/>
        </w:rPr>
        <w:t>Dans Normes de conformité et de sécurité, cochez la norme. La première activation crée une seule fois ses contrôles (par exemple 4 contrôles pour ISO/IEC 27001) dans le registre des contrôles. La désactivation conserve les contrôles. Lisez l’avertissement : l’application organise les éléments probants ; seul un organisme accrédité peut certifier.</w:t>
      </w:r>
    </w:p>
    <w:p>
      <w:pPr>
        <w:pStyle w:val="Normal"/>
        <w:keepNext w:val="true"/>
        <w:spacing w:before="120" w:after="60"/>
        <w:jc w:val="center"/>
        <w:rPr/>
      </w:pPr>
      <w:r>
        <w:rPr/>
        <w:drawing>
          <wp:inline distT="0" distB="0" distL="0" distR="0">
            <wp:extent cx="5905500" cy="2486025"/>
            <wp:effectExtent l="0" t="0" r="0" b="0"/>
            <wp:docPr id="8" name="compliance.png" descr="Figure 6 — Normes de conformité et de sécurité&#10;Figure 6 — Normes de conformité et de 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liance.png" descr="Figure 6 — Normes de conformité et de sécurité&#10;Figure 6 — Normes de conformité et de sécurité"/>
                    <pic:cNvPicPr>
                      <a:picLocks noChangeAspect="1" noChangeArrowheads="1"/>
                    </pic:cNvPicPr>
                  </pic:nvPicPr>
                  <pic:blipFill>
                    <a:blip r:embed="rId9"/>
                    <a:stretch>
                      <a:fillRect/>
                    </a:stretch>
                  </pic:blipFill>
                  <pic:spPr bwMode="auto">
                    <a:xfrm>
                      <a:off x="0" y="0"/>
                      <a:ext cx="5905500" cy="24860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6 — Normes de conformité et de sécurité</w:t>
      </w:r>
    </w:p>
    <w:p>
      <w:pPr>
        <w:pStyle w:val="Heading2"/>
        <w:keepNext w:val="true"/>
        <w:spacing w:before="320" w:after="120"/>
        <w:rPr/>
      </w:pPr>
      <w:bookmarkStart w:id="43" w:name="__RefHeading___Toc5337_3373283034"/>
      <w:bookmarkEnd w:id="43"/>
      <w:r>
        <w:rPr>
          <w:rFonts w:eastAsia="Montserrat" w:cs="Montserrat"/>
          <w:b/>
          <w:bCs/>
          <w:color w:val="123A5F"/>
          <w:sz w:val="32"/>
          <w:szCs w:val="32"/>
        </w:rPr>
        <w:t>Téléverser un nouveau fichier de licence</w:t>
      </w:r>
    </w:p>
    <w:p>
      <w:pPr>
        <w:pStyle w:val="ListParagraph"/>
        <w:numPr>
          <w:ilvl w:val="0"/>
          <w:numId w:val="17"/>
        </w:numPr>
        <w:spacing w:lineRule="auto" w:line="288" w:before="0" w:after="80"/>
        <w:rPr/>
      </w:pPr>
      <w:r>
        <w:rPr>
          <w:rFonts w:eastAsia="Open Sans" w:cs="Open Sans"/>
          <w:color w:val="2C3E50"/>
          <w:sz w:val="22"/>
          <w:szCs w:val="22"/>
        </w:rPr>
        <w:t>Enregistrez sur votre ordinateur le fichier .lic reçu de l’éditeur.</w:t>
      </w:r>
    </w:p>
    <w:p>
      <w:pPr>
        <w:pStyle w:val="ListParagraph"/>
        <w:numPr>
          <w:ilvl w:val="0"/>
          <w:numId w:val="7"/>
        </w:numPr>
        <w:spacing w:lineRule="auto" w:line="288" w:before="0" w:after="80"/>
        <w:rPr/>
      </w:pPr>
      <w:r>
        <w:rPr>
          <w:rFonts w:eastAsia="Open Sans" w:cs="Open Sans"/>
          <w:color w:val="2C3E50"/>
          <w:sz w:val="22"/>
          <w:szCs w:val="22"/>
        </w:rPr>
        <w:t>Dans Administration › Configuration et licence, cliquez sur Téléverser la licence (carte Licence) et choisissez le fichier.</w:t>
      </w:r>
    </w:p>
    <w:p>
      <w:pPr>
        <w:pStyle w:val="ListParagraph"/>
        <w:numPr>
          <w:ilvl w:val="0"/>
          <w:numId w:val="7"/>
        </w:numPr>
        <w:spacing w:lineRule="auto" w:line="288" w:before="0" w:after="80"/>
        <w:rPr/>
      </w:pPr>
      <w:r>
        <w:rPr>
          <w:rFonts w:eastAsia="Open Sans" w:cs="Open Sans"/>
          <w:color w:val="2C3E50"/>
          <w:sz w:val="22"/>
          <w:szCs w:val="22"/>
        </w:rPr>
        <w:t>La carte Licence affiche le nouveau plan, les utilisateurs et la date. Un message explique tout refus (signature non valide, fichier d’une autre organisation).</w:t>
      </w:r>
      <w:r>
        <w:br w:type="page"/>
      </w:r>
    </w:p>
    <w:p>
      <w:pPr>
        <w:pStyle w:val="Heading1"/>
        <w:pBdr>
          <w:bottom w:val="single" w:sz="6" w:space="6" w:color="E1E8F0"/>
        </w:pBdr>
        <w:spacing w:before="0" w:after="240"/>
        <w:rPr/>
      </w:pPr>
      <w:bookmarkStart w:id="44" w:name="__RefHeading___Toc5339_3373283034"/>
      <w:bookmarkEnd w:id="44"/>
      <w:r>
        <w:rPr>
          <w:rFonts w:eastAsia="Montserrat" w:cs="Montserrat"/>
          <w:b/>
          <w:bCs/>
          <w:color w:val="123A5F"/>
          <w:sz w:val="40"/>
          <w:szCs w:val="40"/>
        </w:rPr>
        <w:t>8. Exploiter l’installation (côté serveur)</w:t>
      </w:r>
    </w:p>
    <w:p>
      <w:pPr>
        <w:pStyle w:val="Normal"/>
        <w:spacing w:lineRule="auto" w:line="288" w:before="0" w:after="160"/>
        <w:jc w:val="left"/>
        <w:rPr/>
      </w:pPr>
      <w:r>
        <w:rPr>
          <w:rFonts w:eastAsia="Open Sans" w:cs="Open Sans"/>
          <w:color w:val="2C3E50"/>
          <w:sz w:val="22"/>
          <w:szCs w:val="22"/>
        </w:rPr>
        <w:t>Les chemins sont pour Linux. Sous Windows : C:\CortexSkills pour l’application, votre DATA_DIR pour les données, nssm stop / nssm start CortexSkills pour le service.</w:t>
      </w:r>
    </w:p>
    <w:p>
      <w:pPr>
        <w:pStyle w:val="Heading2"/>
        <w:keepNext w:val="true"/>
        <w:spacing w:before="320" w:after="120"/>
        <w:rPr/>
      </w:pPr>
      <w:bookmarkStart w:id="45" w:name="__RefHeading___Toc5341_3373283034"/>
      <w:bookmarkEnd w:id="45"/>
      <w:r>
        <w:rPr>
          <w:rFonts w:eastAsia="Montserrat" w:cs="Montserrat"/>
          <w:b/>
          <w:bCs/>
          <w:color w:val="123A5F"/>
          <w:sz w:val="32"/>
          <w:szCs w:val="32"/>
        </w:rPr>
        <w:t>Sauvegardes</w:t>
      </w:r>
    </w:p>
    <w:p>
      <w:pPr>
        <w:pStyle w:val="ListParagraph"/>
        <w:numPr>
          <w:ilvl w:val="0"/>
          <w:numId w:val="1"/>
        </w:numPr>
        <w:spacing w:lineRule="auto" w:line="288" w:before="0" w:after="80"/>
        <w:rPr/>
      </w:pPr>
      <w:r>
        <w:rPr>
          <w:rFonts w:eastAsia="Open Sans" w:cs="Open Sans"/>
          <w:color w:val="2C3E50"/>
          <w:sz w:val="22"/>
          <w:szCs w:val="22"/>
        </w:rPr>
        <w:t>Le serveur sauvegarde la base chaque jour (dossier de données › backups) et la conserve BACKUP_RETENTION_DAYS jours. Chaque sauvegarde est aussi copiée dans BACKUP_COPY_DIR s’il est renseigné : montez-y un dossier d’une autre machine ou d’un stockage cloud.</w:t>
      </w:r>
    </w:p>
    <w:p>
      <w:pPr>
        <w:pStyle w:val="ListParagraph"/>
        <w:numPr>
          <w:ilvl w:val="0"/>
          <w:numId w:val="1"/>
        </w:numPr>
        <w:spacing w:lineRule="auto" w:line="288" w:before="0" w:after="80"/>
        <w:rPr/>
      </w:pPr>
      <w:r>
        <w:rPr>
          <w:rFonts w:eastAsia="Open Sans" w:cs="Open Sans"/>
          <w:color w:val="2C3E50"/>
          <w:sz w:val="22"/>
          <w:szCs w:val="22"/>
        </w:rPr>
        <w:t>Faites une sauvegarde à tout moment, par exemple avant une mise à jour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backup</w:t>
      </w:r>
    </w:p>
    <w:p>
      <w:pPr>
        <w:pStyle w:val="ListParagraph"/>
        <w:numPr>
          <w:ilvl w:val="0"/>
          <w:numId w:val="1"/>
        </w:numPr>
        <w:spacing w:lineRule="auto" w:line="288" w:before="0" w:after="80"/>
        <w:rPr/>
      </w:pPr>
      <w:r>
        <w:rPr>
          <w:rFonts w:eastAsia="Open Sans" w:cs="Open Sans"/>
          <w:color w:val="2C3E50"/>
          <w:sz w:val="22"/>
          <w:szCs w:val="22"/>
        </w:rPr>
        <w:t>Les fichiers joints (dossier de données › attachments) ne sont pas dans la sauvegarde de la base : incluez tout le dossier de données dans votre sauvegarde de fichiers ou vos instantanés de disque.</w:t>
      </w:r>
    </w:p>
    <w:p>
      <w:pPr>
        <w:pStyle w:val="Heading3"/>
        <w:keepNext w:val="true"/>
        <w:spacing w:before="240" w:after="80"/>
        <w:rPr/>
      </w:pPr>
      <w:bookmarkStart w:id="46" w:name="__RefHeading___Toc5343_3373283034"/>
      <w:bookmarkEnd w:id="46"/>
      <w:r>
        <w:rPr>
          <w:rFonts w:eastAsia="Montserrat" w:cs="Montserrat"/>
          <w:b/>
          <w:bCs/>
          <w:color w:val="123A5F"/>
          <w:sz w:val="26"/>
          <w:szCs w:val="26"/>
        </w:rPr>
        <w:t>Restaurer une sauvegarde</w:t>
      </w:r>
    </w:p>
    <w:p>
      <w:pPr>
        <w:pStyle w:val="ListParagraph"/>
        <w:numPr>
          <w:ilvl w:val="0"/>
          <w:numId w:val="18"/>
        </w:numPr>
        <w:spacing w:lineRule="auto" w:line="288" w:before="0" w:after="80"/>
        <w:rPr/>
      </w:pPr>
      <w:r>
        <w:rPr>
          <w:rFonts w:eastAsia="Open Sans" w:cs="Open Sans"/>
          <w:color w:val="2C3E50"/>
          <w:sz w:val="22"/>
          <w:szCs w:val="22"/>
        </w:rPr>
        <w:t>Arrêtez le service : sudo systemctl stop cortexskills</w:t>
      </w:r>
    </w:p>
    <w:p>
      <w:pPr>
        <w:pStyle w:val="ListParagraph"/>
        <w:numPr>
          <w:ilvl w:val="0"/>
          <w:numId w:val="8"/>
        </w:numPr>
        <w:spacing w:lineRule="auto" w:line="288" w:before="0" w:after="80"/>
        <w:rPr/>
      </w:pPr>
      <w:r>
        <w:rPr>
          <w:rFonts w:eastAsia="Open Sans" w:cs="Open Sans"/>
          <w:color w:val="2C3E50"/>
          <w:sz w:val="22"/>
          <w:szCs w:val="22"/>
        </w:rPr>
        <w:t>Dans /var/lib/cortexskills, déplacez cortexskills.db (et les fichiers cortexskills.db-wal et cortexskills.db-shm s’ils existent) dans un dossier de côté.</w:t>
      </w:r>
    </w:p>
    <w:p>
      <w:pPr>
        <w:pStyle w:val="ListParagraph"/>
        <w:numPr>
          <w:ilvl w:val="0"/>
          <w:numId w:val="8"/>
        </w:numPr>
        <w:spacing w:lineRule="auto" w:line="288" w:before="0" w:after="80"/>
        <w:rPr/>
      </w:pPr>
      <w:r>
        <w:rPr>
          <w:rFonts w:eastAsia="Open Sans" w:cs="Open Sans"/>
          <w:color w:val="2C3E50"/>
          <w:sz w:val="22"/>
          <w:szCs w:val="22"/>
        </w:rPr>
        <w:t>Copiez le fichier choisi depuis backups (ou depuis BACKUP_COPY_DIR) vers /var/lib/cortexskills/cortexskills.db et attribuez-le à l’utilisateur cortexskills (chown).</w:t>
      </w:r>
    </w:p>
    <w:p>
      <w:pPr>
        <w:pStyle w:val="ListParagraph"/>
        <w:numPr>
          <w:ilvl w:val="0"/>
          <w:numId w:val="8"/>
        </w:numPr>
        <w:spacing w:lineRule="auto" w:line="288" w:before="0" w:after="80"/>
        <w:rPr/>
      </w:pPr>
      <w:r>
        <w:rPr>
          <w:rFonts w:eastAsia="Open Sans" w:cs="Open Sans"/>
          <w:color w:val="2C3E50"/>
          <w:sz w:val="22"/>
          <w:szCs w:val="22"/>
        </w:rPr>
        <w:t>Démarrez le service : sudo systemctl start cortexskills. Une sauvegarde d’une version antérieure est mise à niveau automatiquement au démarrage.</w:t>
      </w:r>
    </w:p>
    <w:p>
      <w:pPr>
        <w:pStyle w:val="Heading2"/>
        <w:keepNext w:val="true"/>
        <w:spacing w:before="320" w:after="120"/>
        <w:rPr/>
      </w:pPr>
      <w:bookmarkStart w:id="47" w:name="__RefHeading___Toc5345_3373283034"/>
      <w:bookmarkEnd w:id="47"/>
      <w:r>
        <w:rPr>
          <w:rFonts w:eastAsia="Montserrat" w:cs="Montserrat"/>
          <w:b/>
          <w:bCs/>
          <w:color w:val="123A5F"/>
          <w:sz w:val="32"/>
          <w:szCs w:val="32"/>
        </w:rPr>
        <w:t>Mettre à jour vers une nouvelle version</w:t>
      </w:r>
    </w:p>
    <w:p>
      <w:pPr>
        <w:pStyle w:val="ListParagraph"/>
        <w:numPr>
          <w:ilvl w:val="0"/>
          <w:numId w:val="19"/>
        </w:numPr>
        <w:spacing w:lineRule="auto" w:line="288" w:before="0" w:after="80"/>
        <w:rPr/>
      </w:pPr>
      <w:r>
        <w:rPr>
          <w:rFonts w:eastAsia="Open Sans" w:cs="Open Sans"/>
          <w:color w:val="2C3E50"/>
          <w:sz w:val="22"/>
          <w:szCs w:val="22"/>
        </w:rPr>
        <w:t>Faites une sauvegarde (npm run backup) et arrêtez le service.</w:t>
      </w:r>
    </w:p>
    <w:p>
      <w:pPr>
        <w:pStyle w:val="ListParagraph"/>
        <w:numPr>
          <w:ilvl w:val="0"/>
          <w:numId w:val="9"/>
        </w:numPr>
        <w:spacing w:lineRule="auto" w:line="288" w:before="0" w:after="80"/>
        <w:rPr/>
      </w:pPr>
      <w:r>
        <w:rPr>
          <w:rFonts w:eastAsia="Open Sans" w:cs="Open Sans"/>
          <w:color w:val="2C3E50"/>
          <w:sz w:val="22"/>
          <w:szCs w:val="22"/>
        </w:rPr>
        <w:t>Conservez server/.env et server/tools/keys/vendor-public.pem. Le dossier de données (/var/lib/cortexskills) est hors du dossier de l’application et n’est pas modifié.</w:t>
      </w:r>
    </w:p>
    <w:p>
      <w:pPr>
        <w:pStyle w:val="ListParagraph"/>
        <w:numPr>
          <w:ilvl w:val="0"/>
          <w:numId w:val="9"/>
        </w:numPr>
        <w:spacing w:lineRule="auto" w:line="288" w:before="0" w:after="80"/>
        <w:rPr/>
      </w:pPr>
      <w:r>
        <w:rPr>
          <w:rFonts w:eastAsia="Open Sans" w:cs="Open Sans"/>
          <w:color w:val="2C3E50"/>
          <w:sz w:val="22"/>
          <w:szCs w:val="22"/>
        </w:rPr>
        <w:t>Décompressez le nouveau CortexSkills-app.zip sur /opt/cortexskills, remettez le(s) fichier(s) conservé(s), puis lancez : cd /opt/cortexskills/server &amp;&amp; sudo npm ci --omit=dev</w:t>
      </w:r>
    </w:p>
    <w:p>
      <w:pPr>
        <w:pStyle w:val="ListParagraph"/>
        <w:numPr>
          <w:ilvl w:val="0"/>
          <w:numId w:val="9"/>
        </w:numPr>
        <w:spacing w:lineRule="auto" w:line="288" w:before="0" w:after="80"/>
        <w:rPr/>
      </w:pPr>
      <w:r>
        <w:rPr>
          <w:rFonts w:eastAsia="Open Sans" w:cs="Open Sans"/>
          <w:color w:val="2C3E50"/>
          <w:sz w:val="22"/>
          <w:szCs w:val="22"/>
        </w:rPr>
        <w:t>Rendez le dossier au compte de service (chown -R cortexskills:cortexskills /opt/cortexskills) et démarrez le service. Les évolutions de la base sont appliquées automatiquement au démarrage.</w:t>
      </w:r>
    </w:p>
    <w:p>
      <w:pPr>
        <w:pStyle w:val="Heading2"/>
        <w:keepNext w:val="true"/>
        <w:spacing w:before="320" w:after="120"/>
        <w:rPr/>
      </w:pPr>
      <w:bookmarkStart w:id="48" w:name="__RefHeading___Toc5347_3373283034"/>
      <w:bookmarkEnd w:id="48"/>
      <w:r>
        <w:rPr>
          <w:rFonts w:eastAsia="Montserrat" w:cs="Montserrat"/>
          <w:b/>
          <w:bCs/>
          <w:color w:val="123A5F"/>
          <w:sz w:val="32"/>
          <w:szCs w:val="32"/>
        </w:rPr>
        <w:t>Supervision et journaux</w:t>
      </w:r>
    </w:p>
    <w:p>
      <w:pPr>
        <w:pStyle w:val="ListParagraph"/>
        <w:numPr>
          <w:ilvl w:val="0"/>
          <w:numId w:val="1"/>
        </w:numPr>
        <w:spacing w:lineRule="auto" w:line="288" w:before="0" w:after="80"/>
        <w:rPr/>
      </w:pPr>
      <w:r>
        <w:rPr>
          <w:rFonts w:eastAsia="Open Sans" w:cs="Open Sans"/>
          <w:color w:val="2C3E50"/>
          <w:sz w:val="22"/>
          <w:szCs w:val="22"/>
        </w:rPr>
        <w:t xml:space="preserve">Contrôle de santé pour votre outil de supervision : </w:t>
      </w:r>
      <w:r>
        <w:rPr>
          <w:rFonts w:eastAsia="Open Sans" w:cs="Open Sans"/>
          <w:b/>
          <w:bCs/>
          <w:color w:val="2C3E50"/>
          <w:sz w:val="22"/>
          <w:szCs w:val="22"/>
        </w:rPr>
        <w:t>GET https://skills.customer.com/api/health</w:t>
      </w:r>
      <w:r>
        <w:rPr>
          <w:rFonts w:eastAsia="Open Sans" w:cs="Open Sans"/>
          <w:color w:val="2C3E50"/>
          <w:sz w:val="22"/>
          <w:szCs w:val="22"/>
        </w:rPr>
        <w:t xml:space="preserve"> (status ok).</w:t>
      </w:r>
    </w:p>
    <w:p>
      <w:pPr>
        <w:pStyle w:val="ListParagraph"/>
        <w:numPr>
          <w:ilvl w:val="0"/>
          <w:numId w:val="1"/>
        </w:numPr>
        <w:spacing w:lineRule="auto" w:line="288" w:before="0" w:after="80"/>
        <w:rPr/>
      </w:pPr>
      <w:r>
        <w:rPr>
          <w:rFonts w:eastAsia="Open Sans" w:cs="Open Sans"/>
          <w:color w:val="2C3E50"/>
          <w:sz w:val="22"/>
          <w:szCs w:val="22"/>
        </w:rPr>
        <w:t>Chaque requête API est écrite sur une ligne JSON (heure, méthode, chemin, statut, durée, adresse du client, utilisateur) dans /var/log/cortexskills/cortexskills.log ; les erreurs vont dans cortexskills-error.log. Faites-les tourner avec logrotate.</w:t>
      </w:r>
    </w:p>
    <w:p>
      <w:pPr>
        <w:pStyle w:val="ListParagraph"/>
        <w:numPr>
          <w:ilvl w:val="0"/>
          <w:numId w:val="1"/>
        </w:numPr>
        <w:spacing w:lineRule="auto" w:line="288" w:before="0" w:after="80"/>
        <w:rPr/>
      </w:pPr>
      <w:r>
        <w:rPr>
          <w:rFonts w:eastAsia="Open Sans" w:cs="Open Sans"/>
          <w:color w:val="2C3E50"/>
          <w:sz w:val="22"/>
          <w:szCs w:val="22"/>
        </w:rPr>
        <w:t>Chaque changement administratif (offre, add-on, licence, utilisateurs, changement de mot de passe) figure dans la piste d’audit de l’organisation.</w:t>
      </w:r>
    </w:p>
    <w:p>
      <w:pPr>
        <w:pStyle w:val="Heading2"/>
        <w:keepNext w:val="true"/>
        <w:spacing w:before="320" w:after="120"/>
        <w:rPr/>
      </w:pPr>
      <w:bookmarkStart w:id="49" w:name="__RefHeading___Toc5349_3373283034"/>
      <w:bookmarkEnd w:id="49"/>
      <w:r>
        <w:rPr>
          <w:rFonts w:eastAsia="Montserrat" w:cs="Montserrat"/>
          <w:b/>
          <w:bCs/>
          <w:color w:val="123A5F"/>
          <w:sz w:val="32"/>
          <w:szCs w:val="32"/>
        </w:rPr>
        <w:t>Liste de contrôle sécurité</w:t>
      </w:r>
    </w:p>
    <w:tbl>
      <w:tblPr>
        <w:tblW w:w="9638" w:type="dxa"/>
        <w:jc w:val="left"/>
        <w:tblInd w:w="0" w:type="dxa"/>
        <w:tblLayout w:type="fixed"/>
        <w:tblCellMar>
          <w:top w:w="70" w:type="dxa"/>
          <w:left w:w="110" w:type="dxa"/>
          <w:bottom w:w="70" w:type="dxa"/>
          <w:right w:w="110" w:type="dxa"/>
        </w:tblCellMar>
      </w:tblPr>
      <w:tblGrid>
        <w:gridCol w:w="692"/>
        <w:gridCol w:w="8945"/>
      </w:tblGrid>
      <w:tr>
        <w:trPr>
          <w:tblHeader w:val="true"/>
          <w:cantSplit w:val="true"/>
        </w:trPr>
        <w:tc>
          <w:tcPr>
            <w:tcW w:w="6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Contrôle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uniquement ; port 4000 inaccessible depuis l’extérieur (pare-feu).</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 lisible seulement par root et cortexskills (chmod 600) ; une copie dans le coffre-fort de mots de passe.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ADMIN_PASSWORD supprimé du fichier .env après npm run init.</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Sauvegardes copiées hors du serveur (BACKUP_COPY_DIR) et une restauration testée une fois.</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Mises à jour du système appliquées chaque mois ; Node.js maintenu sur la branche 22 LTS.</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Seulement vendor-public.pem dans server/tools/keys (jamais vendor-private.pem).</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administrateur a changé son mot de passe temporaire à la première connexion.</w:t>
            </w:r>
          </w:p>
        </w:tc>
      </w:tr>
    </w:tbl>
    <w:p>
      <w:pPr>
        <w:pStyle w:val="Heading2"/>
        <w:keepNext w:val="true"/>
        <w:spacing w:before="320" w:after="120"/>
        <w:rPr/>
      </w:pPr>
      <w:bookmarkStart w:id="50" w:name="__RefHeading___Toc5351_3373283034"/>
      <w:bookmarkEnd w:id="50"/>
      <w:r>
        <w:rPr>
          <w:rFonts w:eastAsia="Montserrat" w:cs="Montserrat"/>
          <w:b/>
          <w:bCs/>
          <w:color w:val="123A5F"/>
          <w:sz w:val="32"/>
          <w:szCs w:val="32"/>
        </w:rPr>
        <w:t>Dépannage</w:t>
      </w:r>
    </w:p>
    <w:tbl>
      <w:tblPr>
        <w:tblW w:w="9638" w:type="dxa"/>
        <w:jc w:val="left"/>
        <w:tblInd w:w="0" w:type="dxa"/>
        <w:tblLayout w:type="fixed"/>
        <w:tblCellMar>
          <w:top w:w="70" w:type="dxa"/>
          <w:left w:w="110" w:type="dxa"/>
          <w:bottom w:w="70" w:type="dxa"/>
          <w:right w:w="110" w:type="dxa"/>
        </w:tblCellMar>
      </w:tblPr>
      <w:tblGrid>
        <w:gridCol w:w="3657"/>
        <w:gridCol w:w="5980"/>
      </w:tblGrid>
      <w:tr>
        <w:trPr>
          <w:tblHeader w:val="true"/>
          <w:cantSplit w:val="true"/>
        </w:trPr>
        <w:tc>
          <w:tcPr>
            <w:tcW w:w="36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Message ou symptôme</w:t>
            </w:r>
          </w:p>
        </w:tc>
        <w:tc>
          <w:tcPr>
            <w:tcW w:w="5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 faire</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CortexSkills will not start in production mode » suivi d’une liste</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Corrigez chaque ligne dans server/.env (ou dans server/tools/keys), puis redémarrez. npm run secrets génère les secrets.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The database holds the demonstration data »</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base a été créée avec npm run seed. Initialisez une base de production : npm run init -- --wipe-all-data (efface tout).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The database already holds N organization(s) » (npm run init)</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Protection normale : la base est déjà en service. Ne la réinitialisez pas.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La licence de cette organisation n’est pas active » à la connexion</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Installez la licence signée : npm run admin -- licence-install --file &lt;fichier.lic&gt;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La signature de la licence n’est pas valide »</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fichier a été modifié ou n’a pas été signé avec la clé de l’éditeur. Demandez un nouveau fichier à l’éditeur ; ne le modifiez pas.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Ce fichier de licence appartient à une autre organisation »</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L’identifiant d’organisation du fichier n’est pas celui de cette organisation. Comparez avec npm run admin -- org-list.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502 Bad Gateway dans le navigateur</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service est arrêté : sudo systemctl status cortexskills, puis lisez le journal d’erreurs.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Envois de plus de 30 Mo refusés</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Limite fixée dans le proxy inverse (client_max_body_size dans Nginx, max_size dans Caddy, maxAllowedContentLength dans IIS).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utilisateur a oublié son mot de passe</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L’administrateur de l’organisation en définit un temporaire dans Administration › Utilisateurs ; sur le serveur : npm run admin -- password --email &lt;e-mail&gt; --password &lt;nouveau&gt;</w:t>
            </w:r>
          </w:p>
        </w:tc>
      </w:tr>
    </w:tbl>
    <w:p>
      <w:pPr>
        <w:pStyle w:val="Heading1"/>
        <w:pBdr>
          <w:bottom w:val="single" w:sz="6" w:space="6" w:color="E1E8F0"/>
        </w:pBdr>
        <w:spacing w:before="0" w:after="240"/>
        <w:rPr/>
      </w:pPr>
      <w:r>
        <w:br w:type="page"/>
      </w:r>
      <w:bookmarkStart w:id="51" w:name="__RefHeading___Toc5353_3373283034"/>
      <w:bookmarkEnd w:id="51"/>
      <w:r>
        <w:rPr>
          <w:rFonts w:eastAsia="Montserrat" w:cs="Montserrat"/>
          <w:b/>
          <w:bCs/>
          <w:color w:val="123A5F"/>
          <w:sz w:val="40"/>
          <w:szCs w:val="40"/>
        </w:rPr>
        <w:t>Annexe — Commandes de la console</w:t>
      </w:r>
    </w:p>
    <w:tbl>
      <w:tblPr>
        <w:tblW w:w="9638" w:type="dxa"/>
        <w:jc w:val="left"/>
        <w:tblInd w:w="0" w:type="dxa"/>
        <w:tblLayout w:type="fixed"/>
        <w:tblCellMar>
          <w:top w:w="70" w:type="dxa"/>
          <w:left w:w="110" w:type="dxa"/>
          <w:bottom w:w="70" w:type="dxa"/>
          <w:right w:w="110" w:type="dxa"/>
        </w:tblCellMar>
      </w:tblPr>
      <w:tblGrid>
        <w:gridCol w:w="5141"/>
        <w:gridCol w:w="4496"/>
      </w:tblGrid>
      <w:tr>
        <w:trPr>
          <w:tblHeader w:val="true"/>
          <w:cantSplit w:val="true"/>
        </w:trPr>
        <w:tc>
          <w:tcPr>
            <w:tcW w:w="5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Commande (dans /opt/cortexskills/server)</w:t>
            </w:r>
          </w:p>
        </w:tc>
        <w:tc>
          <w:tcPr>
            <w:tcW w:w="44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secrets</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Afficher trois nouveaux secrets aléatoires pour .env</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init</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Créer la base de production vide et l’administrateur de la plateforme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backup</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Sauvegarder la base maintenant</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org-create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Créer une organisation cliente, sa licence et son administrateur</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org-list</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Lister les organisations avec offre, utilisateurs, add-ons et fin de licence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packs</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Lister packs, offres groupées, packs PME, add-ons et normes</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licence-request --org &lt;domain&gt;</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Afficher ce qu’il faut envoyer à l’éditeur (société, identifiant, offre, utilisateurs, add-ons)</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licence-install --file &lt;file.lic&gt;</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la signature de l’éditeur et installer la licence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addon --org &lt;domain&gt; --id AD-08 --on|--off</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Activer ou désactiver un add-on</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user-create --org &lt;domain&gt; --email … --name … --password … [--role R-03]</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Créer un utilisateur (rôle R-01 par défaut)</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password --email … --password …</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Réinitialiser un mot de passe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platform-admin --email … --name … --password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Ajouter un administrateur de la plateforme</w:t>
            </w:r>
          </w:p>
        </w:tc>
      </w:tr>
    </w:tbl>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Guide d’installation CortexSkills — Cloud dédié et On-Prem</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28</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9"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 Guide d’installation — Cloud dédié et On-Prem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4"/>
    <w:lvlOverride w:ilvl="0">
      <w:startOverride w:val="1"/>
    </w:lvlOverride>
  </w:num>
  <w:num w:numId="15">
    <w:abstractNumId w:val="5"/>
    <w:lvlOverride w:ilvl="0">
      <w:startOverride w:val="1"/>
    </w:lvlOverride>
  </w:num>
  <w:num w:numId="16">
    <w:abstractNumId w:val="6"/>
    <w:lvlOverride w:ilvl="0">
      <w:startOverride w:val="1"/>
    </w:lvlOverride>
  </w:num>
  <w:num w:numId="17">
    <w:abstractNumId w:val="7"/>
    <w:lvlOverride w:ilvl="0">
      <w:startOverride w:val="1"/>
    </w:lvlOverride>
  </w:num>
  <w:num w:numId="18">
    <w:abstractNumId w:val="8"/>
    <w:lvlOverride w:ilvl="0">
      <w:startOverride w:val="1"/>
    </w:lvlOverride>
  </w:num>
  <w:num w:numId="19">
    <w:abstractNumId w:val="9"/>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2026-10-12T16:46:14Z</dcterms:created>
  <dc:creator>AI Value</dc:creator>
  <dc:description>Guide d’installation CortexSkills — Cloud dédié et On-Prem</dc:description>
  <dc:language>en-US</dc:language>
  <cp:lastModifiedBy/>
  <dcterms:modified xsi:type="dcterms:W3CDTF">2026-10-12T16:48:25Z</dcterms:modified>
  <cp:revision>2</cp:revision>
  <dc:subject/>
  <dc:title>Guide d’installation CortexSkills — Cloud dédié et On-Prem</dc:title>
</cp:coreProperties>
</file>