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0"/>
        <w:rPr/>
      </w:pPr>
      <w:r>
        <w:rPr/>
      </w:r>
    </w:p>
    <w:p>
      <w:pPr>
        <w:pStyle w:val="Normal"/>
        <w:spacing w:before="0" w:after="0"/>
        <w:jc w:val="center"/>
        <w:rPr/>
      </w:pPr>
      <w:r>
        <w:rPr/>
        <w:drawing>
          <wp:inline distT="0" distB="0" distL="0" distR="0">
            <wp:extent cx="2381250" cy="1695450"/>
            <wp:effectExtent l="0" t="0" r="0" b="0"/>
            <wp:docPr id="1" name="aivalue-logo-900.png"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ivalue-logo-900.png" descr="AI Value&#10;AI Value logo"/>
                    <pic:cNvPicPr>
                      <a:picLocks noChangeAspect="1" noChangeArrowheads="1"/>
                    </pic:cNvPicPr>
                  </pic:nvPicPr>
                  <pic:blipFill>
                    <a:blip r:embed="rId2"/>
                    <a:stretch>
                      <a:fillRect/>
                    </a:stretch>
                  </pic:blipFill>
                  <pic:spPr bwMode="auto">
                    <a:xfrm>
                      <a:off x="0" y="0"/>
                      <a:ext cx="2381250" cy="1695450"/>
                    </a:xfrm>
                    <a:prstGeom prst="rect">
                      <a:avLst/>
                    </a:prstGeom>
                  </pic:spPr>
                </pic:pic>
              </a:graphicData>
            </a:graphic>
          </wp:inline>
        </w:drawing>
      </w:r>
    </w:p>
    <w:p>
      <w:pPr>
        <w:pStyle w:val="Normal"/>
        <w:spacing w:before="0" w:after="900"/>
        <w:rPr/>
      </w:pPr>
      <w:r>
        <w:rPr/>
      </w:r>
    </w:p>
    <w:p>
      <w:pPr>
        <w:pStyle w:val="Normal"/>
        <w:spacing w:before="0" w:after="300"/>
        <w:jc w:val="center"/>
        <w:rPr/>
      </w:pPr>
      <w:r>
        <w:rPr/>
        <w:drawing>
          <wp:inline distT="0" distB="0" distL="0" distR="0">
            <wp:extent cx="1905000" cy="1905000"/>
            <wp:effectExtent l="0" t="0" r="0" b="0"/>
            <wp:docPr id="2" name="cortexskills-logo.png" descr="CortexSkills&#10;CortexSk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rtexskills-logo.png" descr="CortexSkills&#10;CortexSkills"/>
                    <pic:cNvPicPr>
                      <a:picLocks noChangeAspect="1" noChangeArrowheads="1"/>
                    </pic:cNvPicPr>
                  </pic:nvPicPr>
                  <pic:blipFill>
                    <a:blip r:embed="rId3"/>
                    <a:stretch>
                      <a:fillRect/>
                    </a:stretch>
                  </pic:blipFill>
                  <pic:spPr bwMode="auto">
                    <a:xfrm>
                      <a:off x="0" y="0"/>
                      <a:ext cx="1905000" cy="1905000"/>
                    </a:xfrm>
                    <a:prstGeom prst="rect">
                      <a:avLst/>
                    </a:prstGeom>
                  </pic:spPr>
                </pic:pic>
              </a:graphicData>
            </a:graphic>
          </wp:inline>
        </w:drawing>
      </w:r>
    </w:p>
    <w:p>
      <w:pPr>
        <w:pStyle w:val="Normal"/>
        <w:spacing w:before="0" w:after="140"/>
        <w:jc w:val="center"/>
        <w:rPr/>
      </w:pPr>
      <w:r>
        <w:rPr>
          <w:rFonts w:eastAsia="Open Sans" w:cs="Open Sans"/>
          <w:b/>
          <w:bCs/>
          <w:color w:val="1876C6"/>
          <w:spacing w:val="60"/>
          <w:sz w:val="28"/>
          <w:szCs w:val="28"/>
        </w:rPr>
        <w:t>GUIDE D’INSTALLATION · PRODUCTION</w:t>
      </w:r>
    </w:p>
    <w:p>
      <w:pPr>
        <w:pStyle w:val="Normal"/>
        <w:spacing w:before="0" w:after="200"/>
        <w:jc w:val="center"/>
        <w:rPr/>
      </w:pPr>
      <w:r>
        <w:rPr>
          <w:rFonts w:eastAsia="Montserrat" w:cs="Montserrat" w:ascii="Montserrat" w:hAnsi="Montserrat"/>
          <w:b/>
          <w:bCs/>
          <w:color w:val="123A5F"/>
          <w:sz w:val="56"/>
          <w:szCs w:val="56"/>
        </w:rPr>
        <w:t>CortexSkills — Mode SaaS</w:t>
      </w:r>
    </w:p>
    <w:p>
      <w:pPr>
        <w:pStyle w:val="Normal"/>
        <w:spacing w:before="0" w:after="1400"/>
        <w:jc w:val="center"/>
        <w:rPr/>
      </w:pPr>
      <w:r>
        <w:rPr>
          <w:rFonts w:eastAsia="Open Sans" w:cs="Open Sans"/>
          <w:color w:val="2C3E50"/>
          <w:sz w:val="26"/>
          <w:szCs w:val="26"/>
        </w:rPr>
        <w:t>Héberger une plateforme CortexSkills pour plusieurs organisations clientes, intégrer chaque client et activer ses offres</w:t>
      </w:r>
    </w:p>
    <w:p>
      <w:pPr>
        <w:pStyle w:val="Normal"/>
        <w:spacing w:before="0" w:after="60"/>
        <w:jc w:val="center"/>
        <w:rPr/>
      </w:pPr>
      <w:r>
        <w:rPr>
          <w:rFonts w:eastAsia="Open Sans" w:cs="Open Sans"/>
          <w:color w:val="5A6B7B"/>
          <w:sz w:val="20"/>
          <w:szCs w:val="20"/>
        </w:rPr>
        <w:t>Version 1.10.0 · 2026-10-12</w:t>
      </w:r>
    </w:p>
    <w:p>
      <w:pPr>
        <w:pStyle w:val="Normal"/>
        <w:spacing w:before="0" w:after="60"/>
        <w:jc w:val="center"/>
        <w:rPr/>
      </w:pPr>
      <w:r>
        <w:rPr>
          <w:rFonts w:eastAsia="Open Sans" w:cs="Open Sans"/>
          <w:color w:val="5A6B7B"/>
          <w:sz w:val="20"/>
          <w:szCs w:val="20"/>
        </w:rPr>
        <w:t>Préparé par AI Value</w:t>
      </w:r>
    </w:p>
    <w:p>
      <w:pPr>
        <w:pStyle w:val="Normal"/>
        <w:rPr/>
      </w:pPr>
      <w:r>
        <w:rPr/>
      </w:r>
      <w:r>
        <w:br w:type="page"/>
      </w:r>
    </w:p>
    <w:p>
      <w:pPr>
        <w:pStyle w:val="Normal"/>
        <w:pBdr>
          <w:bottom w:val="single" w:sz="6" w:space="6" w:color="E1E8F0"/>
        </w:pBdr>
        <w:spacing w:before="0" w:after="240"/>
        <w:rPr/>
      </w:pPr>
      <w:r>
        <w:rPr>
          <w:rFonts w:eastAsia="Montserrat" w:cs="Montserrat" w:ascii="Montserrat" w:hAnsi="Montserrat"/>
          <w:b/>
          <w:bCs/>
          <w:color w:val="123A5F"/>
          <w:sz w:val="40"/>
          <w:szCs w:val="40"/>
        </w:rPr>
        <w:t>Table des matières</w:t>
      </w:r>
    </w:p>
    <w:sdt>
      <w:sdtPr>
        <w:docPartObj>
          <w:docPartGallery w:val="Table of Contents"/>
          <w:docPartUnique w:val="true"/>
        </w:docPartObj>
      </w:sdtPr>
      <w:sdtContent>
        <w:p>
          <w:pPr>
            <w:pStyle w:val="TOC1"/>
            <w:tabs>
              <w:tab w:val="clear" w:pos="720"/>
              <w:tab w:val="right" w:pos="9637" w:leader="dot"/>
            </w:tabs>
            <w:rPr/>
          </w:pPr>
          <w:r>
            <w:fldChar w:fldCharType="begin"/>
          </w:r>
          <w:r>
            <w:rPr>
              <w:rStyle w:val="IndexLink"/>
            </w:rPr>
            <w:instrText xml:space="preserve"> TOC \o "1-3" \h</w:instrText>
          </w:r>
          <w:r>
            <w:rPr>
              <w:rStyle w:val="IndexLink"/>
            </w:rPr>
            <w:fldChar w:fldCharType="separate"/>
          </w:r>
          <w:hyperlink w:anchor="__RefHeading___Toc8307_3373283034">
            <w:r>
              <w:rPr>
                <w:rStyle w:val="IndexLink"/>
              </w:rPr>
              <w:t>1. À propos de ce guide</w:t>
              <w:tab/>
              <w:t>4</w:t>
            </w:r>
          </w:hyperlink>
        </w:p>
        <w:p>
          <w:pPr>
            <w:pStyle w:val="TOC2"/>
            <w:tabs>
              <w:tab w:val="clear" w:pos="720"/>
              <w:tab w:val="right" w:pos="9637" w:leader="dot"/>
            </w:tabs>
            <w:rPr/>
          </w:pPr>
          <w:hyperlink w:anchor="__RefHeading___Toc8309_3373283034">
            <w:r>
              <w:rPr>
                <w:rStyle w:val="IndexLink"/>
              </w:rPr>
              <w:t>Fonctionnement</w:t>
              <w:tab/>
              <w:t>4</w:t>
            </w:r>
          </w:hyperlink>
        </w:p>
        <w:p>
          <w:pPr>
            <w:pStyle w:val="TOC1"/>
            <w:tabs>
              <w:tab w:val="clear" w:pos="720"/>
              <w:tab w:val="right" w:pos="9637" w:leader="dot"/>
            </w:tabs>
            <w:rPr/>
          </w:pPr>
          <w:hyperlink w:anchor="__RefHeading___Toc8311_3373283034">
            <w:r>
              <w:rPr>
                <w:rStyle w:val="IndexLink"/>
              </w:rPr>
              <w:t>2. Avant de commencer (côté serveur)</w:t>
              <w:tab/>
              <w:t>5</w:t>
            </w:r>
          </w:hyperlink>
        </w:p>
        <w:p>
          <w:pPr>
            <w:pStyle w:val="TOC2"/>
            <w:tabs>
              <w:tab w:val="clear" w:pos="720"/>
              <w:tab w:val="right" w:pos="9637" w:leader="dot"/>
            </w:tabs>
            <w:rPr/>
          </w:pPr>
          <w:hyperlink w:anchor="__RefHeading___Toc8313_3373283034">
            <w:r>
              <w:rPr>
                <w:rStyle w:val="IndexLink"/>
              </w:rPr>
              <w:t>Serveur et réseau</w:t>
              <w:tab/>
              <w:t>5</w:t>
            </w:r>
          </w:hyperlink>
        </w:p>
        <w:p>
          <w:pPr>
            <w:pStyle w:val="TOC2"/>
            <w:tabs>
              <w:tab w:val="clear" w:pos="720"/>
              <w:tab w:val="right" w:pos="9637" w:leader="dot"/>
            </w:tabs>
            <w:rPr/>
          </w:pPr>
          <w:hyperlink w:anchor="__RefHeading___Toc8315_3373283034">
            <w:r>
              <w:rPr>
                <w:rStyle w:val="IndexLink"/>
              </w:rPr>
              <w:t>Dimensionnement</w:t>
              <w:tab/>
              <w:t>5</w:t>
            </w:r>
          </w:hyperlink>
        </w:p>
        <w:p>
          <w:pPr>
            <w:pStyle w:val="TOC2"/>
            <w:tabs>
              <w:tab w:val="clear" w:pos="720"/>
              <w:tab w:val="right" w:pos="9637" w:leader="dot"/>
            </w:tabs>
            <w:rPr/>
          </w:pPr>
          <w:hyperlink w:anchor="__RefHeading___Toc8317_3373283034">
            <w:r>
              <w:rPr>
                <w:rStyle w:val="IndexLink"/>
              </w:rPr>
              <w:t>Ce que vous recevez</w:t>
              <w:tab/>
              <w:t>6</w:t>
            </w:r>
          </w:hyperlink>
        </w:p>
        <w:p>
          <w:pPr>
            <w:pStyle w:val="TOC1"/>
            <w:tabs>
              <w:tab w:val="clear" w:pos="720"/>
              <w:tab w:val="right" w:pos="9637" w:leader="dot"/>
            </w:tabs>
            <w:rPr/>
          </w:pPr>
          <w:hyperlink w:anchor="__RefHeading___Toc8319_3373283034">
            <w:r>
              <w:rPr>
                <w:rStyle w:val="IndexLink"/>
              </w:rPr>
              <w:t>3. Installer la plateforme (côté serveur)</w:t>
              <w:tab/>
              <w:t>7</w:t>
            </w:r>
          </w:hyperlink>
        </w:p>
        <w:p>
          <w:pPr>
            <w:pStyle w:val="TOC2"/>
            <w:tabs>
              <w:tab w:val="clear" w:pos="720"/>
              <w:tab w:val="right" w:pos="9637" w:leader="dot"/>
            </w:tabs>
            <w:rPr/>
          </w:pPr>
          <w:hyperlink w:anchor="__RefHeading___Toc8321_3373283034">
            <w:r>
              <w:rPr>
                <w:rStyle w:val="IndexLink"/>
              </w:rPr>
              <w:t>Étape 1 — Installer Node.js 22 LTS</w:t>
              <w:tab/>
              <w:t>7</w:t>
            </w:r>
          </w:hyperlink>
        </w:p>
        <w:p>
          <w:pPr>
            <w:pStyle w:val="TOC2"/>
            <w:tabs>
              <w:tab w:val="clear" w:pos="720"/>
              <w:tab w:val="right" w:pos="9637" w:leader="dot"/>
            </w:tabs>
            <w:rPr/>
          </w:pPr>
          <w:hyperlink w:anchor="__RefHeading___Toc8323_3373283034">
            <w:r>
              <w:rPr>
                <w:rStyle w:val="IndexLink"/>
              </w:rPr>
              <w:t>Étape 2 — Créer le compte de service et les dossiers</w:t>
              <w:tab/>
              <w:t>7</w:t>
            </w:r>
          </w:hyperlink>
        </w:p>
        <w:p>
          <w:pPr>
            <w:pStyle w:val="TOC2"/>
            <w:tabs>
              <w:tab w:val="clear" w:pos="720"/>
              <w:tab w:val="right" w:pos="9637" w:leader="dot"/>
            </w:tabs>
            <w:rPr/>
          </w:pPr>
          <w:hyperlink w:anchor="__RefHeading___Toc8325_3373283034">
            <w:r>
              <w:rPr>
                <w:rStyle w:val="IndexLink"/>
              </w:rPr>
              <w:t>Étape 3 — Copier et décompresser l’application</w:t>
              <w:tab/>
              <w:t>7</w:t>
            </w:r>
          </w:hyperlink>
        </w:p>
        <w:p>
          <w:pPr>
            <w:pStyle w:val="TOC2"/>
            <w:tabs>
              <w:tab w:val="clear" w:pos="720"/>
              <w:tab w:val="right" w:pos="9637" w:leader="dot"/>
            </w:tabs>
            <w:rPr/>
          </w:pPr>
          <w:hyperlink w:anchor="__RefHeading___Toc8327_3373283034">
            <w:r>
              <w:rPr>
                <w:rStyle w:val="IndexLink"/>
              </w:rPr>
              <w:t>Étape 4 — Installer les composants</w:t>
              <w:tab/>
              <w:t>7</w:t>
            </w:r>
          </w:hyperlink>
        </w:p>
        <w:p>
          <w:pPr>
            <w:pStyle w:val="TOC2"/>
            <w:tabs>
              <w:tab w:val="clear" w:pos="720"/>
              <w:tab w:val="right" w:pos="9637" w:leader="dot"/>
            </w:tabs>
            <w:rPr/>
          </w:pPr>
          <w:hyperlink w:anchor="__RefHeading___Toc8329_3373283034">
            <w:r>
              <w:rPr>
                <w:rStyle w:val="IndexLink"/>
              </w:rPr>
              <w:t>Étape 5 — Écrire le fichier de configuration (.env)</w:t>
              <w:tab/>
              <w:t>7</w:t>
            </w:r>
          </w:hyperlink>
        </w:p>
        <w:p>
          <w:pPr>
            <w:pStyle w:val="TOC2"/>
            <w:tabs>
              <w:tab w:val="clear" w:pos="720"/>
              <w:tab w:val="right" w:pos="9637" w:leader="dot"/>
            </w:tabs>
            <w:rPr/>
          </w:pPr>
          <w:hyperlink w:anchor="__RefHeading___Toc8331_3373283034">
            <w:r>
              <w:rPr>
                <w:rStyle w:val="IndexLink"/>
              </w:rPr>
              <w:t>Étape 6 — Créer la base de production</w:t>
              <w:tab/>
              <w:t>8</w:t>
            </w:r>
          </w:hyperlink>
        </w:p>
        <w:p>
          <w:pPr>
            <w:pStyle w:val="TOC2"/>
            <w:tabs>
              <w:tab w:val="clear" w:pos="720"/>
              <w:tab w:val="right" w:pos="9637" w:leader="dot"/>
            </w:tabs>
            <w:rPr/>
          </w:pPr>
          <w:hyperlink w:anchor="__RefHeading___Toc8333_3373283034">
            <w:r>
              <w:rPr>
                <w:rStyle w:val="IndexLink"/>
              </w:rPr>
              <w:t>Étape 7 — Exécuter CortexSkills comme service</w:t>
              <w:tab/>
              <w:t>9</w:t>
            </w:r>
          </w:hyperlink>
        </w:p>
        <w:p>
          <w:pPr>
            <w:pStyle w:val="TOC2"/>
            <w:tabs>
              <w:tab w:val="clear" w:pos="720"/>
              <w:tab w:val="right" w:pos="9637" w:leader="dot"/>
            </w:tabs>
            <w:rPr/>
          </w:pPr>
          <w:hyperlink w:anchor="__RefHeading___Toc8335_3373283034">
            <w:r>
              <w:rPr>
                <w:rStyle w:val="IndexLink"/>
              </w:rPr>
              <w:t>Étape 8 — Publier en HTTPS</w:t>
              <w:tab/>
              <w:t>9</w:t>
            </w:r>
          </w:hyperlink>
        </w:p>
        <w:p>
          <w:pPr>
            <w:pStyle w:val="TOC3"/>
            <w:tabs>
              <w:tab w:val="clear" w:pos="720"/>
              <w:tab w:val="right" w:pos="9637" w:leader="dot"/>
            </w:tabs>
            <w:rPr/>
          </w:pPr>
          <w:hyperlink w:anchor="__RefHeading___Toc8337_3373283034">
            <w:r>
              <w:rPr>
                <w:rStyle w:val="IndexLink"/>
              </w:rPr>
              <w:t>Option A — Nginx avec Let’s Encrypt</w:t>
              <w:tab/>
              <w:t>9</w:t>
            </w:r>
          </w:hyperlink>
        </w:p>
        <w:p>
          <w:pPr>
            <w:pStyle w:val="TOC3"/>
            <w:tabs>
              <w:tab w:val="clear" w:pos="720"/>
              <w:tab w:val="right" w:pos="9637" w:leader="dot"/>
            </w:tabs>
            <w:rPr/>
          </w:pPr>
          <w:hyperlink w:anchor="__RefHeading___Toc8339_3373283034">
            <w:r>
              <w:rPr>
                <w:rStyle w:val="IndexLink"/>
              </w:rPr>
              <w:t>Option B — Caddy (certificat automatique)</w:t>
              <w:tab/>
              <w:t>9</w:t>
            </w:r>
          </w:hyperlink>
        </w:p>
        <w:p>
          <w:pPr>
            <w:pStyle w:val="TOC3"/>
            <w:tabs>
              <w:tab w:val="clear" w:pos="720"/>
              <w:tab w:val="right" w:pos="9637" w:leader="dot"/>
            </w:tabs>
            <w:rPr/>
          </w:pPr>
          <w:hyperlink w:anchor="__RefHeading___Toc8341_3373283034">
            <w:r>
              <w:rPr>
                <w:rStyle w:val="IndexLink"/>
              </w:rPr>
              <w:t>Option C — Certificat de l’entreprise</w:t>
              <w:tab/>
              <w:t>9</w:t>
            </w:r>
          </w:hyperlink>
        </w:p>
        <w:p>
          <w:pPr>
            <w:pStyle w:val="TOC2"/>
            <w:tabs>
              <w:tab w:val="clear" w:pos="720"/>
              <w:tab w:val="right" w:pos="9637" w:leader="dot"/>
            </w:tabs>
            <w:rPr/>
          </w:pPr>
          <w:hyperlink w:anchor="__RefHeading___Toc8343_3373283034">
            <w:r>
              <w:rPr>
                <w:rStyle w:val="IndexLink"/>
              </w:rPr>
              <w:t>Étape 9 — Vérifier l’installation</w:t>
              <w:tab/>
              <w:t>10</w:t>
            </w:r>
          </w:hyperlink>
        </w:p>
        <w:p>
          <w:pPr>
            <w:pStyle w:val="TOC1"/>
            <w:tabs>
              <w:tab w:val="clear" w:pos="720"/>
              <w:tab w:val="right" w:pos="9637" w:leader="dot"/>
            </w:tabs>
            <w:rPr/>
          </w:pPr>
          <w:hyperlink w:anchor="__RefHeading___Toc8345_3373283034">
            <w:r>
              <w:rPr>
                <w:rStyle w:val="IndexLink"/>
              </w:rPr>
              <w:t>4. Intégrer un client (côté serveur)</w:t>
              <w:tab/>
              <w:t>11</w:t>
            </w:r>
          </w:hyperlink>
        </w:p>
        <w:p>
          <w:pPr>
            <w:pStyle w:val="TOC2"/>
            <w:tabs>
              <w:tab w:val="clear" w:pos="720"/>
              <w:tab w:val="right" w:pos="9637" w:leader="dot"/>
            </w:tabs>
            <w:rPr/>
          </w:pPr>
          <w:hyperlink w:anchor="__RefHeading___Toc8347_3373283034">
            <w:r>
              <w:rPr>
                <w:rStyle w:val="IndexLink"/>
              </w:rPr>
              <w:t>Rassembler les informations</w:t>
              <w:tab/>
              <w:t>11</w:t>
            </w:r>
          </w:hyperlink>
        </w:p>
        <w:p>
          <w:pPr>
            <w:pStyle w:val="TOC2"/>
            <w:tabs>
              <w:tab w:val="clear" w:pos="720"/>
              <w:tab w:val="right" w:pos="9637" w:leader="dot"/>
            </w:tabs>
            <w:rPr/>
          </w:pPr>
          <w:hyperlink w:anchor="__RefHeading___Toc8349_3373283034">
            <w:r>
              <w:rPr>
                <w:rStyle w:val="IndexLink"/>
              </w:rPr>
              <w:t>Créer l’organisation</w:t>
              <w:tab/>
              <w:t>11</w:t>
            </w:r>
          </w:hyperlink>
        </w:p>
        <w:p>
          <w:pPr>
            <w:pStyle w:val="TOC2"/>
            <w:tabs>
              <w:tab w:val="clear" w:pos="720"/>
              <w:tab w:val="right" w:pos="9637" w:leader="dot"/>
            </w:tabs>
            <w:rPr/>
          </w:pPr>
          <w:hyperlink w:anchor="__RefHeading___Toc8351_3373283034">
            <w:r>
              <w:rPr>
                <w:rStyle w:val="IndexLink"/>
              </w:rPr>
              <w:t>Envoyer le message de bienvenue</w:t>
              <w:tab/>
              <w:t>12</w:t>
            </w:r>
          </w:hyperlink>
        </w:p>
        <w:p>
          <w:pPr>
            <w:pStyle w:val="TOC2"/>
            <w:tabs>
              <w:tab w:val="clear" w:pos="720"/>
              <w:tab w:val="right" w:pos="9637" w:leader="dot"/>
            </w:tabs>
            <w:rPr/>
          </w:pPr>
          <w:hyperlink w:anchor="__RefHeading___Toc8353_3373283034">
            <w:r>
              <w:rPr>
                <w:rStyle w:val="IndexLink"/>
              </w:rPr>
              <w:t>Contrôler les clients</w:t>
              <w:tab/>
              <w:t>12</w:t>
            </w:r>
          </w:hyperlink>
        </w:p>
        <w:p>
          <w:pPr>
            <w:pStyle w:val="TOC1"/>
            <w:tabs>
              <w:tab w:val="clear" w:pos="720"/>
              <w:tab w:val="right" w:pos="9637" w:leader="dot"/>
            </w:tabs>
            <w:rPr/>
          </w:pPr>
          <w:hyperlink w:anchor="__RefHeading___Toc8355_3373283034">
            <w:r>
              <w:rPr>
                <w:rStyle w:val="IndexLink"/>
              </w:rPr>
              <w:t>5. Activer et changer les offres</w:t>
              <w:tab/>
              <w:t>13</w:t>
            </w:r>
          </w:hyperlink>
        </w:p>
        <w:p>
          <w:pPr>
            <w:pStyle w:val="TOC2"/>
            <w:tabs>
              <w:tab w:val="clear" w:pos="720"/>
              <w:tab w:val="right" w:pos="9637" w:leader="dot"/>
            </w:tabs>
            <w:rPr/>
          </w:pPr>
          <w:hyperlink w:anchor="__RefHeading___Toc8357_3373283034">
            <w:r>
              <w:rPr>
                <w:rStyle w:val="IndexLink"/>
              </w:rPr>
              <w:t>Le catalogue</w:t>
              <w:tab/>
              <w:t>13</w:t>
            </w:r>
          </w:hyperlink>
        </w:p>
        <w:p>
          <w:pPr>
            <w:pStyle w:val="TOC2"/>
            <w:tabs>
              <w:tab w:val="clear" w:pos="720"/>
              <w:tab w:val="right" w:pos="9637" w:leader="dot"/>
            </w:tabs>
            <w:rPr/>
          </w:pPr>
          <w:hyperlink w:anchor="__RefHeading___Toc8359_3373283034">
            <w:r>
              <w:rPr>
                <w:rStyle w:val="IndexLink"/>
              </w:rPr>
              <w:t>Côté serveur : le fournisseur</w:t>
              <w:tab/>
              <w:t>15</w:t>
            </w:r>
          </w:hyperlink>
        </w:p>
        <w:p>
          <w:pPr>
            <w:pStyle w:val="TOC2"/>
            <w:tabs>
              <w:tab w:val="clear" w:pos="720"/>
              <w:tab w:val="right" w:pos="9637" w:leader="dot"/>
            </w:tabs>
            <w:rPr/>
          </w:pPr>
          <w:hyperlink w:anchor="__RefHeading___Toc8361_3373283034">
            <w:r>
              <w:rPr>
                <w:rStyle w:val="IndexLink"/>
              </w:rPr>
              <w:t>Côté client : libre-service</w:t>
              <w:tab/>
              <w:t>15</w:t>
            </w:r>
          </w:hyperlink>
        </w:p>
        <w:p>
          <w:pPr>
            <w:pStyle w:val="TOC2"/>
            <w:tabs>
              <w:tab w:val="clear" w:pos="720"/>
              <w:tab w:val="right" w:pos="9637" w:leader="dot"/>
            </w:tabs>
            <w:rPr/>
          </w:pPr>
          <w:hyperlink w:anchor="__RefHeading___Toc8363_3373283034">
            <w:r>
              <w:rPr>
                <w:rStyle w:val="IndexLink"/>
              </w:rPr>
              <w:t>Fichier de licence (optionnel)</w:t>
              <w:tab/>
              <w:t>16</w:t>
            </w:r>
          </w:hyperlink>
        </w:p>
        <w:p>
          <w:pPr>
            <w:pStyle w:val="TOC2"/>
            <w:tabs>
              <w:tab w:val="clear" w:pos="720"/>
              <w:tab w:val="right" w:pos="9637" w:leader="dot"/>
            </w:tabs>
            <w:rPr/>
          </w:pPr>
          <w:hyperlink w:anchor="__RefHeading___Toc8365_3373283034">
            <w:r>
              <w:rPr>
                <w:rStyle w:val="IndexLink"/>
              </w:rPr>
              <w:t>États de la licence</w:t>
              <w:tab/>
              <w:t>16</w:t>
            </w:r>
          </w:hyperlink>
        </w:p>
        <w:p>
          <w:pPr>
            <w:pStyle w:val="TOC1"/>
            <w:tabs>
              <w:tab w:val="clear" w:pos="720"/>
              <w:tab w:val="right" w:pos="9637" w:leader="dot"/>
            </w:tabs>
            <w:rPr/>
          </w:pPr>
          <w:hyperlink w:anchor="__RefHeading___Toc8367_3373283034">
            <w:r>
              <w:rPr>
                <w:rStyle w:val="IndexLink"/>
              </w:rPr>
              <w:t>6. Côté client : démarrer</w:t>
              <w:tab/>
              <w:t>17</w:t>
            </w:r>
          </w:hyperlink>
        </w:p>
        <w:p>
          <w:pPr>
            <w:pStyle w:val="TOC2"/>
            <w:tabs>
              <w:tab w:val="clear" w:pos="720"/>
              <w:tab w:val="right" w:pos="9637" w:leader="dot"/>
            </w:tabs>
            <w:rPr/>
          </w:pPr>
          <w:hyperlink w:anchor="__RefHeading___Toc8369_3373283034">
            <w:r>
              <w:rPr>
                <w:rStyle w:val="IndexLink"/>
              </w:rPr>
              <w:t>Première connexion et mot de passe</w:t>
              <w:tab/>
              <w:t>17</w:t>
            </w:r>
          </w:hyperlink>
        </w:p>
        <w:p>
          <w:pPr>
            <w:pStyle w:val="TOC2"/>
            <w:tabs>
              <w:tab w:val="clear" w:pos="720"/>
              <w:tab w:val="right" w:pos="9637" w:leader="dot"/>
            </w:tabs>
            <w:rPr/>
          </w:pPr>
          <w:hyperlink w:anchor="__RefHeading___Toc8371_3373283034">
            <w:r>
              <w:rPr>
                <w:rStyle w:val="IndexLink"/>
              </w:rPr>
              <w:t>Vérifier la licence</w:t>
              <w:tab/>
              <w:t>18</w:t>
            </w:r>
          </w:hyperlink>
        </w:p>
        <w:p>
          <w:pPr>
            <w:pStyle w:val="TOC2"/>
            <w:tabs>
              <w:tab w:val="clear" w:pos="720"/>
              <w:tab w:val="right" w:pos="9637" w:leader="dot"/>
            </w:tabs>
            <w:rPr/>
          </w:pPr>
          <w:hyperlink w:anchor="__RefHeading___Toc8373_3373283034">
            <w:r>
              <w:rPr>
                <w:rStyle w:val="IndexLink"/>
              </w:rPr>
              <w:t>Créer les utilisateurs</w:t>
              <w:tab/>
              <w:t>18</w:t>
            </w:r>
          </w:hyperlink>
        </w:p>
        <w:p>
          <w:pPr>
            <w:pStyle w:val="TOC2"/>
            <w:tabs>
              <w:tab w:val="clear" w:pos="720"/>
              <w:tab w:val="right" w:pos="9637" w:leader="dot"/>
            </w:tabs>
            <w:rPr/>
          </w:pPr>
          <w:hyperlink w:anchor="__RefHeading___Toc8375_3373283034">
            <w:r>
              <w:rPr>
                <w:rStyle w:val="IndexLink"/>
              </w:rPr>
              <w:t>Terminer la configuration</w:t>
              <w:tab/>
              <w:t>19</w:t>
            </w:r>
          </w:hyperlink>
        </w:p>
        <w:p>
          <w:pPr>
            <w:pStyle w:val="TOC2"/>
            <w:tabs>
              <w:tab w:val="clear" w:pos="720"/>
              <w:tab w:val="right" w:pos="9637" w:leader="dot"/>
            </w:tabs>
            <w:rPr/>
          </w:pPr>
          <w:hyperlink w:anchor="__RefHeading___Toc8377_3373283034">
            <w:r>
              <w:rPr>
                <w:rStyle w:val="IndexLink"/>
              </w:rPr>
              <w:t>Activer add-ons et normes, changer d’offre</w:t>
              <w:tab/>
              <w:t>20</w:t>
            </w:r>
          </w:hyperlink>
        </w:p>
        <w:p>
          <w:pPr>
            <w:pStyle w:val="TOC2"/>
            <w:tabs>
              <w:tab w:val="clear" w:pos="720"/>
              <w:tab w:val="right" w:pos="9637" w:leader="dot"/>
            </w:tabs>
            <w:rPr/>
          </w:pPr>
          <w:hyperlink w:anchor="__RefHeading___Toc8379_3373283034">
            <w:r>
              <w:rPr>
                <w:rStyle w:val="IndexLink"/>
              </w:rPr>
              <w:t>L’écran Configuration et licence</w:t>
              <w:tab/>
              <w:t>20</w:t>
            </w:r>
          </w:hyperlink>
        </w:p>
        <w:p>
          <w:pPr>
            <w:pStyle w:val="TOC2"/>
            <w:tabs>
              <w:tab w:val="clear" w:pos="720"/>
              <w:tab w:val="right" w:pos="9637" w:leader="dot"/>
            </w:tabs>
            <w:rPr/>
          </w:pPr>
          <w:hyperlink w:anchor="__RefHeading___Toc8381_3373283034">
            <w:r>
              <w:rPr>
                <w:rStyle w:val="IndexLink"/>
              </w:rPr>
              <w:t>Changer d’offre</w:t>
              <w:tab/>
              <w:t>20</w:t>
            </w:r>
          </w:hyperlink>
        </w:p>
        <w:p>
          <w:pPr>
            <w:pStyle w:val="TOC2"/>
            <w:tabs>
              <w:tab w:val="clear" w:pos="720"/>
              <w:tab w:val="right" w:pos="9637" w:leader="dot"/>
            </w:tabs>
            <w:rPr/>
          </w:pPr>
          <w:hyperlink w:anchor="__RefHeading___Toc8383_3373283034">
            <w:r>
              <w:rPr>
                <w:rStyle w:val="IndexLink"/>
              </w:rPr>
              <w:t>Activer un add-on</w:t>
              <w:tab/>
              <w:t>21</w:t>
            </w:r>
          </w:hyperlink>
        </w:p>
        <w:p>
          <w:pPr>
            <w:pStyle w:val="TOC2"/>
            <w:tabs>
              <w:tab w:val="clear" w:pos="720"/>
              <w:tab w:val="right" w:pos="9637" w:leader="dot"/>
            </w:tabs>
            <w:rPr/>
          </w:pPr>
          <w:hyperlink w:anchor="__RefHeading___Toc8385_3373283034">
            <w:r>
              <w:rPr>
                <w:rStyle w:val="IndexLink"/>
              </w:rPr>
              <w:t>Activer une norme de conformité</w:t>
              <w:tab/>
              <w:t>22</w:t>
            </w:r>
          </w:hyperlink>
        </w:p>
        <w:p>
          <w:pPr>
            <w:pStyle w:val="TOC2"/>
            <w:tabs>
              <w:tab w:val="clear" w:pos="720"/>
              <w:tab w:val="right" w:pos="9637" w:leader="dot"/>
            </w:tabs>
            <w:rPr/>
          </w:pPr>
          <w:hyperlink w:anchor="__RefHeading___Toc8387_3373283034">
            <w:r>
              <w:rPr>
                <w:rStyle w:val="IndexLink"/>
              </w:rPr>
              <w:t>Renouvellement</w:t>
              <w:tab/>
              <w:t>23</w:t>
            </w:r>
          </w:hyperlink>
        </w:p>
        <w:p>
          <w:pPr>
            <w:pStyle w:val="TOC1"/>
            <w:tabs>
              <w:tab w:val="clear" w:pos="720"/>
              <w:tab w:val="right" w:pos="9637" w:leader="dot"/>
            </w:tabs>
            <w:rPr/>
          </w:pPr>
          <w:hyperlink w:anchor="__RefHeading___Toc8389_3373283034">
            <w:r>
              <w:rPr>
                <w:rStyle w:val="IndexLink"/>
              </w:rPr>
              <w:t>7. Exploiter la plateforme (côté serveur)</w:t>
              <w:tab/>
              <w:t>24</w:t>
            </w:r>
          </w:hyperlink>
        </w:p>
        <w:p>
          <w:pPr>
            <w:pStyle w:val="TOC2"/>
            <w:tabs>
              <w:tab w:val="clear" w:pos="720"/>
              <w:tab w:val="right" w:pos="9637" w:leader="dot"/>
            </w:tabs>
            <w:rPr/>
          </w:pPr>
          <w:hyperlink w:anchor="__RefHeading___Toc8391_3373283034">
            <w:r>
              <w:rPr>
                <w:rStyle w:val="IndexLink"/>
              </w:rPr>
              <w:t>Sauvegardes</w:t>
              <w:tab/>
              <w:t>24</w:t>
            </w:r>
          </w:hyperlink>
        </w:p>
        <w:p>
          <w:pPr>
            <w:pStyle w:val="TOC3"/>
            <w:tabs>
              <w:tab w:val="clear" w:pos="720"/>
              <w:tab w:val="right" w:pos="9637" w:leader="dot"/>
            </w:tabs>
            <w:rPr/>
          </w:pPr>
          <w:hyperlink w:anchor="__RefHeading___Toc8393_3373283034">
            <w:r>
              <w:rPr>
                <w:rStyle w:val="IndexLink"/>
              </w:rPr>
              <w:t>Restaurer une sauvegarde</w:t>
              <w:tab/>
              <w:t>24</w:t>
            </w:r>
          </w:hyperlink>
        </w:p>
        <w:p>
          <w:pPr>
            <w:pStyle w:val="TOC2"/>
            <w:tabs>
              <w:tab w:val="clear" w:pos="720"/>
              <w:tab w:val="right" w:pos="9637" w:leader="dot"/>
            </w:tabs>
            <w:rPr/>
          </w:pPr>
          <w:hyperlink w:anchor="__RefHeading___Toc8395_3373283034">
            <w:r>
              <w:rPr>
                <w:rStyle w:val="IndexLink"/>
              </w:rPr>
              <w:t>Mettre à jour vers une nouvelle version</w:t>
              <w:tab/>
              <w:t>24</w:t>
            </w:r>
          </w:hyperlink>
        </w:p>
        <w:p>
          <w:pPr>
            <w:pStyle w:val="TOC2"/>
            <w:tabs>
              <w:tab w:val="clear" w:pos="720"/>
              <w:tab w:val="right" w:pos="9637" w:leader="dot"/>
            </w:tabs>
            <w:rPr/>
          </w:pPr>
          <w:hyperlink w:anchor="__RefHeading___Toc8397_3373283034">
            <w:r>
              <w:rPr>
                <w:rStyle w:val="IndexLink"/>
              </w:rPr>
              <w:t>Supervision et journaux</w:t>
              <w:tab/>
              <w:t>24</w:t>
            </w:r>
          </w:hyperlink>
        </w:p>
        <w:p>
          <w:pPr>
            <w:pStyle w:val="TOC2"/>
            <w:tabs>
              <w:tab w:val="clear" w:pos="720"/>
              <w:tab w:val="right" w:pos="9637" w:leader="dot"/>
            </w:tabs>
            <w:rPr/>
          </w:pPr>
          <w:hyperlink w:anchor="__RefHeading___Toc8399_3373283034">
            <w:r>
              <w:rPr>
                <w:rStyle w:val="IndexLink"/>
              </w:rPr>
              <w:t>Liste de contrôle sécurité</w:t>
              <w:tab/>
              <w:t>25</w:t>
            </w:r>
          </w:hyperlink>
        </w:p>
        <w:p>
          <w:pPr>
            <w:pStyle w:val="TOC2"/>
            <w:tabs>
              <w:tab w:val="clear" w:pos="720"/>
              <w:tab w:val="right" w:pos="9637" w:leader="dot"/>
            </w:tabs>
            <w:rPr/>
          </w:pPr>
          <w:hyperlink w:anchor="__RefHeading___Toc8401_3373283034">
            <w:r>
              <w:rPr>
                <w:rStyle w:val="IndexLink"/>
              </w:rPr>
              <w:t>Dépannage</w:t>
              <w:tab/>
              <w:t>25</w:t>
            </w:r>
          </w:hyperlink>
        </w:p>
        <w:p>
          <w:pPr>
            <w:pStyle w:val="TOC1"/>
            <w:tabs>
              <w:tab w:val="clear" w:pos="720"/>
              <w:tab w:val="right" w:pos="9637" w:leader="dot"/>
            </w:tabs>
            <w:rPr/>
          </w:pPr>
          <w:hyperlink w:anchor="__RefHeading___Toc8403_3373283034">
            <w:r>
              <w:rPr>
                <w:rStyle w:val="IndexLink"/>
              </w:rPr>
              <w:t>Annexe — Commandes de la console</w:t>
              <w:tab/>
              <w:t>27</w:t>
            </w:r>
          </w:hyperlink>
          <w:r>
            <w:rPr>
              <w:rStyle w:val="IndexLink"/>
            </w:rPr>
            <w:fldChar w:fldCharType="end"/>
          </w:r>
        </w:p>
      </w:sdtContent>
    </w:sdt>
    <w:p>
      <w:pPr>
        <w:pStyle w:val="Normal"/>
        <w:widowControl/>
        <w:bidi w:val="0"/>
        <w:spacing w:lineRule="auto" w:line="288" w:before="0" w:after="0"/>
        <w:jc w:val="left"/>
        <w:rPr/>
      </w:pPr>
      <w:r>
        <w:rPr/>
      </w:r>
      <w:r>
        <w:br w:type="page"/>
      </w:r>
    </w:p>
    <w:p>
      <w:pPr>
        <w:pStyle w:val="Heading1"/>
        <w:pBdr>
          <w:bottom w:val="single" w:sz="6" w:space="6" w:color="E1E8F0"/>
        </w:pBdr>
        <w:spacing w:before="0" w:after="240"/>
        <w:rPr/>
      </w:pPr>
      <w:bookmarkStart w:id="0" w:name="__RefHeading___Toc8307_3373283034"/>
      <w:bookmarkEnd w:id="0"/>
      <w:r>
        <w:rPr>
          <w:rFonts w:eastAsia="Montserrat" w:cs="Montserrat"/>
          <w:b/>
          <w:bCs/>
          <w:color w:val="123A5F"/>
          <w:sz w:val="40"/>
          <w:szCs w:val="40"/>
        </w:rPr>
        <w:t>1. À propos de ce guide</w:t>
      </w:r>
    </w:p>
    <w:p>
      <w:pPr>
        <w:pStyle w:val="Normal"/>
        <w:spacing w:lineRule="auto" w:line="288" w:before="0" w:after="160"/>
        <w:jc w:val="left"/>
        <w:rPr/>
      </w:pPr>
      <w:r>
        <w:rPr>
          <w:rFonts w:eastAsia="Open Sans" w:cs="Open Sans"/>
          <w:color w:val="2C3E50"/>
          <w:sz w:val="22"/>
          <w:szCs w:val="22"/>
        </w:rPr>
        <w:t>En mode SaaS, le fournisseur exploite une seule installation de CortexSkills sur ses propres serveurs et y sert plusieurs clients. Chaque client est une Organisation : ses utilisateurs, projets et documents sont séparés de ceux des autres clients. Le fournisseur émet la licence de chaque client depuis la console du serveur ; l’administrateur du client gère les utilisateurs, l’offre et les add-ons depuis les écrans web.</w:t>
      </w:r>
    </w:p>
    <w:tbl>
      <w:tblPr>
        <w:tblW w:w="9638" w:type="dxa"/>
        <w:jc w:val="left"/>
        <w:tblInd w:w="0" w:type="dxa"/>
        <w:tblLayout w:type="fixed"/>
        <w:tblCellMar>
          <w:top w:w="70" w:type="dxa"/>
          <w:left w:w="110" w:type="dxa"/>
          <w:bottom w:w="70" w:type="dxa"/>
          <w:right w:w="110" w:type="dxa"/>
        </w:tblCellMar>
      </w:tblPr>
      <w:tblGrid>
        <w:gridCol w:w="2965"/>
        <w:gridCol w:w="5089"/>
        <w:gridCol w:w="1584"/>
      </w:tblGrid>
      <w:tr>
        <w:trPr>
          <w:tblHeader w:val="true"/>
          <w:cantSplit w:val="true"/>
        </w:trPr>
        <w:tc>
          <w:tcPr>
            <w:tcW w:w="296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Qui</w:t>
            </w:r>
          </w:p>
        </w:tc>
        <w:tc>
          <w:tcPr>
            <w:tcW w:w="508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Fait quoi</w:t>
            </w:r>
          </w:p>
        </w:tc>
        <w:tc>
          <w:tcPr>
            <w:tcW w:w="15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Chapitres</w:t>
            </w:r>
          </w:p>
        </w:tc>
      </w:tr>
      <w:tr>
        <w:trPr>
          <w:cantSplit w:val="true"/>
        </w:trPr>
        <w:tc>
          <w:tcPr>
            <w:tcW w:w="29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Équipe d’exploitation du fournisseur (côté serveur)</w:t>
            </w:r>
          </w:p>
        </w:tc>
        <w:tc>
          <w:tcPr>
            <w:tcW w:w="50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Installe et exploite la plateforme, intègre chaque client, émet et renouvelle les licences, sauvegarde et met à jour.</w:t>
            </w:r>
          </w:p>
        </w:tc>
        <w:tc>
          <w:tcPr>
            <w:tcW w:w="15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2, 3, 4, 5, 7</w:t>
            </w:r>
          </w:p>
        </w:tc>
      </w:tr>
      <w:tr>
        <w:trPr>
          <w:cantSplit w:val="true"/>
        </w:trPr>
        <w:tc>
          <w:tcPr>
            <w:tcW w:w="296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Administrateur du client (côté client)</w:t>
            </w:r>
          </w:p>
        </w:tc>
        <w:tc>
          <w:tcPr>
            <w:tcW w:w="508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Se connecte, vérifie la licence, crée les utilisateurs, configure les canaux et l’IA, active add-ons et normes, change d’offre.</w:t>
            </w:r>
          </w:p>
        </w:tc>
        <w:tc>
          <w:tcPr>
            <w:tcW w:w="15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5, 6</w:t>
            </w:r>
          </w:p>
        </w:tc>
      </w:tr>
      <w:tr>
        <w:trPr>
          <w:cantSplit w:val="true"/>
        </w:trPr>
        <w:tc>
          <w:tcPr>
            <w:tcW w:w="29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Utilisateurs du client</w:t>
            </w:r>
          </w:p>
        </w:tc>
        <w:tc>
          <w:tcPr>
            <w:tcW w:w="50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Se connectent avec l’adresse et le compte reçus et travaillent dans Mes tâches.</w:t>
            </w:r>
          </w:p>
        </w:tc>
        <w:tc>
          <w:tcPr>
            <w:tcW w:w="15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6</w:t>
            </w:r>
          </w:p>
        </w:tc>
      </w:tr>
    </w:tbl>
    <w:p>
      <w:pPr>
        <w:pStyle w:val="Normal"/>
        <w:spacing w:before="0" w:after="120"/>
        <w:rPr/>
      </w:pPr>
      <w:r>
        <w:rPr/>
      </w:r>
    </w:p>
    <w:p>
      <w:pPr>
        <w:pStyle w:val="Heading2"/>
        <w:keepNext w:val="true"/>
        <w:spacing w:before="320" w:after="120"/>
        <w:rPr/>
      </w:pPr>
      <w:bookmarkStart w:id="1" w:name="__RefHeading___Toc8309_3373283034"/>
      <w:bookmarkEnd w:id="1"/>
      <w:r>
        <w:rPr>
          <w:rFonts w:eastAsia="Montserrat" w:cs="Montserrat"/>
          <w:b/>
          <w:bCs/>
          <w:color w:val="123A5F"/>
          <w:sz w:val="32"/>
          <w:szCs w:val="32"/>
        </w:rPr>
        <w:t>Fonctionnement</w:t>
      </w:r>
    </w:p>
    <w:tbl>
      <w:tblPr>
        <w:tblW w:w="9638" w:type="dxa"/>
        <w:jc w:val="left"/>
        <w:tblInd w:w="0" w:type="dxa"/>
        <w:tblLayout w:type="fixed"/>
        <w:tblCellMar>
          <w:top w:w="70" w:type="dxa"/>
          <w:left w:w="110" w:type="dxa"/>
          <w:bottom w:w="70" w:type="dxa"/>
          <w:right w:w="110" w:type="dxa"/>
        </w:tblCellMar>
      </w:tblPr>
      <w:tblGrid>
        <w:gridCol w:w="2571"/>
        <w:gridCol w:w="7066"/>
      </w:tblGrid>
      <w:tr>
        <w:trPr>
          <w:tblHeader w:val="true"/>
          <w:cantSplit w:val="true"/>
        </w:trPr>
        <w:tc>
          <w:tcPr>
            <w:tcW w:w="25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Élément</w:t>
            </w:r>
          </w:p>
        </w:tc>
        <w:tc>
          <w:tcPr>
            <w:tcW w:w="70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Mode SaaS</w:t>
            </w:r>
          </w:p>
        </w:tc>
      </w:tr>
      <w:tr>
        <w:trPr>
          <w:cantSplit w:val="true"/>
        </w:trPr>
        <w:tc>
          <w:tcPr>
            <w:tcW w:w="25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Installations</w:t>
            </w:r>
          </w:p>
        </w:tc>
        <w:tc>
          <w:tcPr>
            <w:tcW w:w="70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Une seule, chez le fournisseur</w:t>
            </w:r>
          </w:p>
        </w:tc>
      </w:tr>
      <w:tr>
        <w:trPr>
          <w:cantSplit w:val="true"/>
        </w:trPr>
        <w:tc>
          <w:tcPr>
            <w:tcW w:w="25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Clients</w:t>
            </w:r>
          </w:p>
        </w:tc>
        <w:tc>
          <w:tcPr>
            <w:tcW w:w="70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Plusieurs organisations, données séparées par organisation</w:t>
            </w:r>
          </w:p>
        </w:tc>
      </w:tr>
      <w:tr>
        <w:trPr>
          <w:cantSplit w:val="true"/>
        </w:trPr>
        <w:tc>
          <w:tcPr>
            <w:tcW w:w="25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Adresse</w:t>
            </w:r>
          </w:p>
        </w:tc>
        <w:tc>
          <w:tcPr>
            <w:tcW w:w="70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Une adresse pour tous les clients, par exemple https://skills.example.com</w:t>
            </w:r>
          </w:p>
        </w:tc>
      </w:tr>
      <w:tr>
        <w:trPr>
          <w:cantSplit w:val="true"/>
        </w:trPr>
        <w:tc>
          <w:tcPr>
            <w:tcW w:w="25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Licence</w:t>
            </w:r>
          </w:p>
        </w:tc>
        <w:tc>
          <w:tcPr>
            <w:tcW w:w="70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Un enregistrement par organisation dans la base, signé par le serveur (LICENSE_HMAC_SECRET) ; émis par le fournisseur avec la console</w:t>
            </w:r>
          </w:p>
        </w:tc>
      </w:tr>
      <w:tr>
        <w:trPr>
          <w:cantSplit w:val="true"/>
        </w:trPr>
        <w:tc>
          <w:tcPr>
            <w:tcW w:w="25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Activation des offres</w:t>
            </w:r>
          </w:p>
        </w:tc>
        <w:tc>
          <w:tcPr>
            <w:tcW w:w="70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Fournisseur : console (licence, add-on). Client : écran Configuration et licence (libre-service, tracé)</w:t>
            </w:r>
          </w:p>
        </w:tc>
      </w:tr>
      <w:tr>
        <w:trPr>
          <w:cantSplit w:val="true"/>
        </w:trPr>
        <w:tc>
          <w:tcPr>
            <w:tcW w:w="25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DEPLOYMENT_MODE</w:t>
            </w:r>
          </w:p>
        </w:tc>
        <w:tc>
          <w:tcPr>
            <w:tcW w:w="70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saas</w:t>
            </w:r>
          </w:p>
        </w:tc>
      </w:tr>
    </w:tbl>
    <w:p>
      <w:pPr>
        <w:pStyle w:val="Normal"/>
        <w:spacing w:before="0" w:after="120"/>
        <w:rPr/>
      </w:pPr>
      <w:r>
        <w:rPr/>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E8F1FB" w:val="clear"/>
          </w:tcPr>
          <w:p>
            <w:pPr>
              <w:pStyle w:val="Normal"/>
              <w:spacing w:before="0" w:after="80"/>
              <w:rPr/>
            </w:pPr>
            <w:r>
              <w:rPr>
                <w:rFonts w:eastAsia="Montserrat" w:cs="Montserrat" w:ascii="Montserrat" w:hAnsi="Montserrat"/>
                <w:b/>
                <w:bCs/>
                <w:color w:val="123A5F"/>
                <w:sz w:val="22"/>
                <w:szCs w:val="22"/>
              </w:rPr>
              <w:t>Temps nécessaire</w:t>
            </w:r>
          </w:p>
          <w:p>
            <w:pPr>
              <w:pStyle w:val="Normal"/>
              <w:spacing w:lineRule="auto" w:line="288" w:before="0" w:after="60"/>
              <w:jc w:val="left"/>
              <w:rPr/>
            </w:pPr>
            <w:r>
              <w:rPr>
                <w:rFonts w:eastAsia="Open Sans" w:cs="Open Sans"/>
                <w:color w:val="2C3E50"/>
                <w:sz w:val="21"/>
                <w:szCs w:val="21"/>
              </w:rPr>
              <w:t>Environ 1 heure pour la plateforme (chapitre 3), puis 5 minutes par nouveau client (chapitre 4) et 20 minutes pour l’administrateur du client (chapitre 6).</w:t>
            </w:r>
          </w:p>
        </w:tc>
      </w:tr>
    </w:tbl>
    <w:p>
      <w:pPr>
        <w:pStyle w:val="Heading1"/>
        <w:pBdr>
          <w:bottom w:val="single" w:sz="6" w:space="6" w:color="E1E8F0"/>
        </w:pBdr>
        <w:spacing w:before="0" w:after="240"/>
        <w:rPr/>
      </w:pPr>
      <w:r>
        <w:br w:type="page"/>
      </w:r>
      <w:bookmarkStart w:id="2" w:name="__RefHeading___Toc8311_3373283034"/>
      <w:bookmarkEnd w:id="2"/>
      <w:r>
        <w:rPr>
          <w:rFonts w:eastAsia="Montserrat" w:cs="Montserrat"/>
          <w:b/>
          <w:bCs/>
          <w:color w:val="123A5F"/>
          <w:sz w:val="40"/>
          <w:szCs w:val="40"/>
        </w:rPr>
        <w:t>2. Avant de commencer (côté serveur)</w:t>
      </w:r>
    </w:p>
    <w:p>
      <w:pPr>
        <w:pStyle w:val="Heading2"/>
        <w:keepNext w:val="true"/>
        <w:spacing w:before="320" w:after="120"/>
        <w:rPr/>
      </w:pPr>
      <w:bookmarkStart w:id="3" w:name="__RefHeading___Toc8313_3373283034"/>
      <w:bookmarkEnd w:id="3"/>
      <w:r>
        <w:rPr>
          <w:rFonts w:eastAsia="Montserrat" w:cs="Montserrat"/>
          <w:b/>
          <w:bCs/>
          <w:color w:val="123A5F"/>
          <w:sz w:val="32"/>
          <w:szCs w:val="32"/>
        </w:rPr>
        <w:t>Serveur et réseau</w:t>
      </w:r>
    </w:p>
    <w:tbl>
      <w:tblPr>
        <w:tblW w:w="9638" w:type="dxa"/>
        <w:jc w:val="left"/>
        <w:tblInd w:w="0" w:type="dxa"/>
        <w:tblLayout w:type="fixed"/>
        <w:tblCellMar>
          <w:top w:w="70" w:type="dxa"/>
          <w:left w:w="110" w:type="dxa"/>
          <w:bottom w:w="70" w:type="dxa"/>
          <w:right w:w="110" w:type="dxa"/>
        </w:tblCellMar>
      </w:tblPr>
      <w:tblGrid>
        <w:gridCol w:w="2076"/>
        <w:gridCol w:w="2965"/>
        <w:gridCol w:w="4597"/>
      </w:tblGrid>
      <w:tr>
        <w:trPr>
          <w:tblHeader w:val="true"/>
          <w:cantSplit w:val="true"/>
        </w:trPr>
        <w:tc>
          <w:tcPr>
            <w:tcW w:w="20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Élément</w:t>
            </w:r>
          </w:p>
        </w:tc>
        <w:tc>
          <w:tcPr>
            <w:tcW w:w="296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Recommandé</w:t>
            </w:r>
          </w:p>
        </w:tc>
        <w:tc>
          <w:tcPr>
            <w:tcW w:w="4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Remarques</w:t>
            </w:r>
          </w:p>
        </w:tc>
      </w:tr>
      <w:tr>
        <w:trPr>
          <w:cantSplit w:val="true"/>
        </w:trPr>
        <w:tc>
          <w:tcPr>
            <w:tcW w:w="20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Système d’exploitation</w:t>
            </w:r>
          </w:p>
        </w:tc>
        <w:tc>
          <w:tcPr>
            <w:tcW w:w="29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Ubuntu Server 22.04 / 24.04 LTS</w:t>
            </w:r>
          </w:p>
        </w:tc>
        <w:tc>
          <w:tcPr>
            <w:tcW w:w="4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Fonctionne aussi sur Debian 12, RHEL 9 et Windows Server 2019/2022 (voir le chapitre Windows du guide Cloud dédié et On-Prem).</w:t>
            </w:r>
          </w:p>
        </w:tc>
      </w:tr>
      <w:tr>
        <w:trPr>
          <w:cantSplit w:val="true"/>
        </w:trPr>
        <w:tc>
          <w:tcPr>
            <w:tcW w:w="20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Node.js</w:t>
            </w:r>
          </w:p>
        </w:tc>
        <w:tc>
          <w:tcPr>
            <w:tcW w:w="296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22 LTS (22.13 ou plus récent)</w:t>
            </w:r>
          </w:p>
        </w:tc>
        <w:tc>
          <w:tcPr>
            <w:tcW w:w="4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Le seul environnement d’exécution nécessaire. La base de données est intégrée à Node.js (SQLite) : aucun serveur de base de données à installer.</w:t>
            </w:r>
          </w:p>
        </w:tc>
      </w:tr>
      <w:tr>
        <w:trPr>
          <w:cantSplit w:val="true"/>
        </w:trPr>
        <w:tc>
          <w:tcPr>
            <w:tcW w:w="20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Proxy inverse</w:t>
            </w:r>
          </w:p>
        </w:tc>
        <w:tc>
          <w:tcPr>
            <w:tcW w:w="29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Nginx ou Caddy (Linux), IIS (Windows)</w:t>
            </w:r>
          </w:p>
        </w:tc>
        <w:tc>
          <w:tcPr>
            <w:tcW w:w="4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Termine le HTTPS et transmet à CortexSkills sur 127.0.0.1:4000.</w:t>
            </w:r>
          </w:p>
        </w:tc>
      </w:tr>
      <w:tr>
        <w:trPr>
          <w:cantSplit w:val="true"/>
        </w:trPr>
        <w:tc>
          <w:tcPr>
            <w:tcW w:w="20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Nom de domaine</w:t>
            </w:r>
          </w:p>
        </w:tc>
        <w:tc>
          <w:tcPr>
            <w:tcW w:w="296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skills.example.com</w:t>
            </w:r>
          </w:p>
        </w:tc>
        <w:tc>
          <w:tcPr>
            <w:tcW w:w="4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Un enregistrement DNS pointant vers le serveur (ou vers l’équilibreur de charge).</w:t>
            </w:r>
          </w:p>
        </w:tc>
      </w:tr>
      <w:tr>
        <w:trPr>
          <w:cantSplit w:val="true"/>
        </w:trPr>
        <w:tc>
          <w:tcPr>
            <w:tcW w:w="20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Certificat TLS</w:t>
            </w:r>
          </w:p>
        </w:tc>
        <w:tc>
          <w:tcPr>
            <w:tcW w:w="29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Let’s Encrypt (automatique) ou le certificat de l’entreprise</w:t>
            </w:r>
          </w:p>
        </w:tc>
        <w:tc>
          <w:tcPr>
            <w:tcW w:w="4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Le HTTPS est obligatoire en production : le serveur refuse de démarrer sans adresse publique https://.</w:t>
            </w:r>
          </w:p>
        </w:tc>
      </w:tr>
      <w:tr>
        <w:trPr>
          <w:cantSplit w:val="true"/>
        </w:trPr>
        <w:tc>
          <w:tcPr>
            <w:tcW w:w="20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Ports ouverts</w:t>
            </w:r>
          </w:p>
        </w:tc>
        <w:tc>
          <w:tcPr>
            <w:tcW w:w="296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443 (HTTPS), 80 (redirection seulement)</w:t>
            </w:r>
          </w:p>
        </w:tc>
        <w:tc>
          <w:tcPr>
            <w:tcW w:w="4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Le port 4000 reste fermé vers l’extérieur ; seul le proxy inverse y accède.</w:t>
            </w:r>
          </w:p>
        </w:tc>
      </w:tr>
      <w:tr>
        <w:trPr>
          <w:cantSplit w:val="true"/>
        </w:trPr>
        <w:tc>
          <w:tcPr>
            <w:tcW w:w="20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Accès sortant</w:t>
            </w:r>
          </w:p>
        </w:tc>
        <w:tc>
          <w:tcPr>
            <w:tcW w:w="29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Serveur SMTP ; API WhatsApp Cloud (optionnel) ; fournisseur d’IA (optionnel)</w:t>
            </w:r>
          </w:p>
        </w:tc>
        <w:tc>
          <w:tcPr>
            <w:tcW w:w="4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Nécessaire uniquement pour les canaux et fonctions d’IA utilisés.</w:t>
            </w:r>
          </w:p>
        </w:tc>
      </w:tr>
    </w:tbl>
    <w:p>
      <w:pPr>
        <w:pStyle w:val="Normal"/>
        <w:spacing w:before="0" w:after="120"/>
        <w:rPr/>
      </w:pPr>
      <w:r>
        <w:rPr/>
      </w:r>
    </w:p>
    <w:p>
      <w:pPr>
        <w:pStyle w:val="Heading2"/>
        <w:keepNext w:val="true"/>
        <w:spacing w:before="320" w:after="120"/>
        <w:rPr/>
      </w:pPr>
      <w:bookmarkStart w:id="4" w:name="__RefHeading___Toc8315_3373283034"/>
      <w:bookmarkEnd w:id="4"/>
      <w:r>
        <w:rPr>
          <w:rFonts w:eastAsia="Montserrat" w:cs="Montserrat"/>
          <w:b/>
          <w:bCs/>
          <w:color w:val="123A5F"/>
          <w:sz w:val="32"/>
          <w:szCs w:val="32"/>
        </w:rPr>
        <w:t>Dimensionnement</w:t>
      </w:r>
    </w:p>
    <w:p>
      <w:pPr>
        <w:pStyle w:val="Normal"/>
        <w:spacing w:lineRule="auto" w:line="288" w:before="0" w:after="160"/>
        <w:jc w:val="left"/>
        <w:rPr/>
      </w:pPr>
      <w:r>
        <w:rPr>
          <w:rFonts w:eastAsia="Open Sans" w:cs="Open Sans"/>
          <w:color w:val="2C3E50"/>
          <w:sz w:val="22"/>
          <w:szCs w:val="22"/>
        </w:rPr>
        <w:t>CortexSkills fonctionne comme un seul processus Node.js avec une base de données intégrée. Il se dimensionne en hauteur (un serveur plus puissant), pas en largeur. Les tailles ci-dessous sont des recommandations pour des utilisateurs actifs au même moment ; surveillez le serveur et ajustez.</w:t>
      </w:r>
    </w:p>
    <w:tbl>
      <w:tblPr>
        <w:tblW w:w="9638" w:type="dxa"/>
        <w:jc w:val="left"/>
        <w:tblInd w:w="0" w:type="dxa"/>
        <w:tblLayout w:type="fixed"/>
        <w:tblCellMar>
          <w:top w:w="70" w:type="dxa"/>
          <w:left w:w="110" w:type="dxa"/>
          <w:bottom w:w="70" w:type="dxa"/>
          <w:right w:w="110" w:type="dxa"/>
        </w:tblCellMar>
      </w:tblPr>
      <w:tblGrid>
        <w:gridCol w:w="1878"/>
        <w:gridCol w:w="890"/>
        <w:gridCol w:w="1186"/>
        <w:gridCol w:w="1285"/>
        <w:gridCol w:w="4399"/>
      </w:tblGrid>
      <w:tr>
        <w:trPr>
          <w:tblHeader w:val="true"/>
          <w:cantSplit w:val="true"/>
        </w:trPr>
        <w:tc>
          <w:tcPr>
            <w:tcW w:w="187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Utilisateurs (total)</w:t>
            </w:r>
          </w:p>
        </w:tc>
        <w:tc>
          <w:tcPr>
            <w:tcW w:w="8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vCPU</w:t>
            </w:r>
          </w:p>
        </w:tc>
        <w:tc>
          <w:tcPr>
            <w:tcW w:w="118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Mémoire</w:t>
            </w:r>
          </w:p>
        </w:tc>
        <w:tc>
          <w:tcPr>
            <w:tcW w:w="128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Disque SSD</w:t>
            </w:r>
          </w:p>
        </w:tc>
        <w:tc>
          <w:tcPr>
            <w:tcW w:w="43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Exemple</w:t>
            </w:r>
          </w:p>
        </w:tc>
      </w:tr>
      <w:tr>
        <w:trPr>
          <w:cantSplit w:val="true"/>
        </w:trPr>
        <w:tc>
          <w:tcPr>
            <w:tcW w:w="18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jusqu’à 500</w:t>
            </w:r>
          </w:p>
        </w:tc>
        <w:tc>
          <w:tcPr>
            <w:tcW w:w="8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w:t>
            </w:r>
          </w:p>
        </w:tc>
        <w:tc>
          <w:tcPr>
            <w:tcW w:w="11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4 GB</w:t>
            </w:r>
          </w:p>
        </w:tc>
        <w:tc>
          <w:tcPr>
            <w:tcW w:w="12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40 GB</w:t>
            </w:r>
          </w:p>
        </w:tc>
        <w:tc>
          <w:tcPr>
            <w:tcW w:w="43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Azure B2ms · AWS t3.medium · GCP e2-medium</w:t>
            </w:r>
          </w:p>
        </w:tc>
      </w:tr>
      <w:tr>
        <w:trPr>
          <w:cantSplit w:val="true"/>
        </w:trPr>
        <w:tc>
          <w:tcPr>
            <w:tcW w:w="18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500 – 3 000</w:t>
            </w:r>
          </w:p>
        </w:tc>
        <w:tc>
          <w:tcPr>
            <w:tcW w:w="8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4</w:t>
            </w:r>
          </w:p>
        </w:tc>
        <w:tc>
          <w:tcPr>
            <w:tcW w:w="11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8 GB</w:t>
            </w:r>
          </w:p>
        </w:tc>
        <w:tc>
          <w:tcPr>
            <w:tcW w:w="12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100 GB</w:t>
            </w:r>
          </w:p>
        </w:tc>
        <w:tc>
          <w:tcPr>
            <w:tcW w:w="43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Azure D4s v5 · AWS m6i.xlarge · GCP e2-standard-4</w:t>
            </w:r>
          </w:p>
        </w:tc>
      </w:tr>
      <w:tr>
        <w:trPr>
          <w:cantSplit w:val="true"/>
        </w:trPr>
        <w:tc>
          <w:tcPr>
            <w:tcW w:w="18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3 000 – 10 000</w:t>
            </w:r>
          </w:p>
        </w:tc>
        <w:tc>
          <w:tcPr>
            <w:tcW w:w="8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8</w:t>
            </w:r>
          </w:p>
        </w:tc>
        <w:tc>
          <w:tcPr>
            <w:tcW w:w="11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16 GB</w:t>
            </w:r>
          </w:p>
        </w:tc>
        <w:tc>
          <w:tcPr>
            <w:tcW w:w="12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250 GB</w:t>
            </w:r>
          </w:p>
        </w:tc>
        <w:tc>
          <w:tcPr>
            <w:tcW w:w="43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Azure D8s v5 · AWS m6i.2xlarge · GCP e2-standard-8</w:t>
            </w:r>
          </w:p>
        </w:tc>
      </w:tr>
    </w:tbl>
    <w:p>
      <w:pPr>
        <w:pStyle w:val="Normal"/>
        <w:spacing w:before="0" w:after="120"/>
        <w:rPr/>
      </w:pPr>
      <w:r>
        <w:rPr/>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E8F1FB" w:val="clear"/>
          </w:tcPr>
          <w:p>
            <w:pPr>
              <w:pStyle w:val="Normal"/>
              <w:spacing w:before="0" w:after="80"/>
              <w:rPr/>
            </w:pPr>
            <w:r>
              <w:rPr>
                <w:rFonts w:eastAsia="Montserrat" w:cs="Montserrat" w:ascii="Montserrat" w:hAnsi="Montserrat"/>
                <w:b/>
                <w:bCs/>
                <w:color w:val="123A5F"/>
                <w:sz w:val="22"/>
                <w:szCs w:val="22"/>
              </w:rPr>
              <w:t>Espace disque</w:t>
            </w:r>
          </w:p>
          <w:p>
            <w:pPr>
              <w:pStyle w:val="Normal"/>
              <w:spacing w:lineRule="auto" w:line="288" w:before="0" w:after="60"/>
              <w:jc w:val="left"/>
              <w:rPr/>
            </w:pPr>
            <w:r>
              <w:rPr>
                <w:rFonts w:eastAsia="Open Sans" w:cs="Open Sans"/>
                <w:color w:val="2C3E50"/>
                <w:sz w:val="21"/>
                <w:szCs w:val="21"/>
              </w:rPr>
              <w:t>Prévoyez le disque pour le dossier de données (base + fichiers joints + 30 jours de sauvegardes quotidiennes). Une base de 1 Go avec 30 sauvegardes demande environ 31 Go. Placez le dossier de données sur un disque sauvegardé ou pris en instantané.</w:t>
            </w:r>
          </w:p>
        </w:tc>
      </w:tr>
    </w:tbl>
    <w:p>
      <w:pPr>
        <w:pStyle w:val="Heading2"/>
        <w:keepNext w:val="true"/>
        <w:spacing w:before="320" w:after="120"/>
        <w:rPr/>
      </w:pPr>
      <w:bookmarkStart w:id="5" w:name="__RefHeading___Toc8317_3373283034"/>
      <w:bookmarkEnd w:id="5"/>
      <w:r>
        <w:rPr>
          <w:rFonts w:eastAsia="Montserrat" w:cs="Montserrat"/>
          <w:b/>
          <w:bCs/>
          <w:color w:val="123A5F"/>
          <w:sz w:val="32"/>
          <w:szCs w:val="32"/>
        </w:rPr>
        <w:t>Ce que vous recevez</w:t>
      </w:r>
    </w:p>
    <w:tbl>
      <w:tblPr>
        <w:tblW w:w="9638" w:type="dxa"/>
        <w:jc w:val="left"/>
        <w:tblInd w:w="0" w:type="dxa"/>
        <w:tblLayout w:type="fixed"/>
        <w:tblCellMar>
          <w:top w:w="70" w:type="dxa"/>
          <w:left w:w="110" w:type="dxa"/>
          <w:bottom w:w="70" w:type="dxa"/>
          <w:right w:w="110" w:type="dxa"/>
        </w:tblCellMar>
      </w:tblPr>
      <w:tblGrid>
        <w:gridCol w:w="3756"/>
        <w:gridCol w:w="5881"/>
      </w:tblGrid>
      <w:tr>
        <w:trPr>
          <w:tblHeader w:val="true"/>
          <w:cantSplit w:val="true"/>
        </w:trPr>
        <w:tc>
          <w:tcPr>
            <w:tcW w:w="37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Fichier</w:t>
            </w:r>
          </w:p>
        </w:tc>
        <w:tc>
          <w:tcPr>
            <w:tcW w:w="58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37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CortexSkills-app.zip</w:t>
            </w:r>
          </w:p>
        </w:tc>
        <w:tc>
          <w:tcPr>
            <w:tcW w:w="58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L’application : server, web/dist (écrans construits), deploy (exemples de configuration)</w:t>
            </w:r>
          </w:p>
        </w:tc>
      </w:tr>
      <w:tr>
        <w:trPr>
          <w:cantSplit w:val="true"/>
        </w:trPr>
        <w:tc>
          <w:tcPr>
            <w:tcW w:w="37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deploy/env.production.example</w:t>
            </w:r>
          </w:p>
        </w:tc>
        <w:tc>
          <w:tcPr>
            <w:tcW w:w="58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Le fichier de paramètres à copier vers server/.env</w:t>
            </w:r>
          </w:p>
        </w:tc>
      </w:tr>
      <w:tr>
        <w:trPr>
          <w:cantSplit w:val="true"/>
        </w:trPr>
        <w:tc>
          <w:tcPr>
            <w:tcW w:w="37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deploy/cortexskills.service</w:t>
            </w:r>
          </w:p>
        </w:tc>
        <w:tc>
          <w:tcPr>
            <w:tcW w:w="58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Le service Linux (systemd)</w:t>
            </w:r>
          </w:p>
        </w:tc>
      </w:tr>
      <w:tr>
        <w:trPr>
          <w:cantSplit w:val="true"/>
        </w:trPr>
        <w:tc>
          <w:tcPr>
            <w:tcW w:w="37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deploy/nginx-cortexskills.conf · deploy/Caddyfile</w:t>
            </w:r>
          </w:p>
        </w:tc>
        <w:tc>
          <w:tcPr>
            <w:tcW w:w="58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Le proxy inverse HTTPS (choisissez-en un)</w:t>
            </w:r>
          </w:p>
        </w:tc>
      </w:tr>
    </w:tbl>
    <w:p>
      <w:pPr>
        <w:pStyle w:val="Heading1"/>
        <w:pBdr>
          <w:bottom w:val="single" w:sz="6" w:space="6" w:color="E1E8F0"/>
        </w:pBdr>
        <w:spacing w:before="0" w:after="240"/>
        <w:rPr/>
      </w:pPr>
      <w:r>
        <w:br w:type="page"/>
      </w:r>
      <w:bookmarkStart w:id="6" w:name="__RefHeading___Toc8319_3373283034"/>
      <w:bookmarkEnd w:id="6"/>
      <w:r>
        <w:rPr>
          <w:rFonts w:eastAsia="Montserrat" w:cs="Montserrat"/>
          <w:b/>
          <w:bCs/>
          <w:color w:val="123A5F"/>
          <w:sz w:val="40"/>
          <w:szCs w:val="40"/>
        </w:rPr>
        <w:t>3. Installer la plateforme (côté serveur)</w:t>
      </w:r>
    </w:p>
    <w:p>
      <w:pPr>
        <w:pStyle w:val="Normal"/>
        <w:spacing w:lineRule="auto" w:line="288" w:before="0" w:after="160"/>
        <w:jc w:val="left"/>
        <w:rPr/>
      </w:pPr>
      <w:r>
        <w:rPr>
          <w:rFonts w:eastAsia="Open Sans" w:cs="Open Sans"/>
          <w:color w:val="2C3E50"/>
          <w:sz w:val="22"/>
          <w:szCs w:val="22"/>
        </w:rPr>
        <w:t>Les commandes ci-dessous sont pour Ubuntu Server. Tapez-les une à une et attendez la fin de chacune.</w:t>
      </w:r>
    </w:p>
    <w:p>
      <w:pPr>
        <w:pStyle w:val="Heading2"/>
        <w:keepNext w:val="true"/>
        <w:spacing w:before="320" w:after="120"/>
        <w:rPr/>
      </w:pPr>
      <w:bookmarkStart w:id="7" w:name="__RefHeading___Toc8321_3373283034"/>
      <w:bookmarkEnd w:id="7"/>
      <w:r>
        <w:rPr>
          <w:rFonts w:eastAsia="Montserrat" w:cs="Montserrat"/>
          <w:b/>
          <w:bCs/>
          <w:color w:val="123A5F"/>
          <w:sz w:val="32"/>
          <w:szCs w:val="32"/>
        </w:rPr>
        <w:t>Étape 1 — Installer Node.js 22 LTS</w:t>
      </w:r>
    </w:p>
    <w:p>
      <w:pPr>
        <w:pStyle w:val="Normal"/>
        <w:spacing w:lineRule="auto" w:line="288" w:before="0" w:after="160"/>
        <w:jc w:val="left"/>
        <w:rPr/>
      </w:pPr>
      <w:r>
        <w:rPr>
          <w:rFonts w:eastAsia="Open Sans" w:cs="Open Sans"/>
          <w:color w:val="2C3E50"/>
          <w:sz w:val="22"/>
          <w:szCs w:val="22"/>
        </w:rPr>
        <w:t>Connectez-vous au serveur en SSH avec un utilisateur disposant des droits sudo, puis tapez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curl -fsSL https://deb.nodesource.com/setup_22.x | sudo -E bash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apt-get install -y nodejs unzip</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node -v</w:t>
      </w:r>
    </w:p>
    <w:p>
      <w:pPr>
        <w:pStyle w:val="Normal"/>
        <w:spacing w:lineRule="auto" w:line="288" w:before="0" w:after="160"/>
        <w:jc w:val="left"/>
        <w:rPr/>
      </w:pPr>
      <w:r>
        <w:rPr>
          <w:rFonts w:eastAsia="Open Sans" w:cs="Open Sans"/>
          <w:color w:val="2C3E50"/>
          <w:sz w:val="22"/>
          <w:szCs w:val="22"/>
        </w:rPr>
        <w:t>La dernière commande doit afficher v22.13 ou plus.</w:t>
      </w:r>
    </w:p>
    <w:p>
      <w:pPr>
        <w:pStyle w:val="Heading2"/>
        <w:keepNext w:val="true"/>
        <w:spacing w:before="320" w:after="120"/>
        <w:rPr/>
      </w:pPr>
      <w:bookmarkStart w:id="8" w:name="__RefHeading___Toc8323_3373283034"/>
      <w:bookmarkEnd w:id="8"/>
      <w:r>
        <w:rPr>
          <w:rFonts w:eastAsia="Montserrat" w:cs="Montserrat"/>
          <w:b/>
          <w:bCs/>
          <w:color w:val="123A5F"/>
          <w:sz w:val="32"/>
          <w:szCs w:val="32"/>
        </w:rPr>
        <w:t>Étape 2 — Créer le compte de service et les dossiers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useradd --system --home /opt/cortexskills --shell /usr/sbin/nologin cortexskills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mkdir -p /opt/cortexskills /var/lib/cortexskills /var/log/cortexskills</w:t>
      </w:r>
    </w:p>
    <w:p>
      <w:pPr>
        <w:pStyle w:val="Heading2"/>
        <w:keepNext w:val="true"/>
        <w:spacing w:before="320" w:after="120"/>
        <w:rPr/>
      </w:pPr>
      <w:bookmarkStart w:id="9" w:name="__RefHeading___Toc8325_3373283034"/>
      <w:bookmarkEnd w:id="9"/>
      <w:r>
        <w:rPr>
          <w:rFonts w:eastAsia="Montserrat" w:cs="Montserrat"/>
          <w:b/>
          <w:bCs/>
          <w:color w:val="123A5F"/>
          <w:sz w:val="32"/>
          <w:szCs w:val="32"/>
        </w:rPr>
        <w:t>Étape 3 — Copier et décompresser l’application</w:t>
      </w:r>
    </w:p>
    <w:p>
      <w:pPr>
        <w:pStyle w:val="Normal"/>
        <w:spacing w:lineRule="auto" w:line="288" w:before="0" w:after="160"/>
        <w:jc w:val="left"/>
        <w:rPr/>
      </w:pPr>
      <w:r>
        <w:rPr>
          <w:rFonts w:eastAsia="Open Sans" w:cs="Open Sans"/>
          <w:color w:val="2C3E50"/>
          <w:sz w:val="22"/>
          <w:szCs w:val="22"/>
        </w:rPr>
        <w:t>Copiez CortexSkills-app.zip sur le serveur (par exemple avec scp ou WinSCP), puis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/tmp &amp;&amp; unzip -q CortexSkills-app.zip</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cp -r /tmp/CortexSkills/. /opt/cortexskills/</w:t>
      </w:r>
    </w:p>
    <w:p>
      <w:pPr>
        <w:pStyle w:val="Normal"/>
        <w:spacing w:lineRule="auto" w:line="288" w:before="0" w:after="160"/>
        <w:jc w:val="left"/>
        <w:rPr/>
      </w:pPr>
      <w:r>
        <w:rPr>
          <w:rFonts w:eastAsia="Open Sans" w:cs="Open Sans"/>
          <w:color w:val="2C3E50"/>
          <w:sz w:val="22"/>
          <w:szCs w:val="22"/>
        </w:rPr>
        <w:t>Le dossier contient maintenant server (l’application et ses outils), web/dist (les écrans, déjà construits) et deploy (les fichiers de configuration utilisés dans ce guide).</w:t>
      </w:r>
    </w:p>
    <w:p>
      <w:pPr>
        <w:pStyle w:val="Heading2"/>
        <w:keepNext w:val="true"/>
        <w:spacing w:before="320" w:after="120"/>
        <w:rPr/>
      </w:pPr>
      <w:bookmarkStart w:id="10" w:name="__RefHeading___Toc8327_3373283034"/>
      <w:bookmarkEnd w:id="10"/>
      <w:r>
        <w:rPr>
          <w:rFonts w:eastAsia="Montserrat" w:cs="Montserrat"/>
          <w:b/>
          <w:bCs/>
          <w:color w:val="123A5F"/>
          <w:sz w:val="32"/>
          <w:szCs w:val="32"/>
        </w:rPr>
        <w:t>Étape 4 — Installer les composants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/opt/cortexskills/server &amp;&amp; sudo npm ci --omit=dev</w:t>
      </w:r>
    </w:p>
    <w:p>
      <w:pPr>
        <w:pStyle w:val="Normal"/>
        <w:spacing w:lineRule="auto" w:line="288" w:before="0" w:after="160"/>
        <w:jc w:val="left"/>
        <w:rPr/>
      </w:pPr>
      <w:r>
        <w:rPr>
          <w:rFonts w:eastAsia="Open Sans" w:cs="Open Sans"/>
          <w:color w:val="2C3E50"/>
          <w:sz w:val="22"/>
          <w:szCs w:val="22"/>
        </w:rPr>
        <w:t>Cette commande télécharge les composants listés dans package-lock.json (1 à 3 minutes). Le serveur a besoin d’un accès Internet au registre npm uniquement pour cette étape ; pour un serveur sans Internet, voir « Installer sans accès Internet ».</w:t>
      </w:r>
    </w:p>
    <w:p>
      <w:pPr>
        <w:pStyle w:val="Heading2"/>
        <w:keepNext w:val="true"/>
        <w:spacing w:before="320" w:after="120"/>
        <w:rPr/>
      </w:pPr>
      <w:bookmarkStart w:id="11" w:name="__RefHeading___Toc8329_3373283034"/>
      <w:bookmarkEnd w:id="11"/>
      <w:r>
        <w:rPr>
          <w:rFonts w:eastAsia="Montserrat" w:cs="Montserrat"/>
          <w:b/>
          <w:bCs/>
          <w:color w:val="123A5F"/>
          <w:sz w:val="32"/>
          <w:szCs w:val="32"/>
        </w:rPr>
        <w:t>Étape 5 — Écrire le fichier de configuration (.env)</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cp /opt/cortexskills/deploy/env.production.example /opt/cortexskills/server/.env</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/opt/cortexskills/server &amp;&amp; npm run -s secrets</w:t>
      </w:r>
    </w:p>
    <w:p>
      <w:pPr>
        <w:pStyle w:val="Normal"/>
        <w:spacing w:lineRule="auto" w:line="288" w:before="0" w:after="160"/>
        <w:jc w:val="left"/>
        <w:rPr/>
      </w:pPr>
      <w:r>
        <w:rPr>
          <w:rFonts w:eastAsia="Open Sans" w:cs="Open Sans"/>
          <w:color w:val="2C3E50"/>
          <w:sz w:val="22"/>
          <w:szCs w:val="22"/>
        </w:rPr>
        <w:t>La seconde commande affiche trois nouveaux secrets aléatoires. Ouvrez le fichier .env (sudo nano .env) et remplissez-le comme ci-dessous :</w:t>
      </w:r>
    </w:p>
    <w:tbl>
      <w:tblPr>
        <w:tblW w:w="9638" w:type="dxa"/>
        <w:jc w:val="left"/>
        <w:tblInd w:w="0" w:type="dxa"/>
        <w:tblLayout w:type="fixed"/>
        <w:tblCellMar>
          <w:top w:w="70" w:type="dxa"/>
          <w:left w:w="110" w:type="dxa"/>
          <w:bottom w:w="70" w:type="dxa"/>
          <w:right w:w="110" w:type="dxa"/>
        </w:tblCellMar>
      </w:tblPr>
      <w:tblGrid>
        <w:gridCol w:w="3856"/>
        <w:gridCol w:w="5781"/>
      </w:tblGrid>
      <w:tr>
        <w:trPr>
          <w:tblHeader w:val="true"/>
          <w:cantSplit w:val="true"/>
        </w:trPr>
        <w:tc>
          <w:tcPr>
            <w:tcW w:w="38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Paramètre</w:t>
            </w:r>
          </w:p>
        </w:tc>
        <w:tc>
          <w:tcPr>
            <w:tcW w:w="57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3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NODE_ENV</w:t>
            </w:r>
          </w:p>
        </w:tc>
        <w:tc>
          <w:tcPr>
            <w:tcW w:w="57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production</w:t>
            </w:r>
          </w:p>
        </w:tc>
      </w:tr>
      <w:tr>
        <w:trPr>
          <w:cantSplit w:val="true"/>
        </w:trPr>
        <w:tc>
          <w:tcPr>
            <w:tcW w:w="38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DEPLOYMENT_MODE</w:t>
            </w:r>
          </w:p>
        </w:tc>
        <w:tc>
          <w:tcPr>
            <w:tcW w:w="57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saas</w:t>
            </w:r>
          </w:p>
        </w:tc>
      </w:tr>
      <w:tr>
        <w:trPr>
          <w:cantSplit w:val="true"/>
        </w:trPr>
        <w:tc>
          <w:tcPr>
            <w:tcW w:w="3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PUBLIC_URL / CORS_ORIGIN</w:t>
            </w:r>
          </w:p>
        </w:tc>
        <w:tc>
          <w:tcPr>
            <w:tcW w:w="57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https://skills.example.com</w:t>
            </w:r>
          </w:p>
        </w:tc>
      </w:tr>
      <w:tr>
        <w:trPr>
          <w:cantSplit w:val="true"/>
        </w:trPr>
        <w:tc>
          <w:tcPr>
            <w:tcW w:w="38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TRUST_PROXY</w:t>
            </w:r>
          </w:p>
        </w:tc>
        <w:tc>
          <w:tcPr>
            <w:tcW w:w="57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loopback (le proxy inverse est sur le même serveur)</w:t>
            </w:r>
          </w:p>
        </w:tc>
      </w:tr>
      <w:tr>
        <w:trPr>
          <w:cantSplit w:val="true"/>
        </w:trPr>
        <w:tc>
          <w:tcPr>
            <w:tcW w:w="3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JWT_SECRET, CHANNEL_SECRET_KEY</w:t>
            </w:r>
          </w:p>
        </w:tc>
        <w:tc>
          <w:tcPr>
            <w:tcW w:w="57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les valeurs affichées par npm run secrets</w:t>
            </w:r>
          </w:p>
        </w:tc>
      </w:tr>
      <w:tr>
        <w:trPr>
          <w:cantSplit w:val="true"/>
        </w:trPr>
        <w:tc>
          <w:tcPr>
            <w:tcW w:w="38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LICENSE_HMAC_SECRET</w:t>
            </w:r>
          </w:p>
        </w:tc>
        <w:tc>
          <w:tcPr>
            <w:tcW w:w="57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la valeur affichée par npm run secrets (signe les licences clients)</w:t>
            </w:r>
          </w:p>
        </w:tc>
      </w:tr>
      <w:tr>
        <w:trPr>
          <w:cantSplit w:val="true"/>
        </w:trPr>
        <w:tc>
          <w:tcPr>
            <w:tcW w:w="3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DATA_DIR</w:t>
            </w:r>
          </w:p>
        </w:tc>
        <w:tc>
          <w:tcPr>
            <w:tcW w:w="57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/var/lib/cortexskills</w:t>
            </w:r>
          </w:p>
        </w:tc>
      </w:tr>
      <w:tr>
        <w:trPr>
          <w:cantSplit w:val="true"/>
        </w:trPr>
        <w:tc>
          <w:tcPr>
            <w:tcW w:w="38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BACKUP_RETENTION_DAYS / BACKUP_COPY_DIR</w:t>
            </w:r>
          </w:p>
        </w:tc>
        <w:tc>
          <w:tcPr>
            <w:tcW w:w="57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30 / un dossier monté sur une autre machine ou un stockage cloud</w:t>
            </w:r>
          </w:p>
        </w:tc>
      </w:tr>
      <w:tr>
        <w:trPr>
          <w:cantSplit w:val="true"/>
        </w:trPr>
        <w:tc>
          <w:tcPr>
            <w:tcW w:w="3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ADMIN_EMAIL, ADMIN_NAME, ADMIN_PASSWORD</w:t>
            </w:r>
          </w:p>
        </w:tc>
        <w:tc>
          <w:tcPr>
            <w:tcW w:w="57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le premier administrateur de la plateforme (utilisé une fois par npm run init)</w:t>
            </w:r>
          </w:p>
        </w:tc>
      </w:tr>
      <w:tr>
        <w:trPr>
          <w:cantSplit w:val="true"/>
        </w:trPr>
        <w:tc>
          <w:tcPr>
            <w:tcW w:w="38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SMTP_HOST, SMTP_PORT, SMTP_USER, SMTP_PASS, SMTP_FROM</w:t>
            </w:r>
          </w:p>
        </w:tc>
        <w:tc>
          <w:tcPr>
            <w:tcW w:w="57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le serveur de messagerie de la plateforme (invitations, relances)</w:t>
            </w:r>
          </w:p>
        </w:tc>
      </w:tr>
      <w:tr>
        <w:trPr>
          <w:cantSplit w:val="true"/>
        </w:trPr>
        <w:tc>
          <w:tcPr>
            <w:tcW w:w="3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WHATSAPP_*</w:t>
            </w:r>
          </w:p>
        </w:tc>
        <w:tc>
          <w:tcPr>
            <w:tcW w:w="57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optionnel : API WhatsApp Business Cloud</w:t>
            </w:r>
          </w:p>
        </w:tc>
      </w:tr>
    </w:tbl>
    <w:p>
      <w:pPr>
        <w:pStyle w:val="Normal"/>
        <w:spacing w:before="0" w:after="120"/>
        <w:rPr/>
      </w:pPr>
      <w:r>
        <w:rPr/>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E8F1FB" w:val="clear"/>
          </w:tcPr>
          <w:p>
            <w:pPr>
              <w:pStyle w:val="Normal"/>
              <w:spacing w:before="0" w:after="80"/>
              <w:rPr/>
            </w:pPr>
            <w:r>
              <w:rPr>
                <w:rFonts w:eastAsia="Montserrat" w:cs="Montserrat" w:ascii="Montserrat" w:hAnsi="Montserrat"/>
                <w:b/>
                <w:bCs/>
                <w:color w:val="123A5F"/>
                <w:sz w:val="22"/>
                <w:szCs w:val="22"/>
              </w:rPr>
              <w:t>Protégez les secrets</w:t>
            </w:r>
          </w:p>
          <w:p>
            <w:pPr>
              <w:pStyle w:val="Normal"/>
              <w:spacing w:lineRule="auto" w:line="288" w:before="0" w:after="60"/>
              <w:jc w:val="left"/>
              <w:rPr/>
            </w:pPr>
            <w:r>
              <w:rPr>
                <w:rFonts w:eastAsia="Open Sans" w:cs="Open Sans"/>
                <w:color w:val="2C3E50"/>
                <w:sz w:val="21"/>
                <w:szCs w:val="21"/>
              </w:rPr>
              <w:t>Conservez une copie du fichier .env dans votre coffre-fort de mots de passe. Changer JWT_SECRET déconnecte tous les utilisateurs ; changer CHANNEL_SECRET_KEY rend illisibles les mots de passe des canaux enregistrés ; changer LICENSE_HMAC_SECRET invalide toutes les licences clients (réémettez-les avec npm run admin -- licence).</w:t>
            </w:r>
          </w:p>
        </w:tc>
      </w:tr>
    </w:tbl>
    <w:p>
      <w:pPr>
        <w:pStyle w:val="Heading2"/>
        <w:keepNext w:val="true"/>
        <w:spacing w:before="320" w:after="120"/>
        <w:rPr/>
      </w:pPr>
      <w:bookmarkStart w:id="12" w:name="__RefHeading___Toc8331_3373283034"/>
      <w:bookmarkEnd w:id="12"/>
      <w:r>
        <w:rPr>
          <w:rFonts w:eastAsia="Montserrat" w:cs="Montserrat"/>
          <w:b/>
          <w:bCs/>
          <w:color w:val="123A5F"/>
          <w:sz w:val="32"/>
          <w:szCs w:val="32"/>
        </w:rPr>
        <w:t>Étape 6 — Créer la base de production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chown -R cortexskills:cortexskills /opt/cortexskills /var/lib/cortexskills /var/log/cortexskills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/opt/cortexskills/server &amp;&amp; sudo -u cortexskills npm run init</w:t>
      </w:r>
    </w:p>
    <w:p>
      <w:pPr>
        <w:pStyle w:val="Normal"/>
        <w:spacing w:lineRule="auto" w:line="288" w:before="0" w:after="160"/>
        <w:jc w:val="left"/>
        <w:rPr/>
      </w:pPr>
      <w:r>
        <w:rPr>
          <w:rFonts w:eastAsia="Open Sans" w:cs="Open Sans"/>
          <w:color w:val="2C3E50"/>
          <w:sz w:val="22"/>
          <w:szCs w:val="22"/>
        </w:rPr>
        <w:t>npm run init construit le catalogue de référence (conception des processus, packs, secteurs, modèles de documents), crée l’administrateur de la plateforme à partir de ADMIN_EMAIL / ADMIN_PASSWORD et réalise une première sauvegarde. Elle ne contient ni données de démonstration ni organisation cliente. Elle prend quelques secondes et affiche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Production database ready in 1 s: reference catalog, 261 library records, no organization.</w:t>
      </w:r>
    </w:p>
    <w:p>
      <w:pPr>
        <w:pStyle w:val="ListParagraph"/>
        <w:numPr>
          <w:ilvl w:val="0"/>
          <w:numId w:val="8"/>
        </w:numPr>
        <w:spacing w:lineRule="auto" w:line="288" w:before="0" w:after="80"/>
        <w:rPr/>
      </w:pPr>
      <w:r>
        <w:rPr>
          <w:rFonts w:eastAsia="Open Sans" w:cs="Open Sans"/>
          <w:color w:val="2C3E50"/>
          <w:sz w:val="22"/>
          <w:szCs w:val="22"/>
        </w:rPr>
        <w:t>Le mot de passe doit comporter au moins 12 caractères, avec majuscules, minuscules, un chiffre et un symbole ; sinon init s’arrête et indique pourquoi.</w:t>
      </w:r>
    </w:p>
    <w:p>
      <w:pPr>
        <w:pStyle w:val="ListParagraph"/>
        <w:numPr>
          <w:ilvl w:val="0"/>
          <w:numId w:val="1"/>
        </w:numPr>
        <w:spacing w:lineRule="auto" w:line="288" w:before="0" w:after="80"/>
        <w:rPr/>
      </w:pPr>
      <w:r>
        <w:rPr>
          <w:rFonts w:eastAsia="Open Sans" w:cs="Open Sans"/>
          <w:color w:val="2C3E50"/>
          <w:sz w:val="22"/>
          <w:szCs w:val="22"/>
        </w:rPr>
        <w:t>Supprimez ensuite la ligne ADMIN_PASSWORD du fichier .env.</w:t>
      </w:r>
    </w:p>
    <w:p>
      <w:pPr>
        <w:pStyle w:val="ListParagraph"/>
        <w:numPr>
          <w:ilvl w:val="0"/>
          <w:numId w:val="1"/>
        </w:numPr>
        <w:spacing w:lineRule="auto" w:line="288" w:before="0" w:after="80"/>
        <w:rPr/>
      </w:pPr>
      <w:r>
        <w:rPr>
          <w:rFonts w:eastAsia="Open Sans" w:cs="Open Sans"/>
          <w:color w:val="2C3E50"/>
          <w:sz w:val="22"/>
          <w:szCs w:val="22"/>
        </w:rPr>
        <w:t>npm run init refuse de s’exécuter sur une base qui contient déjà des organisations. npm run seed (données de démonstration) est désactivé en production.</w:t>
      </w:r>
    </w:p>
    <w:p>
      <w:pPr>
        <w:pStyle w:val="Heading2"/>
        <w:keepNext w:val="true"/>
        <w:spacing w:before="320" w:after="120"/>
        <w:rPr/>
      </w:pPr>
      <w:bookmarkStart w:id="13" w:name="__RefHeading___Toc8333_3373283034"/>
      <w:bookmarkEnd w:id="13"/>
      <w:r>
        <w:rPr>
          <w:rFonts w:eastAsia="Montserrat" w:cs="Montserrat"/>
          <w:b/>
          <w:bCs/>
          <w:color w:val="123A5F"/>
          <w:sz w:val="32"/>
          <w:szCs w:val="32"/>
        </w:rPr>
        <w:t>Étape 7 — Exécuter CortexSkills comme service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cp /opt/cortexskills/deploy/cortexskills.service /etc/systemd/system/</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systemctl daemon-reload &amp;&amp; sudo systemctl enable --now cortexskills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systemctl status cortexskills</w:t>
      </w:r>
    </w:p>
    <w:p>
      <w:pPr>
        <w:pStyle w:val="Normal"/>
        <w:spacing w:lineRule="auto" w:line="288" w:before="0" w:after="160"/>
        <w:jc w:val="left"/>
        <w:rPr/>
      </w:pPr>
      <w:r>
        <w:rPr>
          <w:rFonts w:eastAsia="Open Sans" w:cs="Open Sans"/>
          <w:color w:val="2C3E50"/>
          <w:sz w:val="22"/>
          <w:szCs w:val="22"/>
        </w:rPr>
        <w:t>Le service démarre avec le serveur, redémarre automatiquement après un incident et écrit son journal dans /var/log/cortexskills. Les premières lignes du journal indiquent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CortexSkills API is running on http://localhost:4000  (mode: saas, production)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Open the application at https://skills.example.com.</w:t>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E8F1FB" w:val="clear"/>
          </w:tcPr>
          <w:p>
            <w:pPr>
              <w:pStyle w:val="Normal"/>
              <w:spacing w:before="0" w:after="80"/>
              <w:rPr/>
            </w:pPr>
            <w:r>
              <w:rPr>
                <w:rFonts w:eastAsia="Montserrat" w:cs="Montserrat" w:ascii="Montserrat" w:hAnsi="Montserrat"/>
                <w:b/>
                <w:bCs/>
                <w:color w:val="123A5F"/>
                <w:sz w:val="22"/>
                <w:szCs w:val="22"/>
              </w:rPr>
              <w:t>Contrôle de sécurité au démarrage</w:t>
            </w:r>
          </w:p>
          <w:p>
            <w:pPr>
              <w:pStyle w:val="Normal"/>
              <w:spacing w:lineRule="auto" w:line="288" w:before="0" w:after="60"/>
              <w:jc w:val="left"/>
              <w:rPr/>
            </w:pPr>
            <w:r>
              <w:rPr>
                <w:rFonts w:eastAsia="Open Sans" w:cs="Open Sans"/>
                <w:color w:val="2C3E50"/>
                <w:sz w:val="21"/>
                <w:szCs w:val="21"/>
              </w:rPr>
              <w:t>En production, le serveur refuse de démarrer tant qu’un paramètre n’est pas sûr et liste chaque problème avec sa correction : secret absent ou de développement, même valeur pour deux secrets, adresse publique non https://, CORS_ORIGIN=*, données de démonstration.</w:t>
            </w:r>
          </w:p>
          <w:p>
            <w:pPr>
              <w:pStyle w:val="Normal"/>
              <w:spacing w:lineRule="auto" w:line="288" w:before="0" w:after="60"/>
              <w:jc w:val="left"/>
              <w:rPr/>
            </w:pPr>
            <w:r>
              <w:rPr>
                <w:rFonts w:eastAsia="Open Sans" w:cs="Open Sans"/>
                <w:color w:val="2C3E50"/>
                <w:sz w:val="21"/>
                <w:szCs w:val="21"/>
              </w:rPr>
              <w:t>Lisez la raison avec : sudo tail -n 20 /var/log/cortexskills/cortexskills-error.log</w:t>
            </w:r>
          </w:p>
        </w:tc>
      </w:tr>
    </w:tbl>
    <w:p>
      <w:pPr>
        <w:pStyle w:val="Heading2"/>
        <w:keepNext w:val="true"/>
        <w:spacing w:before="320" w:after="120"/>
        <w:rPr/>
      </w:pPr>
      <w:bookmarkStart w:id="14" w:name="__RefHeading___Toc8335_3373283034"/>
      <w:bookmarkEnd w:id="14"/>
      <w:r>
        <w:rPr>
          <w:rFonts w:eastAsia="Montserrat" w:cs="Montserrat"/>
          <w:b/>
          <w:bCs/>
          <w:color w:val="123A5F"/>
          <w:sz w:val="32"/>
          <w:szCs w:val="32"/>
        </w:rPr>
        <w:t>Étape 8 — Publier en HTTPS</w:t>
      </w:r>
    </w:p>
    <w:p>
      <w:pPr>
        <w:pStyle w:val="Heading3"/>
        <w:keepNext w:val="true"/>
        <w:spacing w:before="240" w:after="80"/>
        <w:rPr/>
      </w:pPr>
      <w:bookmarkStart w:id="15" w:name="__RefHeading___Toc8337_3373283034"/>
      <w:bookmarkEnd w:id="15"/>
      <w:r>
        <w:rPr>
          <w:rFonts w:eastAsia="Montserrat" w:cs="Montserrat"/>
          <w:b/>
          <w:bCs/>
          <w:color w:val="123A5F"/>
          <w:sz w:val="26"/>
          <w:szCs w:val="26"/>
        </w:rPr>
        <w:t>Option A — Nginx avec Let’s Encrypt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apt-get install -y nginx certbot python3-certbot-nginx</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certbot certonly --nginx -d skills.example.com</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cp /opt/cortexskills/deploy/nginx-cortexskills.conf /etc/nginx/sites-available/cortexskills</w:t>
      </w:r>
    </w:p>
    <w:p>
      <w:pPr>
        <w:pStyle w:val="Normal"/>
        <w:spacing w:lineRule="auto" w:line="288" w:before="0" w:after="160"/>
        <w:jc w:val="left"/>
        <w:rPr/>
      </w:pPr>
      <w:r>
        <w:rPr>
          <w:rFonts w:eastAsia="Open Sans" w:cs="Open Sans"/>
          <w:color w:val="2C3E50"/>
          <w:sz w:val="22"/>
          <w:szCs w:val="22"/>
        </w:rPr>
        <w:t>Remplacez skills.example.com par skills.example.com dans le fichier, puis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ln -s /etc/nginx/sites-available/cortexskills /etc/nginx/sites-enabled/ &amp;&amp; sudo nginx -t &amp;&amp; sudo systemctl reload nginx</w:t>
      </w:r>
    </w:p>
    <w:p>
      <w:pPr>
        <w:pStyle w:val="Heading3"/>
        <w:keepNext w:val="true"/>
        <w:spacing w:before="240" w:after="80"/>
        <w:rPr/>
      </w:pPr>
      <w:bookmarkStart w:id="16" w:name="__RefHeading___Toc8339_3373283034"/>
      <w:bookmarkEnd w:id="16"/>
      <w:r>
        <w:rPr>
          <w:rFonts w:eastAsia="Montserrat" w:cs="Montserrat"/>
          <w:b/>
          <w:bCs/>
          <w:color w:val="123A5F"/>
          <w:sz w:val="26"/>
          <w:szCs w:val="26"/>
        </w:rPr>
        <w:t>Option B — Caddy (certificat automatique)</w:t>
      </w:r>
    </w:p>
    <w:p>
      <w:pPr>
        <w:pStyle w:val="Normal"/>
        <w:spacing w:lineRule="auto" w:line="288" w:before="0" w:after="160"/>
        <w:jc w:val="left"/>
        <w:rPr/>
      </w:pPr>
      <w:r>
        <w:rPr>
          <w:rFonts w:eastAsia="Open Sans" w:cs="Open Sans"/>
          <w:color w:val="2C3E50"/>
          <w:sz w:val="22"/>
          <w:szCs w:val="22"/>
        </w:rPr>
        <w:t>Installez Caddy (caddyserver.com), copiez deploy/Caddyfile vers /etc/caddy/Caddyfile, remplacez l’adresse par skills.example.com et lancez sudo systemctl reload caddy. Caddy obtient et renouvelle le certificat lui-même.</w:t>
      </w:r>
    </w:p>
    <w:p>
      <w:pPr>
        <w:pStyle w:val="Heading3"/>
        <w:keepNext w:val="true"/>
        <w:spacing w:before="240" w:after="80"/>
        <w:rPr/>
      </w:pPr>
      <w:bookmarkStart w:id="17" w:name="__RefHeading___Toc8341_3373283034"/>
      <w:bookmarkEnd w:id="17"/>
      <w:r>
        <w:rPr>
          <w:rFonts w:eastAsia="Montserrat" w:cs="Montserrat"/>
          <w:b/>
          <w:bCs/>
          <w:color w:val="123A5F"/>
          <w:sz w:val="26"/>
          <w:szCs w:val="26"/>
        </w:rPr>
        <w:t>Option C — Certificat de l’entreprise</w:t>
      </w:r>
    </w:p>
    <w:p>
      <w:pPr>
        <w:pStyle w:val="Normal"/>
        <w:spacing w:lineRule="auto" w:line="288" w:before="0" w:after="160"/>
        <w:jc w:val="left"/>
        <w:rPr/>
      </w:pPr>
      <w:r>
        <w:rPr>
          <w:rFonts w:eastAsia="Open Sans" w:cs="Open Sans"/>
          <w:color w:val="2C3E50"/>
          <w:sz w:val="22"/>
          <w:szCs w:val="22"/>
        </w:rPr>
        <w:t>Avec un certificat de votre propre autorité de certification (fréquent en cloud privé et sur site), gardez le fichier Nginx et faites pointer ssl_certificate et ssl_certificate_key vers votre certificat (chaîne complète) et sa clé privée.</w:t>
      </w:r>
    </w:p>
    <w:p>
      <w:pPr>
        <w:pStyle w:val="Heading2"/>
        <w:keepNext w:val="true"/>
        <w:spacing w:before="320" w:after="120"/>
        <w:rPr/>
      </w:pPr>
      <w:bookmarkStart w:id="18" w:name="__RefHeading___Toc8343_3373283034"/>
      <w:bookmarkEnd w:id="18"/>
      <w:r>
        <w:rPr>
          <w:rFonts w:eastAsia="Montserrat" w:cs="Montserrat"/>
          <w:b/>
          <w:bCs/>
          <w:color w:val="123A5F"/>
          <w:sz w:val="32"/>
          <w:szCs w:val="32"/>
        </w:rPr>
        <w:t>Étape 9 — Vérifier l’installation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curl https://skills.example.com/api/health</w:t>
      </w:r>
    </w:p>
    <w:p>
      <w:pPr>
        <w:pStyle w:val="Normal"/>
        <w:spacing w:lineRule="auto" w:line="288" w:before="0" w:after="160"/>
        <w:jc w:val="left"/>
        <w:rPr/>
      </w:pPr>
      <w:r>
        <w:rPr>
          <w:rFonts w:eastAsia="Open Sans" w:cs="Open Sans"/>
          <w:color w:val="2C3E50"/>
          <w:sz w:val="22"/>
          <w:szCs w:val="22"/>
        </w:rPr>
        <w:t>La réponse doit être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{"status":"ok","initialized":true,"mode":"saas","version":"1.10.0"}</w:t>
      </w:r>
    </w:p>
    <w:p>
      <w:pPr>
        <w:pStyle w:val="Normal"/>
        <w:spacing w:lineRule="auto" w:line="288" w:before="0" w:after="160"/>
        <w:jc w:val="left"/>
        <w:rPr/>
      </w:pPr>
      <w:r>
        <w:rPr>
          <w:rFonts w:eastAsia="Open Sans" w:cs="Open Sans"/>
          <w:color w:val="2C3E50"/>
          <w:sz w:val="22"/>
          <w:szCs w:val="22"/>
        </w:rPr>
        <w:t>Ouvrez ensuite https://skills.example.com dans un navigateur et connectez-vous avec le compte administrateur de la plateforme (ADMIN_EMAIL).</w:t>
      </w:r>
      <w:r>
        <w:br w:type="page"/>
      </w:r>
    </w:p>
    <w:p>
      <w:pPr>
        <w:pStyle w:val="Heading1"/>
        <w:pBdr>
          <w:bottom w:val="single" w:sz="6" w:space="6" w:color="E1E8F0"/>
        </w:pBdr>
        <w:spacing w:before="0" w:after="240"/>
        <w:rPr/>
      </w:pPr>
      <w:bookmarkStart w:id="19" w:name="__RefHeading___Toc8345_3373283034"/>
      <w:bookmarkEnd w:id="19"/>
      <w:r>
        <w:rPr>
          <w:rFonts w:eastAsia="Montserrat" w:cs="Montserrat"/>
          <w:b/>
          <w:bCs/>
          <w:color w:val="123A5F"/>
          <w:sz w:val="40"/>
          <w:szCs w:val="40"/>
        </w:rPr>
        <w:t>4. Intégrer un client (côté serveur)</w:t>
      </w:r>
    </w:p>
    <w:p>
      <w:pPr>
        <w:pStyle w:val="Heading2"/>
        <w:keepNext w:val="true"/>
        <w:spacing w:before="320" w:after="120"/>
        <w:rPr/>
      </w:pPr>
      <w:bookmarkStart w:id="20" w:name="__RefHeading___Toc8347_3373283034"/>
      <w:bookmarkEnd w:id="20"/>
      <w:r>
        <w:rPr>
          <w:rFonts w:eastAsia="Montserrat" w:cs="Montserrat"/>
          <w:b/>
          <w:bCs/>
          <w:color w:val="123A5F"/>
          <w:sz w:val="32"/>
          <w:szCs w:val="32"/>
        </w:rPr>
        <w:t>Rassembler les informations</w:t>
      </w:r>
    </w:p>
    <w:tbl>
      <w:tblPr>
        <w:tblW w:w="9638" w:type="dxa"/>
        <w:jc w:val="left"/>
        <w:tblInd w:w="0" w:type="dxa"/>
        <w:tblLayout w:type="fixed"/>
        <w:tblCellMar>
          <w:top w:w="70" w:type="dxa"/>
          <w:left w:w="110" w:type="dxa"/>
          <w:bottom w:w="70" w:type="dxa"/>
          <w:right w:w="110" w:type="dxa"/>
        </w:tblCellMar>
      </w:tblPr>
      <w:tblGrid>
        <w:gridCol w:w="4153"/>
        <w:gridCol w:w="5484"/>
      </w:tblGrid>
      <w:tr>
        <w:trPr>
          <w:tblHeader w:val="true"/>
          <w:cantSplit w:val="true"/>
        </w:trPr>
        <w:tc>
          <w:tcPr>
            <w:tcW w:w="41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Information</w:t>
            </w:r>
          </w:p>
        </w:tc>
        <w:tc>
          <w:tcPr>
            <w:tcW w:w="54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Exemple</w:t>
            </w:r>
          </w:p>
        </w:tc>
      </w:tr>
      <w:tr>
        <w:trPr>
          <w:cantSplit w:val="true"/>
        </w:trPr>
        <w:tc>
          <w:tcPr>
            <w:tcW w:w="41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Nom de l’entreprise et domaine e-mail</w:t>
            </w:r>
          </w:p>
        </w:tc>
        <w:tc>
          <w:tcPr>
            <w:tcW w:w="54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Clinique Atlas Santé · atlassante.ma</w:t>
            </w:r>
          </w:p>
        </w:tc>
      </w:tr>
      <w:tr>
        <w:trPr>
          <w:cantSplit w:val="true"/>
        </w:trPr>
        <w:tc>
          <w:tcPr>
            <w:tcW w:w="41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Segment et secteur</w:t>
            </w:r>
          </w:p>
        </w:tc>
        <w:tc>
          <w:tcPr>
            <w:tcW w:w="54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Grande organisation · HCPR (santé privée)</w:t>
            </w:r>
          </w:p>
        </w:tc>
      </w:tr>
      <w:tr>
        <w:trPr>
          <w:cantSplit w:val="true"/>
        </w:trPr>
        <w:tc>
          <w:tcPr>
            <w:tcW w:w="41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Offre contractuelle, utilisateurs, durée</w:t>
            </w:r>
          </w:p>
        </w:tc>
        <w:tc>
          <w:tcPr>
            <w:tcW w:w="54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BND-03 · 250 utilisateurs · 12 mois</w:t>
            </w:r>
          </w:p>
        </w:tc>
      </w:tr>
      <w:tr>
        <w:trPr>
          <w:cantSplit w:val="true"/>
        </w:trPr>
        <w:tc>
          <w:tcPr>
            <w:tcW w:w="41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Add-ons du contrat</w:t>
            </w:r>
          </w:p>
        </w:tc>
        <w:tc>
          <w:tcPr>
            <w:tcW w:w="54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AD-11</w:t>
            </w:r>
          </w:p>
        </w:tc>
      </w:tr>
      <w:tr>
        <w:trPr>
          <w:cantSplit w:val="true"/>
        </w:trPr>
        <w:tc>
          <w:tcPr>
            <w:tcW w:w="41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Administrateur du client</w:t>
            </w:r>
          </w:p>
        </w:tc>
        <w:tc>
          <w:tcPr>
            <w:tcW w:w="54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Nadia Benali · dsi@atlassante.ma</w:t>
            </w:r>
          </w:p>
        </w:tc>
      </w:tr>
      <w:tr>
        <w:trPr>
          <w:cantSplit w:val="true"/>
        </w:trPr>
        <w:tc>
          <w:tcPr>
            <w:tcW w:w="41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Langue par défaut</w:t>
            </w:r>
          </w:p>
        </w:tc>
        <w:tc>
          <w:tcPr>
            <w:tcW w:w="54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Français</w:t>
            </w:r>
          </w:p>
        </w:tc>
      </w:tr>
    </w:tbl>
    <w:p>
      <w:pPr>
        <w:pStyle w:val="Normal"/>
        <w:spacing w:before="0" w:after="120"/>
        <w:rPr/>
      </w:pPr>
      <w:r>
        <w:rPr/>
      </w:r>
    </w:p>
    <w:p>
      <w:pPr>
        <w:pStyle w:val="Heading2"/>
        <w:keepNext w:val="true"/>
        <w:spacing w:before="320" w:after="120"/>
        <w:rPr/>
      </w:pPr>
      <w:bookmarkStart w:id="21" w:name="__RefHeading___Toc8349_3373283034"/>
      <w:bookmarkEnd w:id="21"/>
      <w:r>
        <w:rPr>
          <w:rFonts w:eastAsia="Montserrat" w:cs="Montserrat"/>
          <w:b/>
          <w:bCs/>
          <w:color w:val="123A5F"/>
          <w:sz w:val="32"/>
          <w:szCs w:val="32"/>
        </w:rPr>
        <w:t>Créer l’organisation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/opt/cortexskills/server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-u cortexskills npm run -s admin -- org-create --name "Clinique Atlas Santé" --domain atlassante.ma --segment LARGE --sector HCPR --pack BND-03 --seats 250 --days 365 --lang fr --country Morocco --city Casablanca --admin-email dsi@atlassante.ma --admin-name "Nadia Benali" --admin-password "Choose#AStrong1"</w:t>
      </w:r>
    </w:p>
    <w:p>
      <w:pPr>
        <w:pStyle w:val="Normal"/>
        <w:spacing w:lineRule="auto" w:line="288" w:before="0" w:after="160"/>
        <w:jc w:val="left"/>
        <w:rPr/>
      </w:pPr>
      <w:r>
        <w:rPr>
          <w:rFonts w:eastAsia="Open Sans" w:cs="Open Sans"/>
          <w:color w:val="2C3E50"/>
          <w:sz w:val="22"/>
          <w:szCs w:val="22"/>
        </w:rPr>
        <w:t>La console affiche l’identifiant de l’organisation et le compte administrateur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Organization created: Clinique Atlas Santé</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Organization ID: 5c2f2728-9f25-4059-af3e-931b36b51b20</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Pack: BND-03 · seats: 250 · licence valid 365 days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Administrator: dsi@atlassante.ma (role R-01, full rights in this organization)</w:t>
      </w:r>
    </w:p>
    <w:tbl>
      <w:tblPr>
        <w:tblW w:w="9638" w:type="dxa"/>
        <w:jc w:val="left"/>
        <w:tblInd w:w="0" w:type="dxa"/>
        <w:tblLayout w:type="fixed"/>
        <w:tblCellMar>
          <w:top w:w="70" w:type="dxa"/>
          <w:left w:w="110" w:type="dxa"/>
          <w:bottom w:w="70" w:type="dxa"/>
          <w:right w:w="110" w:type="dxa"/>
        </w:tblCellMar>
      </w:tblPr>
      <w:tblGrid>
        <w:gridCol w:w="3560"/>
        <w:gridCol w:w="6077"/>
      </w:tblGrid>
      <w:tr>
        <w:trPr>
          <w:tblHeader w:val="true"/>
          <w:cantSplit w:val="true"/>
        </w:trPr>
        <w:tc>
          <w:tcPr>
            <w:tcW w:w="35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Option</w:t>
            </w:r>
          </w:p>
        </w:tc>
        <w:tc>
          <w:tcPr>
            <w:tcW w:w="607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Signification</w:t>
            </w:r>
          </w:p>
        </w:tc>
      </w:tr>
      <w:tr>
        <w:trPr>
          <w:cantSplit w:val="true"/>
        </w:trPr>
        <w:tc>
          <w:tcPr>
            <w:tcW w:w="35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--name / --domain</w:t>
            </w:r>
          </w:p>
        </w:tc>
        <w:tc>
          <w:tcPr>
            <w:tcW w:w="60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Nom de l’entreprise ; domaine e-mail de ses utilisateurs (unique par organisation)</w:t>
            </w:r>
          </w:p>
        </w:tc>
      </w:tr>
      <w:tr>
        <w:trPr>
          <w:cantSplit w:val="true"/>
        </w:trPr>
        <w:tc>
          <w:tcPr>
            <w:tcW w:w="35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--segment</w:t>
            </w:r>
          </w:p>
        </w:tc>
        <w:tc>
          <w:tcPr>
            <w:tcW w:w="60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LARGE (par défaut) ou SME (PME)</w:t>
            </w:r>
          </w:p>
        </w:tc>
      </w:tr>
      <w:tr>
        <w:trPr>
          <w:cantSplit w:val="true"/>
        </w:trPr>
        <w:tc>
          <w:tcPr>
            <w:tcW w:w="35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--sector</w:t>
            </w:r>
          </w:p>
        </w:tc>
        <w:tc>
          <w:tcPr>
            <w:tcW w:w="60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Code secteur (par exemple HCPR santé privée) ; la console liste les codes valides en cas d’erreur</w:t>
            </w:r>
          </w:p>
        </w:tc>
      </w:tr>
      <w:tr>
        <w:trPr>
          <w:cantSplit w:val="true"/>
        </w:trPr>
        <w:tc>
          <w:tcPr>
            <w:tcW w:w="35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--pack / --seats / --days</w:t>
            </w:r>
          </w:p>
        </w:tc>
        <w:tc>
          <w:tcPr>
            <w:tcW w:w="60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Pack contractuel, nombre d’utilisateurs et durée de la licence</w:t>
            </w:r>
          </w:p>
        </w:tc>
      </w:tr>
      <w:tr>
        <w:trPr>
          <w:cantSplit w:val="true"/>
        </w:trPr>
        <w:tc>
          <w:tcPr>
            <w:tcW w:w="35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--lang / --country / --city</w:t>
            </w:r>
          </w:p>
        </w:tc>
        <w:tc>
          <w:tcPr>
            <w:tcW w:w="60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Langue par défaut (en, fr, ar) et localisation</w:t>
            </w:r>
          </w:p>
        </w:tc>
      </w:tr>
      <w:tr>
        <w:trPr>
          <w:cantSplit w:val="true"/>
        </w:trPr>
        <w:tc>
          <w:tcPr>
            <w:tcW w:w="35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--admin-email / --admin-name / --admin-password</w:t>
            </w:r>
          </w:p>
        </w:tc>
        <w:tc>
          <w:tcPr>
            <w:tcW w:w="60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Le premier administrateur du client (rôle R-01). Un mot de passe fort est exigé.</w:t>
            </w:r>
          </w:p>
        </w:tc>
      </w:tr>
    </w:tbl>
    <w:p>
      <w:pPr>
        <w:pStyle w:val="Normal"/>
        <w:spacing w:before="0" w:after="120"/>
        <w:rPr/>
      </w:pPr>
      <w:r>
        <w:rPr/>
      </w:r>
    </w:p>
    <w:p>
      <w:pPr>
        <w:pStyle w:val="Normal"/>
        <w:spacing w:lineRule="auto" w:line="288" w:before="0" w:after="160"/>
        <w:jc w:val="left"/>
        <w:rPr/>
      </w:pPr>
      <w:r>
        <w:rPr>
          <w:rFonts w:eastAsia="Open Sans" w:cs="Open Sans"/>
          <w:color w:val="2C3E50"/>
          <w:sz w:val="22"/>
          <w:szCs w:val="22"/>
        </w:rPr>
        <w:t>La licence est émise aussitôt (statut Active). Ajoutez les add-ons du contrat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-u cortexskills npm run -s admin -- addon --org atlassante.ma --id AD-11 --on</w:t>
      </w:r>
    </w:p>
    <w:p>
      <w:pPr>
        <w:pStyle w:val="Heading2"/>
        <w:keepNext w:val="true"/>
        <w:spacing w:before="320" w:after="120"/>
        <w:rPr/>
      </w:pPr>
      <w:bookmarkStart w:id="22" w:name="__RefHeading___Toc8351_3373283034"/>
      <w:bookmarkEnd w:id="22"/>
      <w:r>
        <w:rPr>
          <w:rFonts w:eastAsia="Montserrat" w:cs="Montserrat"/>
          <w:b/>
          <w:bCs/>
          <w:color w:val="123A5F"/>
          <w:sz w:val="32"/>
          <w:szCs w:val="32"/>
        </w:rPr>
        <w:t>Envoyer le message de bienvenue</w:t>
      </w:r>
    </w:p>
    <w:p>
      <w:pPr>
        <w:pStyle w:val="Normal"/>
        <w:spacing w:lineRule="auto" w:line="288" w:before="0" w:after="160"/>
        <w:jc w:val="left"/>
        <w:rPr/>
      </w:pPr>
      <w:r>
        <w:rPr>
          <w:rFonts w:eastAsia="Open Sans" w:cs="Open Sans"/>
          <w:color w:val="2C3E50"/>
          <w:sz w:val="22"/>
          <w:szCs w:val="22"/>
        </w:rPr>
        <w:t>Envoyez à l’administrateur du client, par deux canaux distincts : l’adresse (https://skills.example.com) et l’e-mail du compte dans un premier message ; le mot de passe temporaire dans un second message (SMS ou téléphone). Demandez-lui de le changer à la première connexion et de suivre le chapitre 6 de ce guide.</w:t>
      </w:r>
    </w:p>
    <w:p>
      <w:pPr>
        <w:pStyle w:val="Heading2"/>
        <w:keepNext w:val="true"/>
        <w:spacing w:before="320" w:after="120"/>
        <w:rPr/>
      </w:pPr>
      <w:bookmarkStart w:id="23" w:name="__RefHeading___Toc8353_3373283034"/>
      <w:bookmarkEnd w:id="23"/>
      <w:r>
        <w:rPr>
          <w:rFonts w:eastAsia="Montserrat" w:cs="Montserrat"/>
          <w:b/>
          <w:bCs/>
          <w:color w:val="123A5F"/>
          <w:sz w:val="32"/>
          <w:szCs w:val="32"/>
        </w:rPr>
        <w:t>Contrôler les clients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-u cortexskills npm run -s admin -- org-list</w:t>
      </w:r>
    </w:p>
    <w:p>
      <w:pPr>
        <w:pStyle w:val="Normal"/>
        <w:spacing w:lineRule="auto" w:line="288" w:before="0" w:after="160"/>
        <w:jc w:val="left"/>
        <w:rPr/>
      </w:pPr>
      <w:r>
        <w:rPr>
          <w:rFonts w:eastAsia="Open Sans" w:cs="Open Sans"/>
          <w:color w:val="2C3E50"/>
          <w:sz w:val="22"/>
          <w:szCs w:val="22"/>
        </w:rPr>
        <w:t>Une ligne par organisation : identifiant, nom, domaine, segment, offre, sièges, utilisateurs actifs, add-ons et fin de licence.</w:t>
      </w:r>
      <w:r>
        <w:br w:type="page"/>
      </w:r>
    </w:p>
    <w:p>
      <w:pPr>
        <w:pStyle w:val="Heading1"/>
        <w:pBdr>
          <w:bottom w:val="single" w:sz="6" w:space="6" w:color="E1E8F0"/>
        </w:pBdr>
        <w:spacing w:before="0" w:after="240"/>
        <w:rPr/>
      </w:pPr>
      <w:bookmarkStart w:id="24" w:name="__RefHeading___Toc8355_3373283034"/>
      <w:bookmarkEnd w:id="24"/>
      <w:r>
        <w:rPr>
          <w:rFonts w:eastAsia="Montserrat" w:cs="Montserrat"/>
          <w:b/>
          <w:bCs/>
          <w:color w:val="123A5F"/>
          <w:sz w:val="40"/>
          <w:szCs w:val="40"/>
        </w:rPr>
        <w:t>5. Activer et changer les offres</w:t>
      </w:r>
    </w:p>
    <w:p>
      <w:pPr>
        <w:pStyle w:val="Heading2"/>
        <w:keepNext w:val="true"/>
        <w:spacing w:before="320" w:after="120"/>
        <w:rPr/>
      </w:pPr>
      <w:bookmarkStart w:id="25" w:name="__RefHeading___Toc8357_3373283034"/>
      <w:bookmarkEnd w:id="25"/>
      <w:r>
        <w:rPr>
          <w:rFonts w:eastAsia="Montserrat" w:cs="Montserrat"/>
          <w:b/>
          <w:bCs/>
          <w:color w:val="123A5F"/>
          <w:sz w:val="32"/>
          <w:szCs w:val="32"/>
        </w:rPr>
        <w:t>Le catalogue</w:t>
      </w:r>
    </w:p>
    <w:p>
      <w:pPr>
        <w:pStyle w:val="Normal"/>
        <w:spacing w:lineRule="auto" w:line="288" w:before="0" w:after="160"/>
        <w:jc w:val="left"/>
        <w:rPr/>
      </w:pPr>
      <w:r>
        <w:rPr>
          <w:rFonts w:eastAsia="Open Sans" w:cs="Open Sans"/>
          <w:color w:val="2C3E50"/>
          <w:sz w:val="22"/>
          <w:szCs w:val="22"/>
        </w:rPr>
        <w:t>Une organisation cliente a toujours exactement une offre (un pack, une offre groupée ou un pack PME). Les add-ons et les normes de conformité sont indépendants et s’ajoutent à n’importe quelle offre. Changer d’offre conserve toutes les données : les modules hors de la nouvelle offre passent en lecture seule, ils ne sont jamais supprimés.</w:t>
      </w:r>
    </w:p>
    <w:tbl>
      <w:tblPr>
        <w:tblW w:w="9638" w:type="dxa"/>
        <w:jc w:val="left"/>
        <w:tblInd w:w="0" w:type="dxa"/>
        <w:tblLayout w:type="fixed"/>
        <w:tblCellMar>
          <w:top w:w="70" w:type="dxa"/>
          <w:left w:w="110" w:type="dxa"/>
          <w:bottom w:w="70" w:type="dxa"/>
          <w:right w:w="110" w:type="dxa"/>
        </w:tblCellMar>
      </w:tblPr>
      <w:tblGrid>
        <w:gridCol w:w="938"/>
        <w:gridCol w:w="2274"/>
        <w:gridCol w:w="988"/>
        <w:gridCol w:w="1680"/>
        <w:gridCol w:w="1284"/>
        <w:gridCol w:w="2473"/>
      </w:tblGrid>
      <w:tr>
        <w:trPr>
          <w:tblHeader w:val="true"/>
          <w:cantSplit w:val="true"/>
        </w:trPr>
        <w:tc>
          <w:tcPr>
            <w:tcW w:w="93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ID</w:t>
            </w:r>
          </w:p>
        </w:tc>
        <w:tc>
          <w:tcPr>
            <w:tcW w:w="22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Nom</w:t>
            </w:r>
          </w:p>
        </w:tc>
        <w:tc>
          <w:tcPr>
            <w:tcW w:w="9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Type</w:t>
            </w:r>
          </w:p>
        </w:tc>
        <w:tc>
          <w:tcPr>
            <w:tcW w:w="16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Contient</w:t>
            </w:r>
          </w:p>
        </w:tc>
        <w:tc>
          <w:tcPr>
            <w:tcW w:w="12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Niveau d’IA</w:t>
            </w:r>
          </w:p>
        </w:tc>
        <w:tc>
          <w:tcPr>
            <w:tcW w:w="247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Prix</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7"/>
                <w:szCs w:val="17"/>
              </w:rPr>
              <w:t>PK-01</w:t>
            </w:r>
          </w:p>
        </w:tc>
        <w:tc>
          <w:tcPr>
            <w:tcW w:w="22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Offre ingénierie de formation de base</w:t>
            </w:r>
          </w:p>
        </w:tc>
        <w:tc>
          <w:tcPr>
            <w:tcW w:w="9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Pack</w:t>
            </w:r>
          </w:p>
        </w:tc>
        <w:tc>
          <w:tcPr>
            <w:tcW w:w="16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PK-01</w:t>
            </w:r>
          </w:p>
        </w:tc>
        <w:tc>
          <w:tcPr>
            <w:tcW w:w="12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Assistive</w:t>
            </w:r>
          </w:p>
        </w:tc>
        <w:tc>
          <w:tcPr>
            <w:tcW w:w="24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99 USD/mois (jusqu'à 100 utilisateurs) ; 0,75 $/utilisateur/mois au-delà de 100 utilisateurs</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7"/>
                <w:szCs w:val="17"/>
              </w:rPr>
              <w:t>PK-02</w:t>
            </w:r>
          </w:p>
        </w:tc>
        <w:tc>
          <w:tcPr>
            <w:tcW w:w="22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Offre réalisation et expérience d'apprentissage</w:t>
            </w:r>
          </w:p>
        </w:tc>
        <w:tc>
          <w:tcPr>
            <w:tcW w:w="9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Pack</w:t>
            </w:r>
          </w:p>
        </w:tc>
        <w:tc>
          <w:tcPr>
            <w:tcW w:w="16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PK-02</w:t>
            </w:r>
          </w:p>
        </w:tc>
        <w:tc>
          <w:tcPr>
            <w:tcW w:w="12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Assistive</w:t>
            </w:r>
          </w:p>
        </w:tc>
        <w:tc>
          <w:tcPr>
            <w:tcW w:w="24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149 USD/mois (jusqu'à 250 utilisateurs) ; 0,60 $/utilisateur/mois au-delà de 250 utilisateurs</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7"/>
                <w:szCs w:val="17"/>
              </w:rPr>
              <w:t>PK-03</w:t>
            </w:r>
          </w:p>
        </w:tc>
        <w:tc>
          <w:tcPr>
            <w:tcW w:w="22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Offre évaluation, analytique et ROI</w:t>
            </w:r>
          </w:p>
        </w:tc>
        <w:tc>
          <w:tcPr>
            <w:tcW w:w="9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Pack</w:t>
            </w:r>
          </w:p>
        </w:tc>
        <w:tc>
          <w:tcPr>
            <w:tcW w:w="16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PK-03</w:t>
            </w:r>
          </w:p>
        </w:tc>
        <w:tc>
          <w:tcPr>
            <w:tcW w:w="12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Assistive et augmentée</w:t>
            </w:r>
          </w:p>
        </w:tc>
        <w:tc>
          <w:tcPr>
            <w:tcW w:w="24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129 USD/mois (jusqu'à 500 utilisateurs) ; 0,50 $/utilisateur/mois au-delà de 500 utilisateurs</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7"/>
                <w:szCs w:val="17"/>
              </w:rPr>
              <w:t>PK-04</w:t>
            </w:r>
          </w:p>
        </w:tc>
        <w:tc>
          <w:tcPr>
            <w:tcW w:w="22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Offre conformité et certification</w:t>
            </w:r>
          </w:p>
        </w:tc>
        <w:tc>
          <w:tcPr>
            <w:tcW w:w="9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Pack</w:t>
            </w:r>
          </w:p>
        </w:tc>
        <w:tc>
          <w:tcPr>
            <w:tcW w:w="16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PK-04</w:t>
            </w:r>
          </w:p>
        </w:tc>
        <w:tc>
          <w:tcPr>
            <w:tcW w:w="12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Assistive</w:t>
            </w:r>
          </w:p>
        </w:tc>
        <w:tc>
          <w:tcPr>
            <w:tcW w:w="24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99 USD/mois (jusqu'à 300 utilisateurs) ; 0,55 $/utilisateur/mois au-delà de 300 utilisateurs</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7"/>
                <w:szCs w:val="17"/>
              </w:rPr>
              <w:t>PK-05</w:t>
            </w:r>
          </w:p>
        </w:tc>
        <w:tc>
          <w:tcPr>
            <w:tcW w:w="22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Offre talents et mobilité</w:t>
            </w:r>
          </w:p>
        </w:tc>
        <w:tc>
          <w:tcPr>
            <w:tcW w:w="9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Pack</w:t>
            </w:r>
          </w:p>
        </w:tc>
        <w:tc>
          <w:tcPr>
            <w:tcW w:w="16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PK-05</w:t>
            </w:r>
          </w:p>
        </w:tc>
        <w:tc>
          <w:tcPr>
            <w:tcW w:w="12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Assistive</w:t>
            </w:r>
          </w:p>
        </w:tc>
        <w:tc>
          <w:tcPr>
            <w:tcW w:w="24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119 USD/mois (jusqu'à 300 utilisateurs) ; 0,65 $/utilisateur/mois au-delà de 300 utilisateurs</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7"/>
                <w:szCs w:val="17"/>
              </w:rPr>
              <w:t>PK-06</w:t>
            </w:r>
          </w:p>
        </w:tc>
        <w:tc>
          <w:tcPr>
            <w:tcW w:w="22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Offre entreprise étendue</w:t>
            </w:r>
          </w:p>
        </w:tc>
        <w:tc>
          <w:tcPr>
            <w:tcW w:w="9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Pack</w:t>
            </w:r>
          </w:p>
        </w:tc>
        <w:tc>
          <w:tcPr>
            <w:tcW w:w="16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PK-06</w:t>
            </w:r>
          </w:p>
        </w:tc>
        <w:tc>
          <w:tcPr>
            <w:tcW w:w="12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Assistive</w:t>
            </w:r>
          </w:p>
        </w:tc>
        <w:tc>
          <w:tcPr>
            <w:tcW w:w="24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109 USD/mois (jusqu'à 200 utilisateurs externes) ; 0,80 $/utilisateur externe/mois au-delà de 200 utilisateurs</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7"/>
                <w:szCs w:val="17"/>
              </w:rPr>
              <w:t>PK-07</w:t>
            </w:r>
          </w:p>
        </w:tc>
        <w:tc>
          <w:tcPr>
            <w:tcW w:w="22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Offre conseil et diagnostic</w:t>
            </w:r>
          </w:p>
        </w:tc>
        <w:tc>
          <w:tcPr>
            <w:tcW w:w="9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Pack</w:t>
            </w:r>
          </w:p>
        </w:tc>
        <w:tc>
          <w:tcPr>
            <w:tcW w:w="16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PK-07</w:t>
            </w:r>
          </w:p>
        </w:tc>
        <w:tc>
          <w:tcPr>
            <w:tcW w:w="12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Assistive et augmentée</w:t>
            </w:r>
          </w:p>
        </w:tc>
        <w:tc>
          <w:tcPr>
            <w:tcW w:w="24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249 USD/mois (jusqu'à 50 missions simultanées) ; 5 $/mission/mois au-delà de 50</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7"/>
                <w:szCs w:val="17"/>
              </w:rPr>
              <w:t>PK-08</w:t>
            </w:r>
          </w:p>
        </w:tc>
        <w:tc>
          <w:tcPr>
            <w:tcW w:w="22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Offre pilotage stratégique des effectifs et gouvernance</w:t>
            </w:r>
          </w:p>
        </w:tc>
        <w:tc>
          <w:tcPr>
            <w:tcW w:w="9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Pack</w:t>
            </w:r>
          </w:p>
        </w:tc>
        <w:tc>
          <w:tcPr>
            <w:tcW w:w="16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PK-08</w:t>
            </w:r>
          </w:p>
        </w:tc>
        <w:tc>
          <w:tcPr>
            <w:tcW w:w="12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Assistive et augmentée</w:t>
            </w:r>
          </w:p>
        </w:tc>
        <w:tc>
          <w:tcPr>
            <w:tcW w:w="24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199 USD/mois (jusqu'à 500 utilisateurs) ; 0,45 $/utilisateur/mois au-delà de 500 utilisateurs</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7"/>
                <w:szCs w:val="17"/>
              </w:rPr>
              <w:t>BND-01</w:t>
            </w:r>
          </w:p>
        </w:tc>
        <w:tc>
          <w:tcPr>
            <w:tcW w:w="22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Pack Démarrage</w:t>
            </w:r>
          </w:p>
        </w:tc>
        <w:tc>
          <w:tcPr>
            <w:tcW w:w="9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Offre groupée</w:t>
            </w:r>
          </w:p>
        </w:tc>
        <w:tc>
          <w:tcPr>
            <w:tcW w:w="16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PK-01, PK-02</w:t>
            </w:r>
          </w:p>
        </w:tc>
        <w:tc>
          <w:tcPr>
            <w:tcW w:w="12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Assistive</w:t>
            </w:r>
          </w:p>
        </w:tc>
        <w:tc>
          <w:tcPr>
            <w:tcW w:w="24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10 % de remise sur la somme des prix de base (248 USD)</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7"/>
                <w:szCs w:val="17"/>
              </w:rPr>
              <w:t>BND-02</w:t>
            </w:r>
          </w:p>
        </w:tc>
        <w:tc>
          <w:tcPr>
            <w:tcW w:w="22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Pack Croissance</w:t>
            </w:r>
          </w:p>
        </w:tc>
        <w:tc>
          <w:tcPr>
            <w:tcW w:w="9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Offre groupée</w:t>
            </w:r>
          </w:p>
        </w:tc>
        <w:tc>
          <w:tcPr>
            <w:tcW w:w="16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PK-01, PK-02, PK-03</w:t>
            </w:r>
          </w:p>
        </w:tc>
        <w:tc>
          <w:tcPr>
            <w:tcW w:w="12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Assistive et augmentée</w:t>
            </w:r>
          </w:p>
        </w:tc>
        <w:tc>
          <w:tcPr>
            <w:tcW w:w="24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15 % de remise sur la somme des prix de base (377 USD)</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7"/>
                <w:szCs w:val="17"/>
              </w:rPr>
              <w:t>BND-03</w:t>
            </w:r>
          </w:p>
        </w:tc>
        <w:tc>
          <w:tcPr>
            <w:tcW w:w="22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Pack Entreprise</w:t>
            </w:r>
          </w:p>
        </w:tc>
        <w:tc>
          <w:tcPr>
            <w:tcW w:w="9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Offre groupée</w:t>
            </w:r>
          </w:p>
        </w:tc>
        <w:tc>
          <w:tcPr>
            <w:tcW w:w="16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PK-01, PK-02, PK-03, PK-04, PK-05</w:t>
            </w:r>
          </w:p>
        </w:tc>
        <w:tc>
          <w:tcPr>
            <w:tcW w:w="12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Assistive et augmentée</w:t>
            </w:r>
          </w:p>
        </w:tc>
        <w:tc>
          <w:tcPr>
            <w:tcW w:w="24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20 % de remise sur la somme des prix de base (595 USD)</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7"/>
                <w:szCs w:val="17"/>
              </w:rPr>
              <w:t>BND-04</w:t>
            </w:r>
          </w:p>
        </w:tc>
        <w:tc>
          <w:tcPr>
            <w:tcW w:w="22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Pack Stratégique</w:t>
            </w:r>
          </w:p>
        </w:tc>
        <w:tc>
          <w:tcPr>
            <w:tcW w:w="9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Offre groupée</w:t>
            </w:r>
          </w:p>
        </w:tc>
        <w:tc>
          <w:tcPr>
            <w:tcW w:w="16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PK-01, PK-02, PK-03, PK-04, PK-05, PK-06, PK-08</w:t>
            </w:r>
          </w:p>
        </w:tc>
        <w:tc>
          <w:tcPr>
            <w:tcW w:w="12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Assistive et augmentée</w:t>
            </w:r>
          </w:p>
        </w:tc>
        <w:tc>
          <w:tcPr>
            <w:tcW w:w="24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25 % de remise sur la somme des prix de base (903 USD)</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7"/>
                <w:szCs w:val="17"/>
              </w:rPr>
              <w:t>BND-05</w:t>
            </w:r>
          </w:p>
        </w:tc>
        <w:tc>
          <w:tcPr>
            <w:tcW w:w="22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Suite complète</w:t>
            </w:r>
          </w:p>
        </w:tc>
        <w:tc>
          <w:tcPr>
            <w:tcW w:w="9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Offre groupée</w:t>
            </w:r>
          </w:p>
        </w:tc>
        <w:tc>
          <w:tcPr>
            <w:tcW w:w="16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PK-01, PK-02, PK-03, PK-04, PK-05, PK-06, PK-07, PK-08</w:t>
            </w:r>
          </w:p>
        </w:tc>
        <w:tc>
          <w:tcPr>
            <w:tcW w:w="12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Assistive et augmentée</w:t>
            </w:r>
          </w:p>
        </w:tc>
        <w:tc>
          <w:tcPr>
            <w:tcW w:w="24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30 % de remise sur la somme des prix de base (1152 USD)</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7"/>
                <w:szCs w:val="17"/>
              </w:rPr>
              <w:t>SME-ESS</w:t>
            </w:r>
          </w:p>
        </w:tc>
        <w:tc>
          <w:tcPr>
            <w:tcW w:w="22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Pack PME Essentiel</w:t>
            </w:r>
          </w:p>
        </w:tc>
        <w:tc>
          <w:tcPr>
            <w:tcW w:w="9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Pack PME</w:t>
            </w:r>
          </w:p>
        </w:tc>
        <w:tc>
          <w:tcPr>
            <w:tcW w:w="16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PK-01 + AD-11</w:t>
            </w:r>
          </w:p>
        </w:tc>
        <w:tc>
          <w:tcPr>
            <w:tcW w:w="12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Assistive</w:t>
            </w:r>
          </w:p>
        </w:tc>
        <w:tc>
          <w:tcPr>
            <w:tcW w:w="24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Minimum 25 utilisateurs ; 1,2 USD par utilisateur supplémentaire et par mois</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7"/>
                <w:szCs w:val="17"/>
              </w:rPr>
              <w:t>SME-GRO</w:t>
            </w:r>
          </w:p>
        </w:tc>
        <w:tc>
          <w:tcPr>
            <w:tcW w:w="22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Pack PME Croissance</w:t>
            </w:r>
          </w:p>
        </w:tc>
        <w:tc>
          <w:tcPr>
            <w:tcW w:w="9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Pack PME</w:t>
            </w:r>
          </w:p>
        </w:tc>
        <w:tc>
          <w:tcPr>
            <w:tcW w:w="16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PK-01, PK-02, PK-03</w:t>
            </w:r>
          </w:p>
        </w:tc>
        <w:tc>
          <w:tcPr>
            <w:tcW w:w="12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Assistive et augmentée</w:t>
            </w:r>
          </w:p>
        </w:tc>
        <w:tc>
          <w:tcPr>
            <w:tcW w:w="24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Minimum 50 utilisateurs ; 1 USD par utilisateur supplémentaire et par mois</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7"/>
                <w:szCs w:val="17"/>
              </w:rPr>
              <w:t>SME-CMP</w:t>
            </w:r>
          </w:p>
        </w:tc>
        <w:tc>
          <w:tcPr>
            <w:tcW w:w="22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Pack PME Complet</w:t>
            </w:r>
          </w:p>
        </w:tc>
        <w:tc>
          <w:tcPr>
            <w:tcW w:w="9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Pack PME</w:t>
            </w:r>
          </w:p>
        </w:tc>
        <w:tc>
          <w:tcPr>
            <w:tcW w:w="16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PK-01, PK-02, PK-03, PK-04, PK-05, PK-06, PK-07, PK-08</w:t>
            </w:r>
          </w:p>
        </w:tc>
        <w:tc>
          <w:tcPr>
            <w:tcW w:w="12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Assistive et augmentée</w:t>
            </w:r>
          </w:p>
        </w:tc>
        <w:tc>
          <w:tcPr>
            <w:tcW w:w="24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Minimum 100 utilisateurs ; 0,9 USD par utilisateur supplémentaire et par mois</w:t>
            </w:r>
          </w:p>
        </w:tc>
      </w:tr>
    </w:tbl>
    <w:p>
      <w:pPr>
        <w:pStyle w:val="Normal"/>
        <w:spacing w:before="0" w:after="240"/>
        <w:jc w:val="center"/>
        <w:rPr/>
      </w:pPr>
      <w:r>
        <w:rPr>
          <w:rFonts w:eastAsia="Open Sans" w:cs="Open Sans"/>
          <w:i/>
          <w:iCs/>
          <w:color w:val="5A6B7B"/>
          <w:sz w:val="18"/>
          <w:szCs w:val="18"/>
        </w:rPr>
        <w:t>Packs, offres groupées et packs PME (prix catalogue ; votre contrat prévaut).</w:t>
      </w:r>
    </w:p>
    <w:tbl>
      <w:tblPr>
        <w:tblW w:w="9638" w:type="dxa"/>
        <w:jc w:val="left"/>
        <w:tblInd w:w="0" w:type="dxa"/>
        <w:tblLayout w:type="fixed"/>
        <w:tblCellMar>
          <w:top w:w="70" w:type="dxa"/>
          <w:left w:w="110" w:type="dxa"/>
          <w:bottom w:w="70" w:type="dxa"/>
          <w:right w:w="110" w:type="dxa"/>
        </w:tblCellMar>
      </w:tblPr>
      <w:tblGrid>
        <w:gridCol w:w="987"/>
        <w:gridCol w:w="6672"/>
        <w:gridCol w:w="1979"/>
      </w:tblGrid>
      <w:tr>
        <w:trPr>
          <w:tblHeader w:val="true"/>
          <w:cantSplit w:val="true"/>
        </w:trPr>
        <w:tc>
          <w:tcPr>
            <w:tcW w:w="98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ID</w:t>
            </w:r>
          </w:p>
        </w:tc>
        <w:tc>
          <w:tcPr>
            <w:tcW w:w="66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Add-on</w:t>
            </w:r>
          </w:p>
        </w:tc>
        <w:tc>
          <w:tcPr>
            <w:tcW w:w="19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Prix</w:t>
            </w:r>
          </w:p>
        </w:tc>
      </w:tr>
      <w:tr>
        <w:trPr>
          <w:cantSplit w:val="true"/>
        </w:trPr>
        <w:tc>
          <w:tcPr>
            <w:tcW w:w="9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AD-01</w:t>
            </w:r>
          </w:p>
        </w:tc>
        <w:tc>
          <w:tcPr>
            <w:tcW w:w="66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Apprentissage immersif (RV/RA/simulation)</w:t>
            </w:r>
          </w:p>
        </w:tc>
        <w:tc>
          <w:tcPr>
            <w:tcW w:w="1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$49 / mois</w:t>
            </w:r>
          </w:p>
        </w:tc>
      </w:tr>
      <w:tr>
        <w:trPr>
          <w:cantSplit w:val="true"/>
        </w:trPr>
        <w:tc>
          <w:tcPr>
            <w:tcW w:w="9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AD-02</w:t>
            </w:r>
          </w:p>
        </w:tc>
        <w:tc>
          <w:tcPr>
            <w:tcW w:w="66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Moteur de personnalisation IA</w:t>
            </w:r>
          </w:p>
        </w:tc>
        <w:tc>
          <w:tcPr>
            <w:tcW w:w="1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$59 / mois</w:t>
            </w:r>
          </w:p>
        </w:tc>
      </w:tr>
      <w:tr>
        <w:trPr>
          <w:cantSplit w:val="true"/>
        </w:trPr>
        <w:tc>
          <w:tcPr>
            <w:tcW w:w="9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AD-03</w:t>
            </w:r>
          </w:p>
        </w:tc>
        <w:tc>
          <w:tcPr>
            <w:tcW w:w="66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Analytique prédictive</w:t>
            </w:r>
          </w:p>
        </w:tc>
        <w:tc>
          <w:tcPr>
            <w:tcW w:w="1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$69 / mois</w:t>
            </w:r>
          </w:p>
        </w:tc>
      </w:tr>
      <w:tr>
        <w:trPr>
          <w:cantSplit w:val="true"/>
        </w:trPr>
        <w:tc>
          <w:tcPr>
            <w:tcW w:w="9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AD-04</w:t>
            </w:r>
          </w:p>
        </w:tc>
        <w:tc>
          <w:tcPr>
            <w:tcW w:w="66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Apprentissage social et collaboratif</w:t>
            </w:r>
          </w:p>
        </w:tc>
        <w:tc>
          <w:tcPr>
            <w:tcW w:w="1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$40 / mois</w:t>
            </w:r>
          </w:p>
        </w:tc>
      </w:tr>
      <w:tr>
        <w:trPr>
          <w:cantSplit w:val="true"/>
        </w:trPr>
        <w:tc>
          <w:tcPr>
            <w:tcW w:w="9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AD-05</w:t>
            </w:r>
          </w:p>
        </w:tc>
        <w:tc>
          <w:tcPr>
            <w:tcW w:w="66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Moteur de ludification</w:t>
            </w:r>
          </w:p>
        </w:tc>
        <w:tc>
          <w:tcPr>
            <w:tcW w:w="1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$40 / mois</w:t>
            </w:r>
          </w:p>
        </w:tc>
      </w:tr>
      <w:tr>
        <w:trPr>
          <w:cantSplit w:val="true"/>
        </w:trPr>
        <w:tc>
          <w:tcPr>
            <w:tcW w:w="9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AD-06</w:t>
            </w:r>
          </w:p>
        </w:tc>
        <w:tc>
          <w:tcPr>
            <w:tcW w:w="66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Moteur de curation et d'agrégation de contenus</w:t>
            </w:r>
          </w:p>
        </w:tc>
        <w:tc>
          <w:tcPr>
            <w:tcW w:w="1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$49 / mois</w:t>
            </w:r>
          </w:p>
        </w:tc>
      </w:tr>
      <w:tr>
        <w:trPr>
          <w:cantSplit w:val="true"/>
        </w:trPr>
        <w:tc>
          <w:tcPr>
            <w:tcW w:w="9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AD-07</w:t>
            </w:r>
          </w:p>
        </w:tc>
        <w:tc>
          <w:tcPr>
            <w:tcW w:w="66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Capture et transfert des savoirs d'experts</w:t>
            </w:r>
          </w:p>
        </w:tc>
        <w:tc>
          <w:tcPr>
            <w:tcW w:w="1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$45 / mois</w:t>
            </w:r>
          </w:p>
        </w:tc>
      </w:tr>
      <w:tr>
        <w:trPr>
          <w:cantSplit w:val="true"/>
        </w:trPr>
        <w:tc>
          <w:tcPr>
            <w:tcW w:w="9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AD-08</w:t>
            </w:r>
          </w:p>
        </w:tc>
        <w:tc>
          <w:tcPr>
            <w:tcW w:w="66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Déploiement multi-sites / multi-entités</w:t>
            </w:r>
          </w:p>
        </w:tc>
        <w:tc>
          <w:tcPr>
            <w:tcW w:w="1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$55 / mois</w:t>
            </w:r>
          </w:p>
        </w:tc>
      </w:tr>
      <w:tr>
        <w:trPr>
          <w:cantSplit w:val="true"/>
        </w:trPr>
        <w:tc>
          <w:tcPr>
            <w:tcW w:w="9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AD-09</w:t>
            </w:r>
          </w:p>
        </w:tc>
        <w:tc>
          <w:tcPr>
            <w:tcW w:w="66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Validation externe du plan de formation (réglementaire)</w:t>
            </w:r>
          </w:p>
        </w:tc>
        <w:tc>
          <w:tcPr>
            <w:tcW w:w="1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$45 / mois</w:t>
            </w:r>
          </w:p>
        </w:tc>
      </w:tr>
      <w:tr>
        <w:trPr>
          <w:cantSplit w:val="true"/>
        </w:trPr>
        <w:tc>
          <w:tcPr>
            <w:tcW w:w="9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AD-10</w:t>
            </w:r>
          </w:p>
        </w:tc>
        <w:tc>
          <w:tcPr>
            <w:tcW w:w="66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Évaluation et développement de la maturité managériale</w:t>
            </w:r>
          </w:p>
        </w:tc>
        <w:tc>
          <w:tcPr>
            <w:tcW w:w="1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$69 / mois</w:t>
            </w:r>
          </w:p>
        </w:tc>
      </w:tr>
      <w:tr>
        <w:trPr>
          <w:cantSplit w:val="true"/>
        </w:trPr>
        <w:tc>
          <w:tcPr>
            <w:tcW w:w="9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AD-11</w:t>
            </w:r>
          </w:p>
        </w:tc>
        <w:tc>
          <w:tcPr>
            <w:tcW w:w="66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Bibliothèque de questionnaires et diffusion multicanale</w:t>
            </w:r>
          </w:p>
        </w:tc>
        <w:tc>
          <w:tcPr>
            <w:tcW w:w="1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$49 / mois</w:t>
            </w:r>
          </w:p>
        </w:tc>
      </w:tr>
    </w:tbl>
    <w:p>
      <w:pPr>
        <w:pStyle w:val="Normal"/>
        <w:spacing w:before="0" w:after="240"/>
        <w:jc w:val="center"/>
        <w:rPr/>
      </w:pPr>
      <w:r>
        <w:rPr>
          <w:rFonts w:eastAsia="Open Sans" w:cs="Open Sans"/>
          <w:i/>
          <w:iCs/>
          <w:color w:val="5A6B7B"/>
          <w:sz w:val="18"/>
          <w:szCs w:val="18"/>
        </w:rPr>
        <w:t>Add-ons.</w:t>
      </w:r>
    </w:p>
    <w:tbl>
      <w:tblPr>
        <w:tblW w:w="9638" w:type="dxa"/>
        <w:jc w:val="left"/>
        <w:tblInd w:w="0" w:type="dxa"/>
        <w:tblLayout w:type="fixed"/>
        <w:tblCellMar>
          <w:top w:w="70" w:type="dxa"/>
          <w:left w:w="110" w:type="dxa"/>
          <w:bottom w:w="70" w:type="dxa"/>
          <w:right w:w="110" w:type="dxa"/>
        </w:tblCellMar>
      </w:tblPr>
      <w:tblGrid>
        <w:gridCol w:w="1976"/>
        <w:gridCol w:w="7661"/>
      </w:tblGrid>
      <w:tr>
        <w:trPr>
          <w:tblHeader w:val="true"/>
          <w:cantSplit w:val="true"/>
        </w:trPr>
        <w:tc>
          <w:tcPr>
            <w:tcW w:w="19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ID</w:t>
            </w:r>
          </w:p>
        </w:tc>
        <w:tc>
          <w:tcPr>
            <w:tcW w:w="76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Norme de conformité et de sécurité</w:t>
            </w:r>
          </w:p>
        </w:tc>
      </w:tr>
      <w:tr>
        <w:trPr>
          <w:cantSplit w:val="true"/>
        </w:trPr>
        <w:tc>
          <w:tcPr>
            <w:tcW w:w="19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GDPR</w:t>
            </w:r>
          </w:p>
        </w:tc>
        <w:tc>
          <w:tcPr>
            <w:tcW w:w="76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GDPR</w:t>
            </w:r>
          </w:p>
        </w:tc>
      </w:tr>
      <w:tr>
        <w:trPr>
          <w:cantSplit w:val="true"/>
        </w:trPr>
        <w:tc>
          <w:tcPr>
            <w:tcW w:w="19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ISO27001</w:t>
            </w:r>
          </w:p>
        </w:tc>
        <w:tc>
          <w:tcPr>
            <w:tcW w:w="76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ISO/IEC 27001</w:t>
            </w:r>
          </w:p>
        </w:tc>
      </w:tr>
      <w:tr>
        <w:trPr>
          <w:cantSplit w:val="true"/>
        </w:trPr>
        <w:tc>
          <w:tcPr>
            <w:tcW w:w="19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SOC2</w:t>
            </w:r>
          </w:p>
        </w:tc>
        <w:tc>
          <w:tcPr>
            <w:tcW w:w="76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SOC 2</w:t>
            </w:r>
          </w:p>
        </w:tc>
      </w:tr>
      <w:tr>
        <w:trPr>
          <w:cantSplit w:val="true"/>
        </w:trPr>
        <w:tc>
          <w:tcPr>
            <w:tcW w:w="19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ISO27701</w:t>
            </w:r>
          </w:p>
        </w:tc>
        <w:tc>
          <w:tcPr>
            <w:tcW w:w="76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ISO/IEC 27701</w:t>
            </w:r>
          </w:p>
        </w:tc>
      </w:tr>
      <w:tr>
        <w:trPr>
          <w:cantSplit w:val="true"/>
        </w:trPr>
        <w:tc>
          <w:tcPr>
            <w:tcW w:w="19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ISO9001</w:t>
            </w:r>
          </w:p>
        </w:tc>
        <w:tc>
          <w:tcPr>
            <w:tcW w:w="76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ISO 9001</w:t>
            </w:r>
          </w:p>
        </w:tc>
      </w:tr>
      <w:tr>
        <w:trPr>
          <w:cantSplit w:val="true"/>
        </w:trPr>
        <w:tc>
          <w:tcPr>
            <w:tcW w:w="19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LAW0908</w:t>
            </w:r>
          </w:p>
        </w:tc>
        <w:tc>
          <w:tcPr>
            <w:tcW w:w="76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Law 09-08 (CNDP, Morocco)</w:t>
            </w:r>
          </w:p>
        </w:tc>
      </w:tr>
    </w:tbl>
    <w:p>
      <w:pPr>
        <w:pStyle w:val="Normal"/>
        <w:spacing w:before="0" w:after="240"/>
        <w:jc w:val="center"/>
        <w:rPr/>
      </w:pPr>
      <w:r>
        <w:rPr>
          <w:rFonts w:eastAsia="Open Sans" w:cs="Open Sans"/>
          <w:i/>
          <w:iCs/>
          <w:color w:val="5A6B7B"/>
          <w:sz w:val="18"/>
          <w:szCs w:val="18"/>
        </w:rPr>
        <w:t>Normes de conformité. CortexSkills organise les éléments probants ; il ne certifie pas la conformité.</w:t>
      </w:r>
    </w:p>
    <w:p>
      <w:pPr>
        <w:pStyle w:val="Normal"/>
        <w:spacing w:lineRule="auto" w:line="288" w:before="0" w:after="160"/>
        <w:jc w:val="left"/>
        <w:rPr/>
      </w:pPr>
      <w:r>
        <w:rPr>
          <w:rFonts w:eastAsia="Open Sans" w:cs="Open Sans"/>
          <w:color w:val="2C3E50"/>
          <w:sz w:val="22"/>
          <w:szCs w:val="22"/>
        </w:rPr>
        <w:t xml:space="preserve">Sur le serveur, la console affiche le même catalogue : </w:t>
      </w:r>
      <w:r>
        <w:rPr>
          <w:rFonts w:eastAsia="Open Sans" w:cs="Open Sans"/>
          <w:b/>
          <w:bCs/>
          <w:color w:val="2C3E50"/>
          <w:sz w:val="22"/>
          <w:szCs w:val="22"/>
        </w:rPr>
        <w:t>npm run -s admin -- packs</w:t>
      </w:r>
    </w:p>
    <w:p>
      <w:pPr>
        <w:pStyle w:val="Heading2"/>
        <w:keepNext w:val="true"/>
        <w:spacing w:before="320" w:after="120"/>
        <w:rPr/>
      </w:pPr>
      <w:bookmarkStart w:id="26" w:name="__RefHeading___Toc8359_3373283034"/>
      <w:bookmarkEnd w:id="26"/>
      <w:r>
        <w:rPr>
          <w:rFonts w:eastAsia="Montserrat" w:cs="Montserrat"/>
          <w:b/>
          <w:bCs/>
          <w:color w:val="123A5F"/>
          <w:sz w:val="32"/>
          <w:szCs w:val="32"/>
        </w:rPr>
        <w:t>Côté serveur : le fournisseur</w:t>
      </w:r>
    </w:p>
    <w:tbl>
      <w:tblPr>
        <w:tblW w:w="9638" w:type="dxa"/>
        <w:jc w:val="left"/>
        <w:tblInd w:w="0" w:type="dxa"/>
        <w:tblLayout w:type="fixed"/>
        <w:tblCellMar>
          <w:top w:w="70" w:type="dxa"/>
          <w:left w:w="110" w:type="dxa"/>
          <w:bottom w:w="70" w:type="dxa"/>
          <w:right w:w="110" w:type="dxa"/>
        </w:tblCellMar>
      </w:tblPr>
      <w:tblGrid>
        <w:gridCol w:w="3955"/>
        <w:gridCol w:w="5682"/>
      </w:tblGrid>
      <w:tr>
        <w:trPr>
          <w:tblHeader w:val="true"/>
          <w:cantSplit w:val="true"/>
        </w:trPr>
        <w:tc>
          <w:tcPr>
            <w:tcW w:w="39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Besoin</w:t>
            </w:r>
          </w:p>
        </w:tc>
        <w:tc>
          <w:tcPr>
            <w:tcW w:w="56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Commande</w:t>
            </w:r>
          </w:p>
        </w:tc>
      </w:tr>
      <w:tr>
        <w:trPr>
          <w:cantSplit w:val="true"/>
        </w:trPr>
        <w:tc>
          <w:tcPr>
            <w:tcW w:w="39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Activer l’offre contractuelle (nouveau client)</w:t>
            </w:r>
          </w:p>
        </w:tc>
        <w:tc>
          <w:tcPr>
            <w:tcW w:w="56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org-create … --pack BND-03 --seats 250 --days 365</w:t>
            </w:r>
          </w:p>
        </w:tc>
      </w:tr>
      <w:tr>
        <w:trPr>
          <w:cantSplit w:val="true"/>
        </w:trPr>
        <w:tc>
          <w:tcPr>
            <w:tcW w:w="39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Renouveler pour un an</w:t>
            </w:r>
          </w:p>
        </w:tc>
        <w:tc>
          <w:tcPr>
            <w:tcW w:w="56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licence --org atlassante.ma --days 365</w:t>
            </w:r>
          </w:p>
        </w:tc>
      </w:tr>
      <w:tr>
        <w:trPr>
          <w:cantSplit w:val="true"/>
        </w:trPr>
        <w:tc>
          <w:tcPr>
            <w:tcW w:w="39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Monter en gamme l’offre et les utilisateurs</w:t>
            </w:r>
          </w:p>
        </w:tc>
        <w:tc>
          <w:tcPr>
            <w:tcW w:w="56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licence --org atlassante.ma --pack BND-05 --seats 400 --days 365</w:t>
            </w:r>
          </w:p>
        </w:tc>
      </w:tr>
      <w:tr>
        <w:trPr>
          <w:cantSplit w:val="true"/>
        </w:trPr>
        <w:tc>
          <w:tcPr>
            <w:tcW w:w="39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Ajouter ou retirer un add-on</w:t>
            </w:r>
          </w:p>
        </w:tc>
        <w:tc>
          <w:tcPr>
            <w:tcW w:w="56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addon --org atlassante.ma --id AD-08 --on   (--off)</w:t>
            </w:r>
          </w:p>
        </w:tc>
      </w:tr>
    </w:tbl>
    <w:p>
      <w:pPr>
        <w:pStyle w:val="Normal"/>
        <w:spacing w:before="0" w:after="240"/>
        <w:jc w:val="center"/>
        <w:rPr/>
      </w:pPr>
      <w:r>
        <w:rPr>
          <w:rFonts w:eastAsia="Open Sans" w:cs="Open Sans"/>
          <w:i/>
          <w:iCs/>
          <w:color w:val="5A6B7B"/>
          <w:sz w:val="18"/>
          <w:szCs w:val="18"/>
        </w:rPr>
        <w:t>Chaque commande commence par : sudo -u cortexskills npm run -s admin -- (dans /opt/cortexskills/server).</w:t>
      </w:r>
    </w:p>
    <w:p>
      <w:pPr>
        <w:pStyle w:val="Normal"/>
        <w:spacing w:lineRule="auto" w:line="288" w:before="0" w:after="160"/>
        <w:jc w:val="left"/>
        <w:rPr/>
      </w:pPr>
      <w:r>
        <w:rPr>
          <w:rFonts w:eastAsia="Open Sans" w:cs="Open Sans"/>
          <w:color w:val="2C3E50"/>
          <w:sz w:val="22"/>
          <w:szCs w:val="22"/>
        </w:rPr>
        <w:t>La commande licence émet une nouvelle licence qui commence aujourd’hui pour le nombre de jours indiqué ; elle affiche la nouvelle échéance. Chaque changement est inscrit dans la piste d’audit du client avec l’auteur « server console ».</w:t>
      </w:r>
    </w:p>
    <w:p>
      <w:pPr>
        <w:pStyle w:val="Heading2"/>
        <w:keepNext w:val="true"/>
        <w:spacing w:before="320" w:after="120"/>
        <w:rPr/>
      </w:pPr>
      <w:bookmarkStart w:id="27" w:name="__RefHeading___Toc8361_3373283034"/>
      <w:bookmarkEnd w:id="27"/>
      <w:r>
        <w:rPr>
          <w:rFonts w:eastAsia="Montserrat" w:cs="Montserrat"/>
          <w:b/>
          <w:bCs/>
          <w:color w:val="123A5F"/>
          <w:sz w:val="32"/>
          <w:szCs w:val="32"/>
        </w:rPr>
        <w:t>Côté client : libre-service</w:t>
      </w:r>
    </w:p>
    <w:p>
      <w:pPr>
        <w:pStyle w:val="Normal"/>
        <w:spacing w:lineRule="auto" w:line="288" w:before="0" w:after="160"/>
        <w:jc w:val="left"/>
        <w:rPr/>
      </w:pPr>
      <w:r>
        <w:rPr>
          <w:rFonts w:eastAsia="Open Sans" w:cs="Open Sans"/>
          <w:color w:val="2C3E50"/>
          <w:sz w:val="22"/>
          <w:szCs w:val="22"/>
        </w:rPr>
        <w:t>L’administrateur du client peut changer l’offre, les add-ons et les normes de conformité dans l’application web (chapitre 6, « Activer add-ons et normes, changer d’offre »). Le fournisseur facture à partir de la piste d’audit (chaque changement enregistre le prorata). Si votre contrat n’autorise pas les changements en libre-service, retirez la permission config.manage des rôles du client dans Administration › Matrice des permissions et faites les changements avec la console.</w:t>
      </w:r>
    </w:p>
    <w:p>
      <w:pPr>
        <w:pStyle w:val="Heading2"/>
        <w:keepNext w:val="true"/>
        <w:spacing w:before="320" w:after="120"/>
        <w:rPr/>
      </w:pPr>
      <w:bookmarkStart w:id="28" w:name="__RefHeading___Toc8363_3373283034"/>
      <w:bookmarkEnd w:id="28"/>
      <w:r>
        <w:rPr>
          <w:rFonts w:eastAsia="Montserrat" w:cs="Montserrat"/>
          <w:b/>
          <w:bCs/>
          <w:color w:val="123A5F"/>
          <w:sz w:val="32"/>
          <w:szCs w:val="32"/>
        </w:rPr>
        <w:t>Fichier de licence (optionnel)</w:t>
      </w:r>
    </w:p>
    <w:p>
      <w:pPr>
        <w:pStyle w:val="Normal"/>
        <w:spacing w:lineRule="auto" w:line="288" w:before="0" w:after="160"/>
        <w:jc w:val="left"/>
        <w:rPr/>
      </w:pPr>
      <w:r>
        <w:rPr>
          <w:rFonts w:eastAsia="Open Sans" w:cs="Open Sans"/>
          <w:color w:val="2C3E50"/>
          <w:sz w:val="22"/>
          <w:szCs w:val="22"/>
        </w:rPr>
        <w:t>Un client peut aussi recevoir un fichier de licence signé par l’éditeur (même format que dans le guide Cloud dédié et On-Prem) et le téléverser dans Configuration et licence › Téléverser la licence. En mode SaaS, le serveur ne l’accepte que si la signature de l’éditeur est valide (vendor-public.pem dans server/tools/keys) et si l’identifiant d’organisation du fichier est celui du client.</w:t>
      </w:r>
    </w:p>
    <w:p>
      <w:pPr>
        <w:pStyle w:val="Heading2"/>
        <w:keepNext w:val="true"/>
        <w:spacing w:before="320" w:after="120"/>
        <w:rPr/>
      </w:pPr>
      <w:bookmarkStart w:id="29" w:name="__RefHeading___Toc8365_3373283034"/>
      <w:bookmarkEnd w:id="29"/>
      <w:r>
        <w:rPr>
          <w:rFonts w:eastAsia="Montserrat" w:cs="Montserrat"/>
          <w:b/>
          <w:bCs/>
          <w:color w:val="123A5F"/>
          <w:sz w:val="32"/>
          <w:szCs w:val="32"/>
        </w:rPr>
        <w:t>États de la licence</w:t>
      </w:r>
    </w:p>
    <w:tbl>
      <w:tblPr>
        <w:tblW w:w="9638" w:type="dxa"/>
        <w:jc w:val="left"/>
        <w:tblInd w:w="0" w:type="dxa"/>
        <w:tblLayout w:type="fixed"/>
        <w:tblCellMar>
          <w:top w:w="70" w:type="dxa"/>
          <w:left w:w="110" w:type="dxa"/>
          <w:bottom w:w="70" w:type="dxa"/>
          <w:right w:w="110" w:type="dxa"/>
        </w:tblCellMar>
      </w:tblPr>
      <w:tblGrid>
        <w:gridCol w:w="1680"/>
        <w:gridCol w:w="3362"/>
        <w:gridCol w:w="4596"/>
      </w:tblGrid>
      <w:tr>
        <w:trPr>
          <w:tblHeader w:val="true"/>
          <w:cantSplit w:val="true"/>
        </w:trPr>
        <w:tc>
          <w:tcPr>
            <w:tcW w:w="16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État</w:t>
            </w:r>
          </w:p>
        </w:tc>
        <w:tc>
          <w:tcPr>
            <w:tcW w:w="33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Quand</w:t>
            </w:r>
          </w:p>
        </w:tc>
        <w:tc>
          <w:tcPr>
            <w:tcW w:w="45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Ce que voient les utilisateurs</w:t>
            </w:r>
          </w:p>
        </w:tc>
      </w:tr>
      <w:tr>
        <w:trPr>
          <w:cantSplit w:val="true"/>
        </w:trPr>
        <w:tc>
          <w:tcPr>
            <w:tcW w:w="1680" w:type="dxa"/>
            <w:tcBorders>
              <w:top w:val="single" w:sz="4" w:space="0" w:color="E1E8F0"/>
              <w:left w:val="single" w:sz="4" w:space="0" w:color="E1E8F0"/>
              <w:bottom w:val="single" w:sz="4" w:space="0" w:color="E1E8F0"/>
              <w:right w:val="single" w:sz="4" w:space="0" w:color="E1E8F0"/>
            </w:tcBorders>
            <w:shd w:color="auto" w:fill="D9EAD3" w:val="clear"/>
          </w:tcPr>
          <w:p>
            <w:pPr>
              <w:pStyle w:val="Normal"/>
              <w:spacing w:before="0" w:after="20"/>
              <w:rPr/>
            </w:pPr>
            <w:r>
              <w:rPr>
                <w:rFonts w:eastAsia="Open Sans" w:cs="Open Sans"/>
                <w:b w:val="false"/>
                <w:bCs w:val="false"/>
                <w:color w:val="2C3E50"/>
                <w:sz w:val="18"/>
                <w:szCs w:val="18"/>
              </w:rPr>
              <w:t>Active</w:t>
            </w:r>
          </w:p>
        </w:tc>
        <w:tc>
          <w:tcPr>
            <w:tcW w:w="33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Plus de 30 jours avant l’échéance</w:t>
            </w:r>
          </w:p>
        </w:tc>
        <w:tc>
          <w:tcPr>
            <w:tcW w:w="4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Utilisation normale.</w:t>
            </w:r>
          </w:p>
        </w:tc>
      </w:tr>
      <w:tr>
        <w:trPr>
          <w:cantSplit w:val="true"/>
        </w:trPr>
        <w:tc>
          <w:tcPr>
            <w:tcW w:w="1680" w:type="dxa"/>
            <w:tcBorders>
              <w:top w:val="single" w:sz="4" w:space="0" w:color="E1E8F0"/>
              <w:left w:val="single" w:sz="4" w:space="0" w:color="E1E8F0"/>
              <w:bottom w:val="single" w:sz="4" w:space="0" w:color="E1E8F0"/>
              <w:right w:val="single" w:sz="4" w:space="0" w:color="E1E8F0"/>
            </w:tcBorders>
            <w:shd w:color="auto" w:fill="FBE0B5" w:val="clear"/>
          </w:tcPr>
          <w:p>
            <w:pPr>
              <w:pStyle w:val="Normal"/>
              <w:spacing w:before="0" w:after="20"/>
              <w:rPr/>
            </w:pPr>
            <w:r>
              <w:rPr>
                <w:rFonts w:eastAsia="Open Sans" w:cs="Open Sans"/>
                <w:b w:val="false"/>
                <w:bCs w:val="false"/>
                <w:color w:val="2C3E50"/>
                <w:sz w:val="18"/>
                <w:szCs w:val="18"/>
              </w:rPr>
              <w:t>Alerte</w:t>
            </w:r>
          </w:p>
        </w:tc>
        <w:tc>
          <w:tcPr>
            <w:tcW w:w="33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30 jours ou moins avant l’échéance</w:t>
            </w:r>
          </w:p>
        </w:tc>
        <w:tc>
          <w:tcPr>
            <w:tcW w:w="45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Un bandeau rappelle à l’administrateur de renouveler.</w:t>
            </w:r>
          </w:p>
        </w:tc>
      </w:tr>
      <w:tr>
        <w:trPr>
          <w:cantSplit w:val="true"/>
        </w:trPr>
        <w:tc>
          <w:tcPr>
            <w:tcW w:w="1680" w:type="dxa"/>
            <w:tcBorders>
              <w:top w:val="single" w:sz="4" w:space="0" w:color="E1E8F0"/>
              <w:left w:val="single" w:sz="4" w:space="0" w:color="E1E8F0"/>
              <w:bottom w:val="single" w:sz="4" w:space="0" w:color="E1E8F0"/>
              <w:right w:val="single" w:sz="4" w:space="0" w:color="E1E8F0"/>
            </w:tcBorders>
            <w:shd w:color="auto" w:fill="F4C7C3" w:val="clear"/>
          </w:tcPr>
          <w:p>
            <w:pPr>
              <w:pStyle w:val="Normal"/>
              <w:spacing w:before="0" w:after="20"/>
              <w:rPr/>
            </w:pPr>
            <w:r>
              <w:rPr>
                <w:rFonts w:eastAsia="Open Sans" w:cs="Open Sans"/>
                <w:b w:val="false"/>
                <w:bCs w:val="false"/>
                <w:color w:val="2C3E50"/>
                <w:sz w:val="18"/>
                <w:szCs w:val="18"/>
              </w:rPr>
              <w:t>Expirée</w:t>
            </w:r>
          </w:p>
        </w:tc>
        <w:tc>
          <w:tcPr>
            <w:tcW w:w="33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Après l’échéance</w:t>
            </w:r>
          </w:p>
        </w:tc>
        <w:tc>
          <w:tcPr>
            <w:tcW w:w="4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Lecture seule : les utilisateurs se connectent et consultent, sans modifier.</w:t>
            </w:r>
          </w:p>
        </w:tc>
      </w:tr>
      <w:tr>
        <w:trPr>
          <w:cantSplit w:val="true"/>
        </w:trPr>
        <w:tc>
          <w:tcPr>
            <w:tcW w:w="1680" w:type="dxa"/>
            <w:tcBorders>
              <w:top w:val="single" w:sz="4" w:space="0" w:color="E1E8F0"/>
              <w:left w:val="single" w:sz="4" w:space="0" w:color="E1E8F0"/>
              <w:bottom w:val="single" w:sz="4" w:space="0" w:color="E1E8F0"/>
              <w:right w:val="single" w:sz="4" w:space="0" w:color="E1E8F0"/>
            </w:tcBorders>
            <w:shd w:color="auto" w:fill="F4C7C3" w:val="clear"/>
          </w:tcPr>
          <w:p>
            <w:pPr>
              <w:pStyle w:val="Normal"/>
              <w:spacing w:before="0" w:after="20"/>
              <w:rPr/>
            </w:pPr>
            <w:r>
              <w:rPr>
                <w:rFonts w:eastAsia="Open Sans" w:cs="Open Sans"/>
                <w:b w:val="false"/>
                <w:bCs w:val="false"/>
                <w:color w:val="2C3E50"/>
                <w:sz w:val="18"/>
                <w:szCs w:val="18"/>
              </w:rPr>
              <w:t>Inactive</w:t>
            </w:r>
          </w:p>
        </w:tc>
        <w:tc>
          <w:tcPr>
            <w:tcW w:w="33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Aucune licence pour l’organisation</w:t>
            </w:r>
          </w:p>
        </w:tc>
        <w:tc>
          <w:tcPr>
            <w:tcW w:w="45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La connexion est refusée avec « La licence de cette organisation n’est pas active ».</w:t>
            </w:r>
          </w:p>
        </w:tc>
      </w:tr>
    </w:tbl>
    <w:p>
      <w:pPr>
        <w:pStyle w:val="Normal"/>
        <w:spacing w:before="0" w:after="120"/>
        <w:rPr/>
      </w:pPr>
      <w:r>
        <w:rPr/>
      </w:r>
    </w:p>
    <w:p>
      <w:pPr>
        <w:pStyle w:val="Normal"/>
        <w:spacing w:lineRule="auto" w:line="288" w:before="0" w:after="160"/>
        <w:jc w:val="left"/>
        <w:rPr/>
      </w:pPr>
      <w:r>
        <w:rPr>
          <w:rFonts w:eastAsia="Open Sans" w:cs="Open Sans"/>
          <w:color w:val="2C3E50"/>
          <w:sz w:val="22"/>
          <w:szCs w:val="22"/>
        </w:rPr>
        <w:t>Le nombre d’utilisateurs est contrôlé : quand les utilisateurs actifs atteignent le maximum de la licence, la création d’un nouvel utilisateur est refusée jusqu’à la désactivation d’un utilisateur ou l’extension de la licence.</w:t>
      </w:r>
      <w:r>
        <w:br w:type="page"/>
      </w:r>
    </w:p>
    <w:p>
      <w:pPr>
        <w:pStyle w:val="Heading1"/>
        <w:pBdr>
          <w:bottom w:val="single" w:sz="6" w:space="6" w:color="E1E8F0"/>
        </w:pBdr>
        <w:spacing w:before="0" w:after="240"/>
        <w:rPr/>
      </w:pPr>
      <w:bookmarkStart w:id="30" w:name="__RefHeading___Toc8367_3373283034"/>
      <w:bookmarkEnd w:id="30"/>
      <w:r>
        <w:rPr>
          <w:rFonts w:eastAsia="Montserrat" w:cs="Montserrat"/>
          <w:b/>
          <w:bCs/>
          <w:color w:val="123A5F"/>
          <w:sz w:val="40"/>
          <w:szCs w:val="40"/>
        </w:rPr>
        <w:t>6. Côté client : démarrer</w:t>
      </w:r>
    </w:p>
    <w:p>
      <w:pPr>
        <w:pStyle w:val="Normal"/>
        <w:spacing w:lineRule="auto" w:line="288" w:before="0" w:after="160"/>
        <w:jc w:val="left"/>
        <w:rPr/>
      </w:pPr>
      <w:r>
        <w:rPr>
          <w:rFonts w:eastAsia="Open Sans" w:cs="Open Sans"/>
          <w:color w:val="2C3E50"/>
          <w:sz w:val="22"/>
          <w:szCs w:val="22"/>
        </w:rPr>
        <w:t>Ce chapitre s’adresse à l’administrateur du client. Tout se fait dans le navigateur ; rien n’est installé côté client.</w:t>
      </w:r>
    </w:p>
    <w:p>
      <w:pPr>
        <w:pStyle w:val="Heading2"/>
        <w:keepNext w:val="true"/>
        <w:spacing w:before="320" w:after="120"/>
        <w:rPr/>
      </w:pPr>
      <w:bookmarkStart w:id="31" w:name="__RefHeading___Toc8369_3373283034"/>
      <w:bookmarkEnd w:id="31"/>
      <w:r>
        <w:rPr>
          <w:rFonts w:eastAsia="Montserrat" w:cs="Montserrat"/>
          <w:b/>
          <w:bCs/>
          <w:color w:val="123A5F"/>
          <w:sz w:val="32"/>
          <w:szCs w:val="32"/>
        </w:rPr>
        <w:t>Première connexion et mot de passe</w:t>
      </w:r>
    </w:p>
    <w:p>
      <w:pPr>
        <w:pStyle w:val="ListParagraph"/>
        <w:numPr>
          <w:ilvl w:val="0"/>
          <w:numId w:val="9"/>
        </w:numPr>
        <w:spacing w:lineRule="auto" w:line="288" w:before="0" w:after="80"/>
        <w:rPr/>
      </w:pPr>
      <w:r>
        <w:rPr>
          <w:rFonts w:eastAsia="Open Sans" w:cs="Open Sans"/>
          <w:color w:val="2C3E50"/>
          <w:sz w:val="22"/>
          <w:szCs w:val="22"/>
        </w:rPr>
        <w:t>Ouvrez https://skills.example.com et connectez-vous avec l’e-mail administrateur et le mot de passe temporaire reçus du fournisseur.</w:t>
      </w:r>
    </w:p>
    <w:p>
      <w:pPr>
        <w:pStyle w:val="ListParagraph"/>
        <w:numPr>
          <w:ilvl w:val="0"/>
          <w:numId w:val="2"/>
        </w:numPr>
        <w:spacing w:lineRule="auto" w:line="288" w:before="0" w:after="80"/>
        <w:rPr/>
      </w:pPr>
      <w:r>
        <w:rPr>
          <w:rFonts w:eastAsia="Open Sans" w:cs="Open Sans"/>
          <w:color w:val="2C3E50"/>
          <w:sz w:val="22"/>
          <w:szCs w:val="22"/>
        </w:rPr>
        <w:t>Cliquez sur l’icône de profil (en haut à droite), puis sur Changer le mot de passe.</w:t>
      </w:r>
    </w:p>
    <w:p>
      <w:pPr>
        <w:pStyle w:val="ListParagraph"/>
        <w:numPr>
          <w:ilvl w:val="0"/>
          <w:numId w:val="2"/>
        </w:numPr>
        <w:spacing w:lineRule="auto" w:line="288" w:before="0" w:after="80"/>
        <w:rPr/>
      </w:pPr>
      <w:r>
        <w:rPr>
          <w:rFonts w:eastAsia="Open Sans" w:cs="Open Sans"/>
          <w:color w:val="2C3E50"/>
          <w:sz w:val="22"/>
          <w:szCs w:val="22"/>
        </w:rPr>
        <w:t>Saisissez le mot de passe actuel, puis le nouveau deux fois (12 caractères ou plus, majuscules, minuscules, un chiffre et un symbole) et cliquez sur Enregistrer.</w:t>
      </w:r>
    </w:p>
    <w:p>
      <w:pPr>
        <w:pStyle w:val="Normal"/>
        <w:keepNext w:val="true"/>
        <w:spacing w:before="120" w:after="60"/>
        <w:jc w:val="center"/>
        <w:rPr/>
      </w:pPr>
      <w:r>
        <w:rPr/>
        <w:drawing>
          <wp:inline distT="0" distB="0" distL="0" distR="0">
            <wp:extent cx="3048000" cy="2514600"/>
            <wp:effectExtent l="0" t="0" r="0" b="0"/>
            <wp:docPr id="3" name="menu.png" descr="Figure 1 — Le menu du profil&#10;Figure 1 — Le menu du pro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enu.png" descr="Figure 1 — Le menu du profil&#10;Figure 1 — Le menu du profil"/>
                    <pic:cNvPicPr>
                      <a:picLocks noChangeAspect="1" noChangeArrowheads="1"/>
                    </pic:cNvPicPr>
                  </pic:nvPicPr>
                  <pic:blipFill>
                    <a:blip r:embed="rId4"/>
                    <a:stretch>
                      <a:fillRect/>
                    </a:stretch>
                  </pic:blipFill>
                  <pic:spPr bwMode="auto">
                    <a:xfrm>
                      <a:off x="0" y="0"/>
                      <a:ext cx="3048000" cy="25146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1 — Le menu du profil</w:t>
      </w:r>
    </w:p>
    <w:p>
      <w:pPr>
        <w:pStyle w:val="Normal"/>
        <w:keepNext w:val="true"/>
        <w:spacing w:before="120" w:after="60"/>
        <w:jc w:val="center"/>
        <w:rPr/>
      </w:pPr>
      <w:r>
        <w:rPr/>
        <w:drawing>
          <wp:inline distT="0" distB="0" distL="0" distR="0">
            <wp:extent cx="3619500" cy="3105150"/>
            <wp:effectExtent l="0" t="0" r="0" b="0"/>
            <wp:docPr id="4" name="password.png" descr="Figure 2 — Changer le mot de passe&#10;Figure 2 — Changer le mot de pas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assword.png" descr="Figure 2 — Changer le mot de passe&#10;Figure 2 — Changer le mot de passe"/>
                    <pic:cNvPicPr>
                      <a:picLocks noChangeAspect="1" noChangeArrowheads="1"/>
                    </pic:cNvPicPr>
                  </pic:nvPicPr>
                  <pic:blipFill>
                    <a:blip r:embed="rId5"/>
                    <a:stretch>
                      <a:fillRect/>
                    </a:stretch>
                  </pic:blipFill>
                  <pic:spPr bwMode="auto">
                    <a:xfrm>
                      <a:off x="0" y="0"/>
                      <a:ext cx="3619500" cy="310515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2 — Changer le mot de passe</w:t>
      </w:r>
    </w:p>
    <w:p>
      <w:pPr>
        <w:pStyle w:val="Heading2"/>
        <w:keepNext w:val="true"/>
        <w:spacing w:before="320" w:after="120"/>
        <w:rPr/>
      </w:pPr>
      <w:bookmarkStart w:id="32" w:name="__RefHeading___Toc8371_3373283034"/>
      <w:bookmarkEnd w:id="32"/>
      <w:r>
        <w:rPr>
          <w:rFonts w:eastAsia="Montserrat" w:cs="Montserrat"/>
          <w:b/>
          <w:bCs/>
          <w:color w:val="123A5F"/>
          <w:sz w:val="32"/>
          <w:szCs w:val="32"/>
        </w:rPr>
        <w:t>Vérifier la licence</w:t>
      </w:r>
    </w:p>
    <w:p>
      <w:pPr>
        <w:pStyle w:val="Normal"/>
        <w:spacing w:lineRule="auto" w:line="288" w:before="0" w:after="160"/>
        <w:jc w:val="left"/>
        <w:rPr/>
      </w:pPr>
      <w:r>
        <w:rPr>
          <w:rFonts w:eastAsia="Open Sans" w:cs="Open Sans"/>
          <w:color w:val="2C3E50"/>
          <w:sz w:val="22"/>
          <w:szCs w:val="22"/>
        </w:rPr>
        <w:t>Ouvrez Administration › Configuration et licence et vérifiez la carte Licence : statut Actif, le plan et le nombre d’utilisateurs de votre contrat, l’échéance. En cas d’écart, contactez le fournisseur avant d’inviter les utilisateurs.</w:t>
      </w:r>
    </w:p>
    <w:p>
      <w:pPr>
        <w:pStyle w:val="Heading2"/>
        <w:keepNext w:val="true"/>
        <w:spacing w:before="320" w:after="120"/>
        <w:rPr/>
      </w:pPr>
      <w:bookmarkStart w:id="33" w:name="__RefHeading___Toc8373_3373283034"/>
      <w:bookmarkEnd w:id="33"/>
      <w:r>
        <w:rPr>
          <w:rFonts w:eastAsia="Montserrat" w:cs="Montserrat"/>
          <w:b/>
          <w:bCs/>
          <w:color w:val="123A5F"/>
          <w:sz w:val="32"/>
          <w:szCs w:val="32"/>
        </w:rPr>
        <w:t>Créer les utilisateurs</w:t>
      </w:r>
    </w:p>
    <w:p>
      <w:pPr>
        <w:pStyle w:val="ListParagraph"/>
        <w:numPr>
          <w:ilvl w:val="0"/>
          <w:numId w:val="10"/>
        </w:numPr>
        <w:spacing w:lineRule="auto" w:line="288" w:before="0" w:after="80"/>
        <w:rPr/>
      </w:pPr>
      <w:r>
        <w:rPr>
          <w:rFonts w:eastAsia="Open Sans" w:cs="Open Sans"/>
          <w:color w:val="2C3E50"/>
          <w:sz w:val="22"/>
          <w:szCs w:val="22"/>
        </w:rPr>
        <w:t>Ouvrez Administration › Utilisateurs et cliquez sur Nouvel utilisateur.</w:t>
      </w:r>
    </w:p>
    <w:p>
      <w:pPr>
        <w:pStyle w:val="ListParagraph"/>
        <w:numPr>
          <w:ilvl w:val="0"/>
          <w:numId w:val="3"/>
        </w:numPr>
        <w:spacing w:lineRule="auto" w:line="288" w:before="0" w:after="80"/>
        <w:rPr/>
      </w:pPr>
      <w:r>
        <w:rPr>
          <w:rFonts w:eastAsia="Open Sans" w:cs="Open Sans"/>
          <w:color w:val="2C3E50"/>
          <w:sz w:val="22"/>
          <w:szCs w:val="22"/>
        </w:rPr>
        <w:t>Saisissez le nom, l’e-mail, la fonction, la langue et un mot de passe temporaire ; choisissez le rôle (par exemple Responsable formation et développement, Chargé de formation, Propriétaire de processus, Collaborateur).</w:t>
      </w:r>
    </w:p>
    <w:p>
      <w:pPr>
        <w:pStyle w:val="ListParagraph"/>
        <w:numPr>
          <w:ilvl w:val="0"/>
          <w:numId w:val="3"/>
        </w:numPr>
        <w:spacing w:lineRule="auto" w:line="288" w:before="0" w:after="80"/>
        <w:rPr/>
      </w:pPr>
      <w:r>
        <w:rPr>
          <w:rFonts w:eastAsia="Open Sans" w:cs="Open Sans"/>
          <w:color w:val="2C3E50"/>
          <w:sz w:val="22"/>
          <w:szCs w:val="22"/>
        </w:rPr>
        <w:t>Envoyez à chaque utilisateur l’adresse de l’application et le mot de passe temporaire, et demandez-lui de le changer à la première connexion (profil › Changer le mot de passe).</w:t>
      </w:r>
    </w:p>
    <w:p>
      <w:pPr>
        <w:pStyle w:val="Normal"/>
        <w:keepNext w:val="true"/>
        <w:spacing w:before="120" w:after="60"/>
        <w:jc w:val="center"/>
        <w:rPr/>
      </w:pPr>
      <w:r>
        <w:rPr/>
        <w:drawing>
          <wp:inline distT="0" distB="0" distL="0" distR="0">
            <wp:extent cx="5905500" cy="4105275"/>
            <wp:effectExtent l="0" t="0" r="0" b="0"/>
            <wp:docPr id="5" name="users.png" descr="Figure 3 — Administration › Utilisateurs&#10;Figure 3 — Administration › Utilisate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sers.png" descr="Figure 3 — Administration › Utilisateurs&#10;Figure 3 — Administration › Utilisateurs"/>
                    <pic:cNvPicPr>
                      <a:picLocks noChangeAspect="1" noChangeArrowheads="1"/>
                    </pic:cNvPicPr>
                  </pic:nvPicPr>
                  <pic:blipFill>
                    <a:blip r:embed="rId6"/>
                    <a:stretch>
                      <a:fillRect/>
                    </a:stretch>
                  </pic:blipFill>
                  <pic:spPr bwMode="auto">
                    <a:xfrm>
                      <a:off x="0" y="0"/>
                      <a:ext cx="5905500" cy="410527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3 — Administration › Utilisateurs</w:t>
      </w:r>
    </w:p>
    <w:p>
      <w:pPr>
        <w:pStyle w:val="Heading2"/>
        <w:keepNext w:val="true"/>
        <w:spacing w:before="320" w:after="120"/>
        <w:rPr/>
      </w:pPr>
      <w:bookmarkStart w:id="34" w:name="__RefHeading___Toc8375_3373283034"/>
      <w:bookmarkEnd w:id="34"/>
      <w:r>
        <w:rPr>
          <w:rFonts w:eastAsia="Montserrat" w:cs="Montserrat"/>
          <w:b/>
          <w:bCs/>
          <w:color w:val="123A5F"/>
          <w:sz w:val="32"/>
          <w:szCs w:val="32"/>
        </w:rPr>
        <w:t>Terminer la configuration</w:t>
      </w:r>
    </w:p>
    <w:tbl>
      <w:tblPr>
        <w:tblW w:w="9638" w:type="dxa"/>
        <w:jc w:val="left"/>
        <w:tblInd w:w="0" w:type="dxa"/>
        <w:tblLayout w:type="fixed"/>
        <w:tblCellMar>
          <w:top w:w="70" w:type="dxa"/>
          <w:left w:w="110" w:type="dxa"/>
          <w:bottom w:w="70" w:type="dxa"/>
          <w:right w:w="110" w:type="dxa"/>
        </w:tblCellMar>
      </w:tblPr>
      <w:tblGrid>
        <w:gridCol w:w="3461"/>
        <w:gridCol w:w="6176"/>
      </w:tblGrid>
      <w:tr>
        <w:trPr>
          <w:tblHeader w:val="true"/>
          <w:cantSplit w:val="true"/>
        </w:trPr>
        <w:tc>
          <w:tcPr>
            <w:tcW w:w="34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Menu</w:t>
            </w:r>
          </w:p>
        </w:tc>
        <w:tc>
          <w:tcPr>
            <w:tcW w:w="61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Que faire</w:t>
            </w:r>
          </w:p>
        </w:tc>
      </w:tr>
      <w:tr>
        <w:trPr>
          <w:cantSplit w:val="true"/>
        </w:trPr>
        <w:tc>
          <w:tcPr>
            <w:tcW w:w="34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Administration › Canaux (e-mail, WhatsApp)</w:t>
            </w:r>
          </w:p>
        </w:tc>
        <w:tc>
          <w:tcPr>
            <w:tcW w:w="61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Saisissez votre propre serveur de messagerie (optionnel : sinon la messagerie de la plateforme est utilisée) et, si vous l’utilisez, votre compte WhatsApp Business. Envoyez un message de test.</w:t>
            </w:r>
          </w:p>
        </w:tc>
      </w:tr>
      <w:tr>
        <w:trPr>
          <w:cantSplit w:val="true"/>
        </w:trPr>
        <w:tc>
          <w:tcPr>
            <w:tcW w:w="34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Administration › Paramètres IA</w:t>
            </w:r>
          </w:p>
        </w:tc>
        <w:tc>
          <w:tcPr>
            <w:tcW w:w="61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Choisissez le fournisseur et le modèle d’IA, ou laissez l’assistant désactivé.</w:t>
            </w:r>
          </w:p>
        </w:tc>
      </w:tr>
      <w:tr>
        <w:trPr>
          <w:cantSplit w:val="true"/>
        </w:trPr>
        <w:tc>
          <w:tcPr>
            <w:tcW w:w="34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Administration › Matrice des permissions</w:t>
            </w:r>
          </w:p>
        </w:tc>
        <w:tc>
          <w:tcPr>
            <w:tcW w:w="61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Vérifiez ce que chaque rôle peut voir et faire ; adaptez-le à votre organisation.</w:t>
            </w:r>
          </w:p>
        </w:tc>
      </w:tr>
      <w:tr>
        <w:trPr>
          <w:cantSplit w:val="true"/>
        </w:trPr>
        <w:tc>
          <w:tcPr>
            <w:tcW w:w="34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Portefeuille › Groupes et organisations</w:t>
            </w:r>
          </w:p>
        </w:tc>
        <w:tc>
          <w:tcPr>
            <w:tcW w:w="61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Construisez la structure de l’organisation (directions, départements, unités) et affectez les personnes.</w:t>
            </w:r>
          </w:p>
        </w:tc>
      </w:tr>
      <w:tr>
        <w:trPr>
          <w:cantSplit w:val="true"/>
        </w:trPr>
        <w:tc>
          <w:tcPr>
            <w:tcW w:w="34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Administration › Intégration PME</w:t>
            </w:r>
          </w:p>
        </w:tc>
        <w:tc>
          <w:tcPr>
            <w:tcW w:w="61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Packs PME uniquement : répondez aux questions d’intégration ; le parcours guidé est préparé pour vous.</w:t>
            </w:r>
          </w:p>
        </w:tc>
      </w:tr>
      <w:tr>
        <w:trPr>
          <w:cantSplit w:val="true"/>
        </w:trPr>
        <w:tc>
          <w:tcPr>
            <w:tcW w:w="34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Administration › Sauvegardes et santé</w:t>
            </w:r>
          </w:p>
        </w:tc>
        <w:tc>
          <w:tcPr>
            <w:tcW w:w="61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Consultez les dernières sauvegardes et la santé du service (exploité par le fournisseur).</w:t>
            </w:r>
          </w:p>
        </w:tc>
      </w:tr>
    </w:tbl>
    <w:p>
      <w:pPr>
        <w:pStyle w:val="Normal"/>
        <w:spacing w:before="0" w:after="120"/>
        <w:rPr/>
      </w:pPr>
      <w:r>
        <w:rPr/>
      </w:r>
    </w:p>
    <w:p>
      <w:pPr>
        <w:pStyle w:val="Normal"/>
        <w:spacing w:lineRule="auto" w:line="288" w:before="0" w:after="160"/>
        <w:jc w:val="left"/>
        <w:rPr/>
      </w:pPr>
      <w:r>
        <w:rPr>
          <w:rFonts w:eastAsia="Open Sans" w:cs="Open Sans"/>
          <w:color w:val="2C3E50"/>
          <w:sz w:val="22"/>
          <w:szCs w:val="22"/>
        </w:rPr>
        <w:t>Créez ensuite le premier projet (Portefeuille › Nouveau projet) : les utilisateurs trouvent leurs tâches dans Mes tâches. Le Guide utilisateur et le Guide administrateur décrivent chaque écran en détail.</w:t>
      </w:r>
    </w:p>
    <w:p>
      <w:pPr>
        <w:pStyle w:val="Heading2"/>
        <w:keepNext w:val="true"/>
        <w:spacing w:before="320" w:after="120"/>
        <w:rPr/>
      </w:pPr>
      <w:bookmarkStart w:id="35" w:name="__RefHeading___Toc8377_3373283034"/>
      <w:bookmarkEnd w:id="35"/>
      <w:r>
        <w:rPr>
          <w:rFonts w:eastAsia="Montserrat" w:cs="Montserrat"/>
          <w:b/>
          <w:bCs/>
          <w:color w:val="123A5F"/>
          <w:sz w:val="32"/>
          <w:szCs w:val="32"/>
        </w:rPr>
        <w:t>Activer add-ons et normes, changer d’offre</w:t>
      </w:r>
    </w:p>
    <w:p>
      <w:pPr>
        <w:pStyle w:val="Heading2"/>
        <w:keepNext w:val="true"/>
        <w:spacing w:before="320" w:after="120"/>
        <w:rPr/>
      </w:pPr>
      <w:bookmarkStart w:id="36" w:name="__RefHeading___Toc8379_3373283034"/>
      <w:bookmarkEnd w:id="36"/>
      <w:r>
        <w:rPr>
          <w:rFonts w:eastAsia="Montserrat" w:cs="Montserrat"/>
          <w:b/>
          <w:bCs/>
          <w:color w:val="123A5F"/>
          <w:sz w:val="32"/>
          <w:szCs w:val="32"/>
        </w:rPr>
        <w:t>L’écran Configuration et licence</w:t>
      </w:r>
    </w:p>
    <w:p>
      <w:pPr>
        <w:pStyle w:val="Normal"/>
        <w:spacing w:lineRule="auto" w:line="288" w:before="0" w:after="160"/>
        <w:jc w:val="left"/>
        <w:rPr/>
      </w:pPr>
      <w:r>
        <w:rPr>
          <w:rFonts w:eastAsia="Open Sans" w:cs="Open Sans"/>
          <w:color w:val="2C3E50"/>
          <w:sz w:val="22"/>
          <w:szCs w:val="22"/>
        </w:rPr>
        <w:t>Menu : Administration › Configuration et licence. Les quatre tuiles indiquent l’offre actuelle, le nombre de modules inclus, le niveau d’IA et l’état de la licence. La carte Licence indique le mode de déploiement, le plan, le nombre maximal d’utilisateurs, l’échéance et les add-ons actifs.</w:t>
      </w:r>
    </w:p>
    <w:p>
      <w:pPr>
        <w:pStyle w:val="Normal"/>
        <w:keepNext w:val="true"/>
        <w:spacing w:before="120" w:after="60"/>
        <w:jc w:val="center"/>
        <w:rPr/>
      </w:pPr>
      <w:r>
        <w:rPr/>
        <w:drawing>
          <wp:inline distT="0" distB="0" distL="0" distR="0">
            <wp:extent cx="5905500" cy="4105275"/>
            <wp:effectExtent l="0" t="0" r="0" b="0"/>
            <wp:docPr id="6" name="config.png" descr="Figure 4 — Administration › Configuration et licence&#10;Figure 4 — Administration › Configuration et lic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nfig.png" descr="Figure 4 — Administration › Configuration et licence&#10;Figure 4 — Administration › Configuration et licence"/>
                    <pic:cNvPicPr>
                      <a:picLocks noChangeAspect="1" noChangeArrowheads="1"/>
                    </pic:cNvPicPr>
                  </pic:nvPicPr>
                  <pic:blipFill>
                    <a:blip r:embed="rId7"/>
                    <a:stretch>
                      <a:fillRect/>
                    </a:stretch>
                  </pic:blipFill>
                  <pic:spPr bwMode="auto">
                    <a:xfrm>
                      <a:off x="0" y="0"/>
                      <a:ext cx="5905500" cy="410527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4 — Administration › Configuration et licence</w:t>
      </w:r>
    </w:p>
    <w:p>
      <w:pPr>
        <w:pStyle w:val="Heading2"/>
        <w:keepNext w:val="true"/>
        <w:spacing w:before="320" w:after="120"/>
        <w:rPr/>
      </w:pPr>
      <w:bookmarkStart w:id="37" w:name="__RefHeading___Toc8381_3373283034"/>
      <w:bookmarkEnd w:id="37"/>
      <w:r>
        <w:rPr>
          <w:rFonts w:eastAsia="Montserrat" w:cs="Montserrat"/>
          <w:b/>
          <w:bCs/>
          <w:color w:val="123A5F"/>
          <w:sz w:val="32"/>
          <w:szCs w:val="32"/>
        </w:rPr>
        <w:t>Changer d’offre</w:t>
      </w:r>
    </w:p>
    <w:p>
      <w:pPr>
        <w:pStyle w:val="ListParagraph"/>
        <w:numPr>
          <w:ilvl w:val="0"/>
          <w:numId w:val="11"/>
        </w:numPr>
        <w:spacing w:lineRule="auto" w:line="288" w:before="0" w:after="80"/>
        <w:rPr/>
      </w:pPr>
      <w:r>
        <w:rPr>
          <w:rFonts w:eastAsia="Open Sans" w:cs="Open Sans"/>
          <w:color w:val="2C3E50"/>
          <w:sz w:val="22"/>
          <w:szCs w:val="22"/>
        </w:rPr>
        <w:t>Dans le tableau Packs, repérez l’offre souhaitée et cliquez sur Changer.</w:t>
      </w:r>
    </w:p>
    <w:p>
      <w:pPr>
        <w:pStyle w:val="ListParagraph"/>
        <w:numPr>
          <w:ilvl w:val="0"/>
          <w:numId w:val="4"/>
        </w:numPr>
        <w:spacing w:lineRule="auto" w:line="288" w:before="0" w:after="80"/>
        <w:rPr/>
      </w:pPr>
      <w:r>
        <w:rPr>
          <w:rFonts w:eastAsia="Open Sans" w:cs="Open Sans"/>
          <w:color w:val="2C3E50"/>
          <w:sz w:val="22"/>
          <w:szCs w:val="22"/>
        </w:rPr>
        <w:t>Lisez le prorata (avoir pour les jours restants de l’offre actuelle, montant de la nouvelle) et saisissez la justification (par exemple le numéro de bon de commande).</w:t>
      </w:r>
    </w:p>
    <w:p>
      <w:pPr>
        <w:pStyle w:val="ListParagraph"/>
        <w:numPr>
          <w:ilvl w:val="0"/>
          <w:numId w:val="4"/>
        </w:numPr>
        <w:spacing w:lineRule="auto" w:line="288" w:before="0" w:after="80"/>
        <w:rPr/>
      </w:pPr>
      <w:r>
        <w:rPr>
          <w:rFonts w:eastAsia="Open Sans" w:cs="Open Sans"/>
          <w:color w:val="2C3E50"/>
          <w:sz w:val="22"/>
          <w:szCs w:val="22"/>
        </w:rPr>
        <w:t>Confirmez. Les nouveaux modules apparaissent aussitôt dans le menu ; le changement, sa justification et le prorata sont conservés dans la piste d’audit.</w:t>
      </w:r>
    </w:p>
    <w:p>
      <w:pPr>
        <w:pStyle w:val="Normal"/>
        <w:keepNext w:val="true"/>
        <w:spacing w:before="120" w:after="60"/>
        <w:jc w:val="center"/>
        <w:rPr/>
      </w:pPr>
      <w:r>
        <w:rPr/>
        <w:drawing>
          <wp:inline distT="0" distB="0" distL="0" distR="0">
            <wp:extent cx="5905500" cy="4248150"/>
            <wp:effectExtent l="0" t="0" r="0" b="0"/>
            <wp:docPr id="7" name="packs.png" descr="Figure 5 — Le tableau des offres : l’offre actuelle est marquée « Actuelle »&#10;Figure 5 — Le tableau des offres : l’offre actuelle est marquée « Actuel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acks.png" descr="Figure 5 — Le tableau des offres : l’offre actuelle est marquée « Actuelle »&#10;Figure 5 — Le tableau des offres : l’offre actuelle est marquée « Actuelle »"/>
                    <pic:cNvPicPr>
                      <a:picLocks noChangeAspect="1" noChangeArrowheads="1"/>
                    </pic:cNvPicPr>
                  </pic:nvPicPr>
                  <pic:blipFill>
                    <a:blip r:embed="rId8"/>
                    <a:stretch>
                      <a:fillRect/>
                    </a:stretch>
                  </pic:blipFill>
                  <pic:spPr bwMode="auto">
                    <a:xfrm>
                      <a:off x="0" y="0"/>
                      <a:ext cx="5905500" cy="424815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5 — Le tableau des offres : l’offre actuelle est marquée « Actuelle »</w:t>
      </w:r>
    </w:p>
    <w:p>
      <w:pPr>
        <w:pStyle w:val="Heading2"/>
        <w:keepNext w:val="true"/>
        <w:spacing w:before="320" w:after="120"/>
        <w:rPr/>
      </w:pPr>
      <w:bookmarkStart w:id="38" w:name="__RefHeading___Toc8383_3373283034"/>
      <w:bookmarkEnd w:id="38"/>
      <w:r>
        <w:rPr>
          <w:rFonts w:eastAsia="Montserrat" w:cs="Montserrat"/>
          <w:b/>
          <w:bCs/>
          <w:color w:val="123A5F"/>
          <w:sz w:val="32"/>
          <w:szCs w:val="32"/>
        </w:rPr>
        <w:t>Activer un add-on</w:t>
      </w:r>
    </w:p>
    <w:p>
      <w:pPr>
        <w:pStyle w:val="Normal"/>
        <w:spacing w:lineRule="auto" w:line="288" w:before="0" w:after="160"/>
        <w:jc w:val="left"/>
        <w:rPr/>
      </w:pPr>
      <w:r>
        <w:rPr>
          <w:rFonts w:eastAsia="Open Sans" w:cs="Open Sans"/>
          <w:color w:val="2C3E50"/>
          <w:sz w:val="22"/>
          <w:szCs w:val="22"/>
        </w:rPr>
        <w:t>Dans la section Add-ons, cochez la case de l’add-on. Il devient Actif et ses écrans apparaissent pour les utilisateurs qui ont la permission. Décochez pour le désactiver (ses données sont conservées).</w:t>
      </w:r>
    </w:p>
    <w:p>
      <w:pPr>
        <w:pStyle w:val="Normal"/>
        <w:keepNext w:val="true"/>
        <w:spacing w:before="120" w:after="60"/>
        <w:jc w:val="center"/>
        <w:rPr/>
      </w:pPr>
      <w:r>
        <w:rPr/>
        <w:drawing>
          <wp:inline distT="0" distB="0" distL="0" distR="0">
            <wp:extent cx="5905500" cy="5505450"/>
            <wp:effectExtent l="0" t="0" r="0" b="0"/>
            <wp:docPr id="8" name="addons.png" descr="Figure 6 — Add-ons : une case à cocher par add-on&#10;Figure 6 — Add-ons : une case à cocher par add-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ddons.png" descr="Figure 6 — Add-ons : une case à cocher par add-on&#10;Figure 6 — Add-ons : une case à cocher par add-on"/>
                    <pic:cNvPicPr>
                      <a:picLocks noChangeAspect="1" noChangeArrowheads="1"/>
                    </pic:cNvPicPr>
                  </pic:nvPicPr>
                  <pic:blipFill>
                    <a:blip r:embed="rId9"/>
                    <a:stretch>
                      <a:fillRect/>
                    </a:stretch>
                  </pic:blipFill>
                  <pic:spPr bwMode="auto">
                    <a:xfrm>
                      <a:off x="0" y="0"/>
                      <a:ext cx="5905500" cy="550545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6 — Add-ons : une case à cocher par add-on</w:t>
      </w:r>
    </w:p>
    <w:p>
      <w:pPr>
        <w:pStyle w:val="Heading2"/>
        <w:keepNext w:val="true"/>
        <w:spacing w:before="320" w:after="120"/>
        <w:rPr/>
      </w:pPr>
      <w:bookmarkStart w:id="39" w:name="__RefHeading___Toc8385_3373283034"/>
      <w:bookmarkEnd w:id="39"/>
      <w:r>
        <w:rPr>
          <w:rFonts w:eastAsia="Montserrat" w:cs="Montserrat"/>
          <w:b/>
          <w:bCs/>
          <w:color w:val="123A5F"/>
          <w:sz w:val="32"/>
          <w:szCs w:val="32"/>
        </w:rPr>
        <w:t>Activer une norme de conformité</w:t>
      </w:r>
    </w:p>
    <w:p>
      <w:pPr>
        <w:pStyle w:val="Normal"/>
        <w:spacing w:lineRule="auto" w:line="288" w:before="0" w:after="160"/>
        <w:jc w:val="left"/>
        <w:rPr/>
      </w:pPr>
      <w:r>
        <w:rPr>
          <w:rFonts w:eastAsia="Open Sans" w:cs="Open Sans"/>
          <w:color w:val="2C3E50"/>
          <w:sz w:val="22"/>
          <w:szCs w:val="22"/>
        </w:rPr>
        <w:t>Dans Normes de conformité et de sécurité, cochez la norme. La première activation crée une seule fois ses contrôles (par exemple 4 contrôles pour ISO/IEC 27001) dans le registre des contrôles. La désactivation conserve les contrôles. Lisez l’avertissement : l’application organise les éléments probants ; seul un organisme accrédité peut certifier.</w:t>
      </w:r>
    </w:p>
    <w:p>
      <w:pPr>
        <w:pStyle w:val="Normal"/>
        <w:keepNext w:val="true"/>
        <w:spacing w:before="120" w:after="60"/>
        <w:jc w:val="center"/>
        <w:rPr/>
      </w:pPr>
      <w:r>
        <w:rPr/>
        <w:drawing>
          <wp:inline distT="0" distB="0" distL="0" distR="0">
            <wp:extent cx="5905500" cy="2486025"/>
            <wp:effectExtent l="0" t="0" r="0" b="0"/>
            <wp:docPr id="9" name="compliance.png" descr="Figure 7 — Normes de conformité et de sécurité&#10;Figure 7 — Normes de conformité et de sécuri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mpliance.png" descr="Figure 7 — Normes de conformité et de sécurité&#10;Figure 7 — Normes de conformité et de sécurité"/>
                    <pic:cNvPicPr>
                      <a:picLocks noChangeAspect="1" noChangeArrowheads="1"/>
                    </pic:cNvPicPr>
                  </pic:nvPicPr>
                  <pic:blipFill>
                    <a:blip r:embed="rId10"/>
                    <a:stretch>
                      <a:fillRect/>
                    </a:stretch>
                  </pic:blipFill>
                  <pic:spPr bwMode="auto">
                    <a:xfrm>
                      <a:off x="0" y="0"/>
                      <a:ext cx="5905500" cy="248602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7 — Normes de conformité et de sécurité</w:t>
      </w:r>
    </w:p>
    <w:p>
      <w:pPr>
        <w:pStyle w:val="Heading2"/>
        <w:keepNext w:val="true"/>
        <w:spacing w:before="320" w:after="120"/>
        <w:rPr/>
      </w:pPr>
      <w:bookmarkStart w:id="40" w:name="__RefHeading___Toc8387_3373283034"/>
      <w:bookmarkEnd w:id="40"/>
      <w:r>
        <w:rPr>
          <w:rFonts w:eastAsia="Montserrat" w:cs="Montserrat"/>
          <w:b/>
          <w:bCs/>
          <w:color w:val="123A5F"/>
          <w:sz w:val="32"/>
          <w:szCs w:val="32"/>
        </w:rPr>
        <w:t>Renouvellement</w:t>
      </w:r>
    </w:p>
    <w:p>
      <w:pPr>
        <w:pStyle w:val="Normal"/>
        <w:spacing w:lineRule="auto" w:line="288" w:before="0" w:after="160"/>
        <w:jc w:val="left"/>
        <w:rPr/>
      </w:pPr>
      <w:r>
        <w:rPr>
          <w:rFonts w:eastAsia="Open Sans" w:cs="Open Sans"/>
          <w:color w:val="2C3E50"/>
          <w:sz w:val="22"/>
          <w:szCs w:val="22"/>
        </w:rPr>
        <w:t>Trente jours avant la fin de la licence, un bandeau prévient les administrateurs. Contactez le fournisseur : il la renouvelle depuis la console et la nouvelle date apparaît aussitôt dans la carte Licence. Aucune action n’est nécessaire côté client.</w:t>
      </w:r>
      <w:r>
        <w:br w:type="page"/>
      </w:r>
    </w:p>
    <w:p>
      <w:pPr>
        <w:pStyle w:val="Heading1"/>
        <w:pBdr>
          <w:bottom w:val="single" w:sz="6" w:space="6" w:color="E1E8F0"/>
        </w:pBdr>
        <w:spacing w:before="0" w:after="240"/>
        <w:rPr/>
      </w:pPr>
      <w:bookmarkStart w:id="41" w:name="__RefHeading___Toc8389_3373283034"/>
      <w:bookmarkEnd w:id="41"/>
      <w:r>
        <w:rPr>
          <w:rFonts w:eastAsia="Montserrat" w:cs="Montserrat"/>
          <w:b/>
          <w:bCs/>
          <w:color w:val="123A5F"/>
          <w:sz w:val="40"/>
          <w:szCs w:val="40"/>
        </w:rPr>
        <w:t>7. Exploiter la plateforme (côté serveur)</w:t>
      </w:r>
    </w:p>
    <w:p>
      <w:pPr>
        <w:pStyle w:val="Heading2"/>
        <w:keepNext w:val="true"/>
        <w:spacing w:before="320" w:after="120"/>
        <w:rPr/>
      </w:pPr>
      <w:bookmarkStart w:id="42" w:name="__RefHeading___Toc8391_3373283034"/>
      <w:bookmarkEnd w:id="42"/>
      <w:r>
        <w:rPr>
          <w:rFonts w:eastAsia="Montserrat" w:cs="Montserrat"/>
          <w:b/>
          <w:bCs/>
          <w:color w:val="123A5F"/>
          <w:sz w:val="32"/>
          <w:szCs w:val="32"/>
        </w:rPr>
        <w:t>Sauvegardes</w:t>
      </w:r>
    </w:p>
    <w:p>
      <w:pPr>
        <w:pStyle w:val="ListParagraph"/>
        <w:numPr>
          <w:ilvl w:val="0"/>
          <w:numId w:val="1"/>
        </w:numPr>
        <w:spacing w:lineRule="auto" w:line="288" w:before="0" w:after="80"/>
        <w:rPr/>
      </w:pPr>
      <w:r>
        <w:rPr>
          <w:rFonts w:eastAsia="Open Sans" w:cs="Open Sans"/>
          <w:color w:val="2C3E50"/>
          <w:sz w:val="22"/>
          <w:szCs w:val="22"/>
        </w:rPr>
        <w:t>Le serveur sauvegarde la base chaque jour (dossier de données › backups) et la conserve BACKUP_RETENTION_DAYS jours. Chaque sauvegarde est aussi copiée dans BACKUP_COPY_DIR s’il est renseigné : montez-y un dossier d’une autre machine ou d’un stockage cloud.</w:t>
      </w:r>
    </w:p>
    <w:p>
      <w:pPr>
        <w:pStyle w:val="ListParagraph"/>
        <w:numPr>
          <w:ilvl w:val="0"/>
          <w:numId w:val="1"/>
        </w:numPr>
        <w:spacing w:lineRule="auto" w:line="288" w:before="0" w:after="80"/>
        <w:rPr/>
      </w:pPr>
      <w:r>
        <w:rPr>
          <w:rFonts w:eastAsia="Open Sans" w:cs="Open Sans"/>
          <w:color w:val="2C3E50"/>
          <w:sz w:val="22"/>
          <w:szCs w:val="22"/>
        </w:rPr>
        <w:t>Faites une sauvegarde à tout moment, par exemple avant une mise à jour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/opt/cortexskills/server &amp;&amp; sudo -u cortexskills npm run backup</w:t>
      </w:r>
    </w:p>
    <w:p>
      <w:pPr>
        <w:pStyle w:val="ListParagraph"/>
        <w:numPr>
          <w:ilvl w:val="0"/>
          <w:numId w:val="1"/>
        </w:numPr>
        <w:spacing w:lineRule="auto" w:line="288" w:before="0" w:after="80"/>
        <w:rPr/>
      </w:pPr>
      <w:r>
        <w:rPr>
          <w:rFonts w:eastAsia="Open Sans" w:cs="Open Sans"/>
          <w:color w:val="2C3E50"/>
          <w:sz w:val="22"/>
          <w:szCs w:val="22"/>
        </w:rPr>
        <w:t>Les fichiers joints (dossier de données › attachments) ne sont pas dans la sauvegarde de la base : incluez tout le dossier de données dans votre sauvegarde de fichiers ou vos instantanés de disque.</w:t>
      </w:r>
    </w:p>
    <w:p>
      <w:pPr>
        <w:pStyle w:val="Heading3"/>
        <w:keepNext w:val="true"/>
        <w:spacing w:before="240" w:after="80"/>
        <w:rPr/>
      </w:pPr>
      <w:bookmarkStart w:id="43" w:name="__RefHeading___Toc8393_3373283034"/>
      <w:bookmarkEnd w:id="43"/>
      <w:r>
        <w:rPr>
          <w:rFonts w:eastAsia="Montserrat" w:cs="Montserrat"/>
          <w:b/>
          <w:bCs/>
          <w:color w:val="123A5F"/>
          <w:sz w:val="26"/>
          <w:szCs w:val="26"/>
        </w:rPr>
        <w:t>Restaurer une sauvegarde</w:t>
      </w:r>
    </w:p>
    <w:p>
      <w:pPr>
        <w:pStyle w:val="ListParagraph"/>
        <w:numPr>
          <w:ilvl w:val="0"/>
          <w:numId w:val="12"/>
        </w:numPr>
        <w:spacing w:lineRule="auto" w:line="288" w:before="0" w:after="80"/>
        <w:rPr/>
      </w:pPr>
      <w:r>
        <w:rPr>
          <w:rFonts w:eastAsia="Open Sans" w:cs="Open Sans"/>
          <w:color w:val="2C3E50"/>
          <w:sz w:val="22"/>
          <w:szCs w:val="22"/>
        </w:rPr>
        <w:t>Arrêtez le service : sudo systemctl stop cortexskills</w:t>
      </w:r>
    </w:p>
    <w:p>
      <w:pPr>
        <w:pStyle w:val="ListParagraph"/>
        <w:numPr>
          <w:ilvl w:val="0"/>
          <w:numId w:val="5"/>
        </w:numPr>
        <w:spacing w:lineRule="auto" w:line="288" w:before="0" w:after="80"/>
        <w:rPr/>
      </w:pPr>
      <w:r>
        <w:rPr>
          <w:rFonts w:eastAsia="Open Sans" w:cs="Open Sans"/>
          <w:color w:val="2C3E50"/>
          <w:sz w:val="22"/>
          <w:szCs w:val="22"/>
        </w:rPr>
        <w:t>Dans /var/lib/cortexskills, déplacez cortexskills.db (et les fichiers cortexskills.db-wal et cortexskills.db-shm s’ils existent) dans un dossier de côté.</w:t>
      </w:r>
    </w:p>
    <w:p>
      <w:pPr>
        <w:pStyle w:val="ListParagraph"/>
        <w:numPr>
          <w:ilvl w:val="0"/>
          <w:numId w:val="5"/>
        </w:numPr>
        <w:spacing w:lineRule="auto" w:line="288" w:before="0" w:after="80"/>
        <w:rPr/>
      </w:pPr>
      <w:r>
        <w:rPr>
          <w:rFonts w:eastAsia="Open Sans" w:cs="Open Sans"/>
          <w:color w:val="2C3E50"/>
          <w:sz w:val="22"/>
          <w:szCs w:val="22"/>
        </w:rPr>
        <w:t>Copiez le fichier choisi depuis backups (ou depuis BACKUP_COPY_DIR) vers /var/lib/cortexskills/cortexskills.db et attribuez-le à l’utilisateur cortexskills (chown).</w:t>
      </w:r>
    </w:p>
    <w:p>
      <w:pPr>
        <w:pStyle w:val="ListParagraph"/>
        <w:numPr>
          <w:ilvl w:val="0"/>
          <w:numId w:val="5"/>
        </w:numPr>
        <w:spacing w:lineRule="auto" w:line="288" w:before="0" w:after="80"/>
        <w:rPr/>
      </w:pPr>
      <w:r>
        <w:rPr>
          <w:rFonts w:eastAsia="Open Sans" w:cs="Open Sans"/>
          <w:color w:val="2C3E50"/>
          <w:sz w:val="22"/>
          <w:szCs w:val="22"/>
        </w:rPr>
        <w:t>Démarrez le service : sudo systemctl start cortexskills. Une sauvegarde d’une version antérieure est mise à niveau automatiquement au démarrage.</w:t>
      </w:r>
    </w:p>
    <w:p>
      <w:pPr>
        <w:pStyle w:val="Heading2"/>
        <w:keepNext w:val="true"/>
        <w:spacing w:before="320" w:after="120"/>
        <w:rPr/>
      </w:pPr>
      <w:bookmarkStart w:id="44" w:name="__RefHeading___Toc8395_3373283034"/>
      <w:bookmarkEnd w:id="44"/>
      <w:r>
        <w:rPr>
          <w:rFonts w:eastAsia="Montserrat" w:cs="Montserrat"/>
          <w:b/>
          <w:bCs/>
          <w:color w:val="123A5F"/>
          <w:sz w:val="32"/>
          <w:szCs w:val="32"/>
        </w:rPr>
        <w:t>Mettre à jour vers une nouvelle version</w:t>
      </w:r>
    </w:p>
    <w:p>
      <w:pPr>
        <w:pStyle w:val="ListParagraph"/>
        <w:numPr>
          <w:ilvl w:val="0"/>
          <w:numId w:val="13"/>
        </w:numPr>
        <w:spacing w:lineRule="auto" w:line="288" w:before="0" w:after="80"/>
        <w:rPr/>
      </w:pPr>
      <w:r>
        <w:rPr>
          <w:rFonts w:eastAsia="Open Sans" w:cs="Open Sans"/>
          <w:color w:val="2C3E50"/>
          <w:sz w:val="22"/>
          <w:szCs w:val="22"/>
        </w:rPr>
        <w:t>Faites une sauvegarde (npm run backup) et arrêtez le service.</w:t>
      </w:r>
    </w:p>
    <w:p>
      <w:pPr>
        <w:pStyle w:val="ListParagraph"/>
        <w:numPr>
          <w:ilvl w:val="0"/>
          <w:numId w:val="6"/>
        </w:numPr>
        <w:spacing w:lineRule="auto" w:line="288" w:before="0" w:after="80"/>
        <w:rPr/>
      </w:pPr>
      <w:r>
        <w:rPr>
          <w:rFonts w:eastAsia="Open Sans" w:cs="Open Sans"/>
          <w:color w:val="2C3E50"/>
          <w:sz w:val="22"/>
          <w:szCs w:val="22"/>
        </w:rPr>
        <w:t>Conservez server/.env. Le dossier de données (/var/lib/cortexskills) est hors du dossier de l’application et n’est pas modifié.</w:t>
      </w:r>
    </w:p>
    <w:p>
      <w:pPr>
        <w:pStyle w:val="ListParagraph"/>
        <w:numPr>
          <w:ilvl w:val="0"/>
          <w:numId w:val="6"/>
        </w:numPr>
        <w:spacing w:lineRule="auto" w:line="288" w:before="0" w:after="80"/>
        <w:rPr/>
      </w:pPr>
      <w:r>
        <w:rPr>
          <w:rFonts w:eastAsia="Open Sans" w:cs="Open Sans"/>
          <w:color w:val="2C3E50"/>
          <w:sz w:val="22"/>
          <w:szCs w:val="22"/>
        </w:rPr>
        <w:t>Décompressez le nouveau CortexSkills-app.zip sur /opt/cortexskills, remettez le(s) fichier(s) conservé(s), puis lancez : cd /opt/cortexskills/server &amp;&amp; sudo npm ci --omit=dev</w:t>
      </w:r>
    </w:p>
    <w:p>
      <w:pPr>
        <w:pStyle w:val="ListParagraph"/>
        <w:numPr>
          <w:ilvl w:val="0"/>
          <w:numId w:val="6"/>
        </w:numPr>
        <w:spacing w:lineRule="auto" w:line="288" w:before="0" w:after="80"/>
        <w:rPr/>
      </w:pPr>
      <w:r>
        <w:rPr>
          <w:rFonts w:eastAsia="Open Sans" w:cs="Open Sans"/>
          <w:color w:val="2C3E50"/>
          <w:sz w:val="22"/>
          <w:szCs w:val="22"/>
        </w:rPr>
        <w:t>Rendez le dossier au compte de service (chown -R cortexskills:cortexskills /opt/cortexskills) et démarrez le service. Les évolutions de la base sont appliquées automatiquement au démarrage.</w:t>
      </w:r>
    </w:p>
    <w:p>
      <w:pPr>
        <w:pStyle w:val="Heading2"/>
        <w:keepNext w:val="true"/>
        <w:spacing w:before="320" w:after="120"/>
        <w:rPr/>
      </w:pPr>
      <w:bookmarkStart w:id="45" w:name="__RefHeading___Toc8397_3373283034"/>
      <w:bookmarkEnd w:id="45"/>
      <w:r>
        <w:rPr>
          <w:rFonts w:eastAsia="Montserrat" w:cs="Montserrat"/>
          <w:b/>
          <w:bCs/>
          <w:color w:val="123A5F"/>
          <w:sz w:val="32"/>
          <w:szCs w:val="32"/>
        </w:rPr>
        <w:t>Supervision et journaux</w:t>
      </w:r>
    </w:p>
    <w:p>
      <w:pPr>
        <w:pStyle w:val="ListParagraph"/>
        <w:numPr>
          <w:ilvl w:val="0"/>
          <w:numId w:val="1"/>
        </w:numPr>
        <w:spacing w:lineRule="auto" w:line="288" w:before="0" w:after="80"/>
        <w:rPr/>
      </w:pPr>
      <w:r>
        <w:rPr>
          <w:rFonts w:eastAsia="Open Sans" w:cs="Open Sans"/>
          <w:color w:val="2C3E50"/>
          <w:sz w:val="22"/>
          <w:szCs w:val="22"/>
        </w:rPr>
        <w:t xml:space="preserve">Contrôle de santé pour votre outil de supervision : </w:t>
      </w:r>
      <w:r>
        <w:rPr>
          <w:rFonts w:eastAsia="Open Sans" w:cs="Open Sans"/>
          <w:b/>
          <w:bCs/>
          <w:color w:val="2C3E50"/>
          <w:sz w:val="22"/>
          <w:szCs w:val="22"/>
        </w:rPr>
        <w:t>GET https://skills.example.com/api/health</w:t>
      </w:r>
      <w:r>
        <w:rPr>
          <w:rFonts w:eastAsia="Open Sans" w:cs="Open Sans"/>
          <w:color w:val="2C3E50"/>
          <w:sz w:val="22"/>
          <w:szCs w:val="22"/>
        </w:rPr>
        <w:t xml:space="preserve"> (status ok).</w:t>
      </w:r>
    </w:p>
    <w:p>
      <w:pPr>
        <w:pStyle w:val="ListParagraph"/>
        <w:numPr>
          <w:ilvl w:val="0"/>
          <w:numId w:val="1"/>
        </w:numPr>
        <w:spacing w:lineRule="auto" w:line="288" w:before="0" w:after="80"/>
        <w:rPr/>
      </w:pPr>
      <w:r>
        <w:rPr>
          <w:rFonts w:eastAsia="Open Sans" w:cs="Open Sans"/>
          <w:color w:val="2C3E50"/>
          <w:sz w:val="22"/>
          <w:szCs w:val="22"/>
        </w:rPr>
        <w:t>Chaque requête API est écrite sur une ligne JSON (heure, méthode, chemin, statut, durée, adresse du client, utilisateur) dans /var/log/cortexskills/cortexskills.log ; les erreurs vont dans cortexskills-error.log. Faites-les tourner avec logrotate.</w:t>
      </w:r>
    </w:p>
    <w:p>
      <w:pPr>
        <w:pStyle w:val="ListParagraph"/>
        <w:numPr>
          <w:ilvl w:val="0"/>
          <w:numId w:val="1"/>
        </w:numPr>
        <w:spacing w:lineRule="auto" w:line="288" w:before="0" w:after="80"/>
        <w:rPr/>
      </w:pPr>
      <w:r>
        <w:rPr>
          <w:rFonts w:eastAsia="Open Sans" w:cs="Open Sans"/>
          <w:color w:val="2C3E50"/>
          <w:sz w:val="22"/>
          <w:szCs w:val="22"/>
        </w:rPr>
        <w:t>Chaque changement administratif (offre, add-on, licence, utilisateurs, changement de mot de passe) figure dans la piste d’audit de l’organisation.</w:t>
      </w:r>
    </w:p>
    <w:p>
      <w:pPr>
        <w:pStyle w:val="Heading2"/>
        <w:keepNext w:val="true"/>
        <w:spacing w:before="320" w:after="120"/>
        <w:rPr/>
      </w:pPr>
      <w:bookmarkStart w:id="46" w:name="__RefHeading___Toc8399_3373283034"/>
      <w:bookmarkEnd w:id="46"/>
      <w:r>
        <w:rPr>
          <w:rFonts w:eastAsia="Montserrat" w:cs="Montserrat"/>
          <w:b/>
          <w:bCs/>
          <w:color w:val="123A5F"/>
          <w:sz w:val="32"/>
          <w:szCs w:val="32"/>
        </w:rPr>
        <w:t>Liste de contrôle sécurité</w:t>
      </w:r>
    </w:p>
    <w:tbl>
      <w:tblPr>
        <w:tblW w:w="9638" w:type="dxa"/>
        <w:jc w:val="left"/>
        <w:tblInd w:w="0" w:type="dxa"/>
        <w:tblLayout w:type="fixed"/>
        <w:tblCellMar>
          <w:top w:w="70" w:type="dxa"/>
          <w:left w:w="110" w:type="dxa"/>
          <w:bottom w:w="70" w:type="dxa"/>
          <w:right w:w="110" w:type="dxa"/>
        </w:tblCellMar>
      </w:tblPr>
      <w:tblGrid>
        <w:gridCol w:w="692"/>
        <w:gridCol w:w="8945"/>
      </w:tblGrid>
      <w:tr>
        <w:trPr>
          <w:tblHeader w:val="true"/>
          <w:cantSplit w:val="true"/>
        </w:trPr>
        <w:tc>
          <w:tcPr>
            <w:tcW w:w="6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w:t>
            </w:r>
          </w:p>
        </w:tc>
        <w:tc>
          <w:tcPr>
            <w:tcW w:w="89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Contrôle</w:t>
            </w:r>
          </w:p>
        </w:tc>
      </w:tr>
      <w:tr>
        <w:trPr>
          <w:cantSplit w:val="true"/>
        </w:trPr>
        <w:tc>
          <w:tcPr>
            <w:tcW w:w="6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c>
          <w:tcPr>
            <w:tcW w:w="89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HTTPS uniquement ; port 4000 inaccessible depuis l’extérieur (pare-feu).</w:t>
            </w:r>
          </w:p>
        </w:tc>
      </w:tr>
      <w:tr>
        <w:trPr>
          <w:cantSplit w:val="true"/>
        </w:trPr>
        <w:tc>
          <w:tcPr>
            <w:tcW w:w="6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c>
          <w:tcPr>
            <w:tcW w:w="89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.env lisible seulement par root et cortexskills (chmod 600) ; une copie dans le coffre-fort de mots de passe.</w:t>
            </w:r>
          </w:p>
        </w:tc>
      </w:tr>
      <w:tr>
        <w:trPr>
          <w:cantSplit w:val="true"/>
        </w:trPr>
        <w:tc>
          <w:tcPr>
            <w:tcW w:w="6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c>
          <w:tcPr>
            <w:tcW w:w="89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ADMIN_PASSWORD supprimé du fichier .env après npm run init.</w:t>
            </w:r>
          </w:p>
        </w:tc>
      </w:tr>
      <w:tr>
        <w:trPr>
          <w:cantSplit w:val="true"/>
        </w:trPr>
        <w:tc>
          <w:tcPr>
            <w:tcW w:w="6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c>
          <w:tcPr>
            <w:tcW w:w="89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Sauvegardes copiées hors du serveur (BACKUP_COPY_DIR) et une restauration testée une fois.</w:t>
            </w:r>
          </w:p>
        </w:tc>
      </w:tr>
      <w:tr>
        <w:trPr>
          <w:cantSplit w:val="true"/>
        </w:trPr>
        <w:tc>
          <w:tcPr>
            <w:tcW w:w="6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c>
          <w:tcPr>
            <w:tcW w:w="89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Mises à jour du système appliquées chaque mois ; Node.js maintenu sur la branche 22 LTS.</w:t>
            </w:r>
          </w:p>
        </w:tc>
      </w:tr>
      <w:tr>
        <w:trPr>
          <w:cantSplit w:val="true"/>
        </w:trPr>
        <w:tc>
          <w:tcPr>
            <w:tcW w:w="6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c>
          <w:tcPr>
            <w:tcW w:w="89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Chaque administrateur a changé son mot de passe temporaire à la première connexion.</w:t>
            </w:r>
          </w:p>
        </w:tc>
      </w:tr>
    </w:tbl>
    <w:p>
      <w:pPr>
        <w:pStyle w:val="Heading2"/>
        <w:keepNext w:val="true"/>
        <w:spacing w:before="320" w:after="120"/>
        <w:rPr/>
      </w:pPr>
      <w:bookmarkStart w:id="47" w:name="__RefHeading___Toc8401_3373283034"/>
      <w:bookmarkEnd w:id="47"/>
      <w:r>
        <w:rPr>
          <w:rFonts w:eastAsia="Montserrat" w:cs="Montserrat"/>
          <w:b/>
          <w:bCs/>
          <w:color w:val="123A5F"/>
          <w:sz w:val="32"/>
          <w:szCs w:val="32"/>
        </w:rPr>
        <w:t>Dépannage</w:t>
      </w:r>
    </w:p>
    <w:tbl>
      <w:tblPr>
        <w:tblW w:w="9638" w:type="dxa"/>
        <w:jc w:val="left"/>
        <w:tblInd w:w="0" w:type="dxa"/>
        <w:tblLayout w:type="fixed"/>
        <w:tblCellMar>
          <w:top w:w="70" w:type="dxa"/>
          <w:left w:w="110" w:type="dxa"/>
          <w:bottom w:w="70" w:type="dxa"/>
          <w:right w:w="110" w:type="dxa"/>
        </w:tblCellMar>
      </w:tblPr>
      <w:tblGrid>
        <w:gridCol w:w="3657"/>
        <w:gridCol w:w="5980"/>
      </w:tblGrid>
      <w:tr>
        <w:trPr>
          <w:tblHeader w:val="true"/>
          <w:cantSplit w:val="true"/>
        </w:trPr>
        <w:tc>
          <w:tcPr>
            <w:tcW w:w="36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Message ou symptôme</w:t>
            </w:r>
          </w:p>
        </w:tc>
        <w:tc>
          <w:tcPr>
            <w:tcW w:w="59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Que faire</w:t>
            </w:r>
          </w:p>
        </w:tc>
      </w:tr>
      <w:tr>
        <w:trPr>
          <w:cantSplit w:val="true"/>
        </w:trPr>
        <w:tc>
          <w:tcPr>
            <w:tcW w:w="36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 CortexSkills will not start in production mode » suivi d’une liste</w:t>
            </w:r>
          </w:p>
        </w:tc>
        <w:tc>
          <w:tcPr>
            <w:tcW w:w="59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Corrigez chaque ligne dans server/.env (ou dans server/tools/keys), puis redémarrez. npm run secrets génère les secrets.</w:t>
            </w:r>
          </w:p>
        </w:tc>
      </w:tr>
      <w:tr>
        <w:trPr>
          <w:cantSplit w:val="true"/>
        </w:trPr>
        <w:tc>
          <w:tcPr>
            <w:tcW w:w="36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 The database holds the demonstration data »</w:t>
            </w:r>
          </w:p>
        </w:tc>
        <w:tc>
          <w:tcPr>
            <w:tcW w:w="59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La base a été créée avec npm run seed. Initialisez une base de production : npm run init -- --wipe-all-data (efface tout).</w:t>
            </w:r>
          </w:p>
        </w:tc>
      </w:tr>
      <w:tr>
        <w:trPr>
          <w:cantSplit w:val="true"/>
        </w:trPr>
        <w:tc>
          <w:tcPr>
            <w:tcW w:w="36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 The database already holds N organization(s) » (npm run init)</w:t>
            </w:r>
          </w:p>
        </w:tc>
        <w:tc>
          <w:tcPr>
            <w:tcW w:w="59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Protection normale : la base est déjà en service. Ne la réinitialisez pas.</w:t>
            </w:r>
          </w:p>
        </w:tc>
      </w:tr>
      <w:tr>
        <w:trPr>
          <w:cantSplit w:val="true"/>
        </w:trPr>
        <w:tc>
          <w:tcPr>
            <w:tcW w:w="36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 La licence de cette organisation n’est pas active » à la connexion</w:t>
            </w:r>
          </w:p>
        </w:tc>
        <w:tc>
          <w:tcPr>
            <w:tcW w:w="59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Émettez la licence : npm run admin -- licence --org &lt;domaine&gt; --days 365</w:t>
            </w:r>
          </w:p>
        </w:tc>
      </w:tr>
      <w:tr>
        <w:trPr>
          <w:cantSplit w:val="true"/>
        </w:trPr>
        <w:tc>
          <w:tcPr>
            <w:tcW w:w="36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 La signature de la licence n’est pas valide »</w:t>
            </w:r>
          </w:p>
        </w:tc>
        <w:tc>
          <w:tcPr>
            <w:tcW w:w="59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Le fichier a été modifié ou n’a pas été signé avec la clé de l’éditeur. Demandez un nouveau fichier à l’éditeur ; ne le modifiez pas.</w:t>
            </w:r>
          </w:p>
        </w:tc>
      </w:tr>
      <w:tr>
        <w:trPr>
          <w:cantSplit w:val="true"/>
        </w:trPr>
        <w:tc>
          <w:tcPr>
            <w:tcW w:w="36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 Ce fichier de licence appartient à une autre organisation »</w:t>
            </w:r>
          </w:p>
        </w:tc>
        <w:tc>
          <w:tcPr>
            <w:tcW w:w="59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L’identifiant d’organisation du fichier n’est pas celui de cette organisation. Comparez avec npm run admin -- org-list.</w:t>
            </w:r>
          </w:p>
        </w:tc>
      </w:tr>
      <w:tr>
        <w:trPr>
          <w:cantSplit w:val="true"/>
        </w:trPr>
        <w:tc>
          <w:tcPr>
            <w:tcW w:w="36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502 Bad Gateway dans le navigateur</w:t>
            </w:r>
          </w:p>
        </w:tc>
        <w:tc>
          <w:tcPr>
            <w:tcW w:w="59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Le service est arrêté : sudo systemctl status cortexskills, puis lisez le journal d’erreurs.</w:t>
            </w:r>
          </w:p>
        </w:tc>
      </w:tr>
      <w:tr>
        <w:trPr>
          <w:cantSplit w:val="true"/>
        </w:trPr>
        <w:tc>
          <w:tcPr>
            <w:tcW w:w="36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Envois de plus de 30 Mo refusés</w:t>
            </w:r>
          </w:p>
        </w:tc>
        <w:tc>
          <w:tcPr>
            <w:tcW w:w="59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Limite fixée dans le proxy inverse (client_max_body_size dans Nginx, max_size dans Caddy, maxAllowedContentLength dans IIS).</w:t>
            </w:r>
          </w:p>
        </w:tc>
      </w:tr>
      <w:tr>
        <w:trPr>
          <w:cantSplit w:val="true"/>
        </w:trPr>
        <w:tc>
          <w:tcPr>
            <w:tcW w:w="36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Un utilisateur a oublié son mot de passe</w:t>
            </w:r>
          </w:p>
        </w:tc>
        <w:tc>
          <w:tcPr>
            <w:tcW w:w="59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L’administrateur de l’organisation en définit un temporaire dans Administration › Utilisateurs ; sur le serveur : npm run admin -- password --email &lt;e-mail&gt; --password &lt;nouveau&gt;</w:t>
            </w:r>
          </w:p>
        </w:tc>
      </w:tr>
    </w:tbl>
    <w:p>
      <w:pPr>
        <w:pStyle w:val="Heading1"/>
        <w:pBdr>
          <w:bottom w:val="single" w:sz="6" w:space="6" w:color="E1E8F0"/>
        </w:pBdr>
        <w:spacing w:before="0" w:after="240"/>
        <w:rPr/>
      </w:pPr>
      <w:r>
        <w:br w:type="page"/>
      </w:r>
      <w:bookmarkStart w:id="48" w:name="__RefHeading___Toc8403_3373283034"/>
      <w:bookmarkEnd w:id="48"/>
      <w:r>
        <w:rPr>
          <w:rFonts w:eastAsia="Montserrat" w:cs="Montserrat"/>
          <w:b/>
          <w:bCs/>
          <w:color w:val="123A5F"/>
          <w:sz w:val="40"/>
          <w:szCs w:val="40"/>
        </w:rPr>
        <w:t>Annexe — Commandes de la console</w:t>
      </w:r>
    </w:p>
    <w:tbl>
      <w:tblPr>
        <w:tblW w:w="9638" w:type="dxa"/>
        <w:jc w:val="left"/>
        <w:tblInd w:w="0" w:type="dxa"/>
        <w:tblLayout w:type="fixed"/>
        <w:tblCellMar>
          <w:top w:w="70" w:type="dxa"/>
          <w:left w:w="110" w:type="dxa"/>
          <w:bottom w:w="70" w:type="dxa"/>
          <w:right w:w="110" w:type="dxa"/>
        </w:tblCellMar>
      </w:tblPr>
      <w:tblGrid>
        <w:gridCol w:w="5141"/>
        <w:gridCol w:w="4496"/>
      </w:tblGrid>
      <w:tr>
        <w:trPr>
          <w:tblHeader w:val="true"/>
          <w:cantSplit w:val="true"/>
        </w:trPr>
        <w:tc>
          <w:tcPr>
            <w:tcW w:w="51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Commande (dans /opt/cortexskills/server)</w:t>
            </w:r>
          </w:p>
        </w:tc>
        <w:tc>
          <w:tcPr>
            <w:tcW w:w="44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Rôle</w:t>
            </w:r>
          </w:p>
        </w:tc>
      </w:tr>
      <w:tr>
        <w:trPr>
          <w:cantSplit w:val="true"/>
        </w:trPr>
        <w:tc>
          <w:tcPr>
            <w:tcW w:w="51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npm run secrets</w:t>
            </w:r>
          </w:p>
        </w:tc>
        <w:tc>
          <w:tcPr>
            <w:tcW w:w="44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Afficher trois nouveaux secrets aléatoires pour .env</w:t>
            </w:r>
          </w:p>
        </w:tc>
      </w:tr>
      <w:tr>
        <w:trPr>
          <w:cantSplit w:val="true"/>
        </w:trPr>
        <w:tc>
          <w:tcPr>
            <w:tcW w:w="51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npm run init</w:t>
            </w:r>
          </w:p>
        </w:tc>
        <w:tc>
          <w:tcPr>
            <w:tcW w:w="44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Créer la base de production vide et l’administrateur de la plateforme</w:t>
            </w:r>
          </w:p>
        </w:tc>
      </w:tr>
      <w:tr>
        <w:trPr>
          <w:cantSplit w:val="true"/>
        </w:trPr>
        <w:tc>
          <w:tcPr>
            <w:tcW w:w="51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npm run backup</w:t>
            </w:r>
          </w:p>
        </w:tc>
        <w:tc>
          <w:tcPr>
            <w:tcW w:w="44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Sauvegarder la base maintenant</w:t>
            </w:r>
          </w:p>
        </w:tc>
      </w:tr>
      <w:tr>
        <w:trPr>
          <w:cantSplit w:val="true"/>
        </w:trPr>
        <w:tc>
          <w:tcPr>
            <w:tcW w:w="51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npm run admin -- org-create …</w:t>
            </w:r>
          </w:p>
        </w:tc>
        <w:tc>
          <w:tcPr>
            <w:tcW w:w="44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Créer une organisation cliente, sa licence et son administrateur</w:t>
            </w:r>
          </w:p>
        </w:tc>
      </w:tr>
      <w:tr>
        <w:trPr>
          <w:cantSplit w:val="true"/>
        </w:trPr>
        <w:tc>
          <w:tcPr>
            <w:tcW w:w="51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npm run admin -- org-list</w:t>
            </w:r>
          </w:p>
        </w:tc>
        <w:tc>
          <w:tcPr>
            <w:tcW w:w="44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Lister les organisations avec offre, utilisateurs, add-ons et fin de licence</w:t>
            </w:r>
          </w:p>
        </w:tc>
      </w:tr>
      <w:tr>
        <w:trPr>
          <w:cantSplit w:val="true"/>
        </w:trPr>
        <w:tc>
          <w:tcPr>
            <w:tcW w:w="51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npm run admin -- packs</w:t>
            </w:r>
          </w:p>
        </w:tc>
        <w:tc>
          <w:tcPr>
            <w:tcW w:w="44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Lister packs, offres groupées, packs PME, add-ons et normes</w:t>
            </w:r>
          </w:p>
        </w:tc>
      </w:tr>
      <w:tr>
        <w:trPr>
          <w:cantSplit w:val="true"/>
        </w:trPr>
        <w:tc>
          <w:tcPr>
            <w:tcW w:w="51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npm run admin -- licence --org &lt;domain&gt; [--pack] [--seats] [--days]</w:t>
            </w:r>
          </w:p>
        </w:tc>
        <w:tc>
          <w:tcPr>
            <w:tcW w:w="44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Émettre, renouveler, redimensionner ou changer l’offre d’une licence</w:t>
            </w:r>
          </w:p>
        </w:tc>
      </w:tr>
      <w:tr>
        <w:trPr>
          <w:cantSplit w:val="true"/>
        </w:trPr>
        <w:tc>
          <w:tcPr>
            <w:tcW w:w="51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npm run admin -- addon --org &lt;domain&gt; --id AD-08 --on|--off</w:t>
            </w:r>
          </w:p>
        </w:tc>
        <w:tc>
          <w:tcPr>
            <w:tcW w:w="44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Activer ou désactiver un add-on</w:t>
            </w:r>
          </w:p>
        </w:tc>
      </w:tr>
      <w:tr>
        <w:trPr>
          <w:cantSplit w:val="true"/>
        </w:trPr>
        <w:tc>
          <w:tcPr>
            <w:tcW w:w="51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npm run admin -- user-create --org &lt;domain&gt; --email … --name … --password … [--role R-03]</w:t>
            </w:r>
          </w:p>
        </w:tc>
        <w:tc>
          <w:tcPr>
            <w:tcW w:w="44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Créer un utilisateur (rôle R-01 par défaut)</w:t>
            </w:r>
          </w:p>
        </w:tc>
      </w:tr>
      <w:tr>
        <w:trPr>
          <w:cantSplit w:val="true"/>
        </w:trPr>
        <w:tc>
          <w:tcPr>
            <w:tcW w:w="51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npm run admin -- password --email … --password …</w:t>
            </w:r>
          </w:p>
        </w:tc>
        <w:tc>
          <w:tcPr>
            <w:tcW w:w="44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Réinitialiser un mot de passe</w:t>
            </w:r>
          </w:p>
        </w:tc>
      </w:tr>
      <w:tr>
        <w:trPr>
          <w:cantSplit w:val="true"/>
        </w:trPr>
        <w:tc>
          <w:tcPr>
            <w:tcW w:w="51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npm run admin -- platform-admin --email … --name … --password …</w:t>
            </w:r>
          </w:p>
        </w:tc>
        <w:tc>
          <w:tcPr>
            <w:tcW w:w="44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Ajouter un administrateur de la plateforme</w:t>
            </w:r>
          </w:p>
        </w:tc>
      </w:tr>
    </w:tbl>
    <w:sectPr>
      <w:headerReference w:type="even" r:id="rId11"/>
      <w:headerReference w:type="default" r:id="rId12"/>
      <w:headerReference w:type="first" r:id="rId13"/>
      <w:footerReference w:type="even" r:id="rId14"/>
      <w:footerReference w:type="default" r:id="rId15"/>
      <w:footerReference w:type="first" r:id="rId16"/>
      <w:type w:val="nextPage"/>
      <w:pgSz w:w="11906" w:h="16838"/>
      <w:pgMar w:left="1134" w:right="1134" w:gutter="0" w:header="560" w:top="1134" w:footer="560" w:bottom="1134"/>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 Sans">
    <w:charset w:val="01"/>
    <w:family w:val="roman"/>
    <w:pitch w:val="variable"/>
  </w:font>
  <w:font w:name="Montserrat">
    <w:charset w:val="01"/>
    <w:family w:val="roman"/>
    <w:pitch w:val="variable"/>
  </w:font>
  <w:font w:name="Liberation Sans">
    <w:altName w:val="Arial"/>
    <w:charset w:val="01"/>
    <w:family w:val="swiss"/>
    <w:pitch w:val="variable"/>
  </w:font>
  <w:font w:name="JetBrains Mono">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9638" w:leader="none"/>
      </w:tabs>
      <w:rPr/>
    </w:pPr>
    <w:r>
      <w:rPr>
        <w:rFonts w:eastAsia="Open Sans" w:cs="Open Sans"/>
        <w:color w:val="5A6B7B"/>
        <w:sz w:val="16"/>
        <w:szCs w:val="16"/>
      </w:rPr>
      <w:t>AI Value · Guide d’installation CortexSkills — Mode SaaS</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27</w:t>
    </w:r>
    <w:r>
      <w:rPr/>
      <w:fldChar w:fldCharType="end"/>
    </w:r>
    <w:r>
      <w:rPr>
        <w:rFonts w:eastAsia="Open Sans" w:cs="Open Sans"/>
        <w:color w:val="5A6B7B"/>
        <w:sz w:val="16"/>
        <w:szCs w:val="16"/>
      </w:rPr>
      <w:t xml:space="preserve"> sur </w:t>
    </w:r>
    <w:r>
      <w:rPr/>
      <w:fldChar w:fldCharType="begin"/>
    </w:r>
    <w:r>
      <w:rPr/>
      <w:instrText xml:space="preserve"> NUMPAGES </w:instrText>
    </w:r>
    <w:r>
      <w:rPr/>
      <w:fldChar w:fldCharType="separate"/>
    </w:r>
    <w:r>
      <w:rPr/>
      <w:t>27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9638" w:leader="none"/>
      </w:tabs>
      <w:rPr/>
    </w:pPr>
    <w:r>
      <w:rPr/>
      <w:drawing>
        <wp:inline distT="0" distB="0" distL="0" distR="0">
          <wp:extent cx="1428750" cy="266700"/>
          <wp:effectExtent l="0" t="0" r="0" b="0"/>
          <wp:docPr id="10" name="aivalue-lockup.png"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ivalue-lockup.png"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 Guide d’installation — SaaS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260"/>
      </w:pPr>
      <w:rPr>
        <w:rFonts w:ascii="Symbol" w:hAnsi="Symbol" w:cs="Symbol" w:hint="default"/>
        <w:color w:val="1876C6"/>
      </w:rPr>
    </w:lvl>
    <w:lvl w:ilvl="1">
      <w:start w:val="1"/>
      <w:numFmt w:val="bullet"/>
      <w:lvlText w:val=""/>
      <w:lvlJc w:val="left"/>
      <w:pPr>
        <w:tabs>
          <w:tab w:val="num" w:pos="0"/>
        </w:tabs>
        <w:ind w:left="720" w:hanging="260"/>
      </w:pPr>
      <w:rPr>
        <w:rFonts w:ascii="Symbol" w:hAnsi="Symbol" w:cs="Symbol" w:hint="default"/>
        <w:color w:val="1876C6"/>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1"/>
    <w:lvlOverride w:ilvl="0">
      <w:startOverride w:val="1"/>
    </w:lvlOverride>
  </w:num>
  <w:num w:numId="9">
    <w:abstractNumId w:val="2"/>
    <w:lvlOverride w:ilvl="0">
      <w:startOverride w:val="1"/>
    </w:lvlOverride>
  </w:num>
  <w:num w:numId="10">
    <w:abstractNumId w:val="3"/>
    <w:lvlOverride w:ilvl="0">
      <w:startOverride w:val="1"/>
    </w:lvlOverride>
  </w:num>
  <w:num w:numId="11">
    <w:abstractNumId w:val="4"/>
    <w:lvlOverride w:ilvl="0">
      <w:startOverride w:val="1"/>
    </w:lvlOverride>
  </w:num>
  <w:num w:numId="12">
    <w:abstractNumId w:val="5"/>
    <w:lvlOverride w:ilvl="0">
      <w:startOverride w:val="1"/>
    </w:lvlOverride>
  </w:num>
  <w:num w:numId="13">
    <w:abstractNumId w:val="6"/>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Open Sans" w:hAnsi="Open Sans" w:eastAsia="Open Sans" w:cs="Open Sans"/>
        <w:color w:val="2C3E50"/>
        <w:sz w:val="22"/>
        <w:szCs w:val="22"/>
        <w:lang w:val="fr-FR" w:eastAsia="zh-CN" w:bidi="hi-IN"/>
      </w:rPr>
    </w:rPrDefault>
    <w:pPrDefault>
      <w:pPr>
        <w:suppressAutoHyphens w:val="true"/>
      </w:pPr>
    </w:pPrDefault>
  </w:docDefaults>
  <w:style w:type="paragraph" w:styleId="Normal" w:default="1">
    <w:name w:val="Normal"/>
    <w:qFormat/>
    <w:pPr>
      <w:widowControl/>
      <w:bidi w:val="0"/>
      <w:spacing w:lineRule="auto" w:line="288" w:before="0" w:after="0"/>
      <w:jc w:val="left"/>
    </w:pPr>
    <w:rPr>
      <w:rFonts w:ascii="Open Sans" w:hAnsi="Open Sans" w:eastAsia="Open Sans" w:cs="Open Sans"/>
      <w:color w:val="2C3E50"/>
      <w:kern w:val="0"/>
      <w:sz w:val="22"/>
      <w:szCs w:val="22"/>
      <w:lang w:val="fr-FR" w:eastAsia="zh-CN" w:bidi="hi-IN"/>
    </w:rPr>
  </w:style>
  <w:style w:type="paragraph" w:styleId="Heading1">
    <w:name w:val="Heading 1"/>
    <w:basedOn w:val="Normal"/>
    <w:next w:val="Normal"/>
    <w:qFormat/>
    <w:pPr>
      <w:spacing w:before="0" w:after="240"/>
      <w:outlineLvl w:val="0"/>
    </w:pPr>
    <w:rPr>
      <w:rFonts w:ascii="Montserrat" w:hAnsi="Montserrat" w:eastAsia="Montserrat" w:cs="Montserrat"/>
      <w:b/>
      <w:bCs/>
      <w:color w:val="123A5F"/>
      <w:sz w:val="40"/>
      <w:szCs w:val="40"/>
    </w:rPr>
  </w:style>
  <w:style w:type="paragraph" w:styleId="Heading2">
    <w:name w:val="Heading 2"/>
    <w:basedOn w:val="Normal"/>
    <w:next w:val="Normal"/>
    <w:qFormat/>
    <w:pPr>
      <w:spacing w:before="320" w:after="120"/>
      <w:outlineLvl w:val="1"/>
    </w:pPr>
    <w:rPr>
      <w:rFonts w:ascii="Montserrat" w:hAnsi="Montserrat" w:eastAsia="Montserrat" w:cs="Montserrat"/>
      <w:b/>
      <w:bCs/>
      <w:color w:val="123A5F"/>
      <w:sz w:val="32"/>
      <w:szCs w:val="32"/>
    </w:rPr>
  </w:style>
  <w:style w:type="paragraph" w:styleId="Heading3">
    <w:name w:val="Heading 3"/>
    <w:basedOn w:val="Normal"/>
    <w:next w:val="Normal"/>
    <w:qFormat/>
    <w:pPr>
      <w:spacing w:before="240" w:after="80"/>
      <w:outlineLvl w:val="2"/>
    </w:pPr>
    <w:rPr>
      <w:rFonts w:ascii="Montserrat" w:hAnsi="Montserrat" w:eastAsia="Montserrat" w:cs="Montserrat"/>
      <w:b/>
      <w:bCs/>
      <w:color w:val="123A5F"/>
      <w:sz w:val="26"/>
      <w:szCs w:val="26"/>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AIValueFooter">
    <w:name w:val="AI Value Footer"/>
    <w:basedOn w:val="Normal"/>
    <w:qFormat/>
    <w:pPr>
      <w:spacing w:before="0" w:after="0"/>
    </w:pPr>
    <w:rPr>
      <w:rFonts w:ascii="Open Sans" w:hAnsi="Open Sans" w:eastAsia="Open Sans" w:cs="Open Sans"/>
      <w:color w:val="5A6B7B"/>
      <w:sz w:val="16"/>
      <w:szCs w:val="16"/>
    </w:rPr>
  </w:style>
  <w:style w:type="paragraph" w:styleId="TOC1">
    <w:name w:val="TOC 1"/>
    <w:basedOn w:val="Normal"/>
    <w:next w:val="Normal"/>
    <w:pPr>
      <w:spacing w:before="120" w:after="40"/>
      <w:ind w:left="0"/>
    </w:pPr>
    <w:rPr>
      <w:rFonts w:ascii="Open Sans" w:hAnsi="Open Sans" w:eastAsia="Open Sans" w:cs="Open Sans"/>
      <w:b/>
      <w:bCs/>
      <w:color w:val="123A5F"/>
      <w:sz w:val="22"/>
      <w:szCs w:val="22"/>
    </w:rPr>
  </w:style>
  <w:style w:type="paragraph" w:styleId="TOC2">
    <w:name w:val="TOC 2"/>
    <w:basedOn w:val="Normal"/>
    <w:next w:val="Normal"/>
    <w:pPr>
      <w:spacing w:before="0" w:after="40"/>
      <w:ind w:left="360"/>
    </w:pPr>
    <w:rPr>
      <w:rFonts w:ascii="Open Sans" w:hAnsi="Open Sans" w:eastAsia="Open Sans" w:cs="Open Sans"/>
      <w:b w:val="false"/>
      <w:bCs w:val="false"/>
      <w:color w:val="2C3E50"/>
      <w:sz w:val="20"/>
      <w:szCs w:val="20"/>
    </w:rPr>
  </w:style>
  <w:style w:type="paragraph" w:styleId="TOC3">
    <w:name w:val="TOC 3"/>
    <w:basedOn w:val="Normal"/>
    <w:next w:val="Normal"/>
    <w:pPr>
      <w:spacing w:before="0" w:after="40"/>
      <w:ind w:left="720"/>
    </w:pPr>
    <w:rPr>
      <w:rFonts w:ascii="Open Sans" w:hAnsi="Open Sans" w:eastAsia="Open Sans" w:cs="Open Sans"/>
      <w:b w:val="false"/>
      <w:bCs w:val="false"/>
      <w:color w:val="2C3E50"/>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0.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2026-10-12T16:46:13Z</dcterms:created>
  <dc:creator>AI Value</dc:creator>
  <dc:description>Guide d’installation CortexSkills — Mode SaaS</dc:description>
  <dc:language>en-US</dc:language>
  <cp:lastModifiedBy/>
  <dcterms:modified xsi:type="dcterms:W3CDTF">2026-10-12T16:48:32Z</dcterms:modified>
  <cp:revision>2</cp:revision>
  <dc:subject/>
  <dc:title>Guide d’installation CortexSkills — Mode SaaS</dc:title>
</cp:coreProperties>
</file>