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header2.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600"/>
        <w:rPr/>
      </w:pPr>
      <w:r>
        <w:rPr/>
      </w:r>
    </w:p>
    <w:p>
      <w:pPr>
        <w:pStyle w:val="Normal"/>
        <w:spacing w:before="0" w:after="0"/>
        <w:jc w:val="center"/>
        <w:rPr/>
      </w:pPr>
      <w:r>
        <w:rPr/>
        <w:drawing>
          <wp:inline distT="0" distB="0" distL="0" distR="0">
            <wp:extent cx="2381250" cy="1695450"/>
            <wp:effectExtent l="0" t="0" r="0" b="0"/>
            <wp:docPr id="1" name="aivalue-logo-900.png" descr="AI Value&#10;AI Valu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ivalue-logo-900.png" descr="AI Value&#10;AI Value logo"/>
                    <pic:cNvPicPr>
                      <a:picLocks noChangeAspect="1" noChangeArrowheads="1"/>
                    </pic:cNvPicPr>
                  </pic:nvPicPr>
                  <pic:blipFill>
                    <a:blip r:embed="rId2"/>
                    <a:stretch>
                      <a:fillRect/>
                    </a:stretch>
                  </pic:blipFill>
                  <pic:spPr bwMode="auto">
                    <a:xfrm>
                      <a:off x="0" y="0"/>
                      <a:ext cx="2381250" cy="1695450"/>
                    </a:xfrm>
                    <a:prstGeom prst="rect">
                      <a:avLst/>
                    </a:prstGeom>
                  </pic:spPr>
                </pic:pic>
              </a:graphicData>
            </a:graphic>
          </wp:inline>
        </w:drawing>
      </w:r>
    </w:p>
    <w:p>
      <w:pPr>
        <w:pStyle w:val="Normal"/>
        <w:spacing w:before="0" w:after="900"/>
        <w:rPr/>
      </w:pPr>
      <w:r>
        <w:rPr/>
      </w:r>
    </w:p>
    <w:p>
      <w:pPr>
        <w:pStyle w:val="Normal"/>
        <w:spacing w:before="0" w:after="140"/>
        <w:jc w:val="center"/>
        <w:rPr/>
      </w:pPr>
      <w:r>
        <w:rPr>
          <w:rFonts w:eastAsia="Open Sans" w:cs="Open Sans"/>
          <w:b/>
          <w:bCs/>
          <w:color w:val="1876C6"/>
          <w:spacing w:val="60"/>
          <w:sz w:val="28"/>
          <w:szCs w:val="28"/>
        </w:rPr>
        <w:t>GUIDE D’INSTALLATION — EXÉCUTABLE MINIFIÉ — CÔTÉ ÉDITEUR — LINUX ET WINDOWS</w:t>
      </w:r>
    </w:p>
    <w:p>
      <w:pPr>
        <w:pStyle w:val="Normal"/>
        <w:spacing w:before="0" w:after="200"/>
        <w:jc w:val="center"/>
        <w:rPr/>
      </w:pPr>
      <w:r>
        <w:rPr>
          <w:rFonts w:eastAsia="Montserrat" w:cs="Montserrat" w:ascii="Montserrat" w:hAnsi="Montserrat"/>
          <w:b/>
          <w:bCs/>
          <w:color w:val="123A5F"/>
          <w:sz w:val="56"/>
          <w:szCs w:val="56"/>
        </w:rPr>
        <w:t>CortexSkills</w:t>
      </w:r>
    </w:p>
    <w:p>
      <w:pPr>
        <w:pStyle w:val="Normal"/>
        <w:spacing w:before="0" w:after="1400"/>
        <w:jc w:val="center"/>
        <w:rPr/>
      </w:pPr>
      <w:r>
        <w:rPr>
          <w:rFonts w:eastAsia="Open Sans" w:cs="Open Sans"/>
          <w:color w:val="2C3E50"/>
          <w:sz w:val="26"/>
          <w:szCs w:val="26"/>
        </w:rPr>
        <w:t>Poste de signature, scénario a (cloud privé / sur site, serveur Linux), scénario b (localhost sous Windows), sans Docker, données de référence et gestion des licences (créer, lire, modifier, révoquer, supprimer)</w:t>
      </w:r>
    </w:p>
    <w:p>
      <w:pPr>
        <w:pStyle w:val="Normal"/>
        <w:spacing w:before="0" w:after="60"/>
        <w:jc w:val="center"/>
        <w:rPr/>
      </w:pPr>
      <w:r>
        <w:rPr>
          <w:rFonts w:eastAsia="Open Sans" w:cs="Open Sans"/>
          <w:color w:val="5A6B7B"/>
          <w:sz w:val="20"/>
          <w:szCs w:val="20"/>
        </w:rPr>
        <w:t>Version 1.15.1 · 2026-10-16</w:t>
      </w:r>
    </w:p>
    <w:p>
      <w:pPr>
        <w:pStyle w:val="Normal"/>
        <w:spacing w:before="0" w:after="60"/>
        <w:jc w:val="center"/>
        <w:rPr/>
      </w:pPr>
      <w:r>
        <w:rPr>
          <w:rFonts w:eastAsia="Open Sans" w:cs="Open Sans"/>
          <w:color w:val="5A6B7B"/>
          <w:sz w:val="20"/>
          <w:szCs w:val="20"/>
        </w:rPr>
        <w:t>Interne — AI Value</w:t>
      </w:r>
    </w:p>
    <w:p>
      <w:pPr>
        <w:pStyle w:val="Normal"/>
        <w:rPr/>
      </w:pPr>
      <w:r>
        <w:rPr/>
      </w:r>
      <w:r>
        <w:br w:type="page"/>
      </w:r>
    </w:p>
    <w:p>
      <w:pPr>
        <w:pStyle w:val="Normal"/>
        <w:pBdr>
          <w:bottom w:val="single" w:sz="6" w:space="6" w:color="E1E8F0"/>
        </w:pBdr>
        <w:spacing w:before="0" w:after="240"/>
        <w:rPr/>
      </w:pPr>
      <w:r>
        <w:rPr>
          <w:rFonts w:eastAsia="Montserrat" w:cs="Montserrat" w:ascii="Montserrat" w:hAnsi="Montserrat"/>
          <w:b/>
          <w:bCs/>
          <w:color w:val="123A5F"/>
          <w:sz w:val="40"/>
          <w:szCs w:val="40"/>
        </w:rPr>
        <w:t>Table des matières</w:t>
      </w:r>
    </w:p>
    <w:sdt>
      <w:sdtPr>
        <w:docPartObj>
          <w:docPartGallery w:val="Table of Contents"/>
          <w:docPartUnique w:val="true"/>
        </w:docPartObj>
      </w:sdtPr>
      <w:sdtContent>
        <w:p>
          <w:pPr>
            <w:pStyle w:val="TOC1"/>
            <w:tabs>
              <w:tab w:val="clear" w:pos="720"/>
              <w:tab w:val="right" w:pos="9637" w:leader="dot"/>
            </w:tabs>
            <w:rPr/>
          </w:pPr>
          <w:r>
            <w:fldChar w:fldCharType="begin"/>
          </w:r>
          <w:r>
            <w:rPr>
              <w:rStyle w:val="IndexLink"/>
            </w:rPr>
            <w:instrText xml:space="preserve"> TOC \o "1-3" \h</w:instrText>
          </w:r>
          <w:r>
            <w:rPr>
              <w:rStyle w:val="IndexLink"/>
            </w:rPr>
            <w:fldChar w:fldCharType="separate"/>
          </w:r>
          <w:hyperlink w:anchor="__RefHeading___Toc6399_3952465195">
            <w:r>
              <w:rPr>
                <w:rStyle w:val="IndexLink"/>
              </w:rPr>
              <w:t>1. Vue d’ensemble</w:t>
              <w:tab/>
              <w:t>3</w:t>
            </w:r>
          </w:hyperlink>
        </w:p>
        <w:p>
          <w:pPr>
            <w:pStyle w:val="TOC2"/>
            <w:tabs>
              <w:tab w:val="clear" w:pos="720"/>
              <w:tab w:val="right" w:pos="9637" w:leader="dot"/>
            </w:tabs>
            <w:rPr/>
          </w:pPr>
          <w:hyperlink w:anchor="__RefHeading___Toc6401_3952465195">
            <w:r>
              <w:rPr>
                <w:rStyle w:val="IndexLink"/>
              </w:rPr>
              <w:t>1.1 Les données de référence</w:t>
              <w:tab/>
              <w:t>4</w:t>
            </w:r>
          </w:hyperlink>
        </w:p>
        <w:p>
          <w:pPr>
            <w:pStyle w:val="TOC1"/>
            <w:tabs>
              <w:tab w:val="clear" w:pos="720"/>
              <w:tab w:val="right" w:pos="9637" w:leader="dot"/>
            </w:tabs>
            <w:rPr/>
          </w:pPr>
          <w:hyperlink w:anchor="__RefHeading___Toc6403_3952465195">
            <w:r>
              <w:rPr>
                <w:rStyle w:val="IndexLink"/>
              </w:rPr>
              <w:t>2. Prérequis et préparation</w:t>
              <w:tab/>
              <w:t>6</w:t>
            </w:r>
          </w:hyperlink>
        </w:p>
        <w:p>
          <w:pPr>
            <w:pStyle w:val="TOC2"/>
            <w:tabs>
              <w:tab w:val="clear" w:pos="720"/>
              <w:tab w:val="right" w:pos="9637" w:leader="dot"/>
            </w:tabs>
            <w:rPr/>
          </w:pPr>
          <w:hyperlink w:anchor="__RefHeading___Toc6405_3952465195">
            <w:r>
              <w:rPr>
                <w:rStyle w:val="IndexLink"/>
              </w:rPr>
              <w:t>2.1 Machines</w:t>
              <w:tab/>
              <w:t>6</w:t>
            </w:r>
          </w:hyperlink>
        </w:p>
        <w:p>
          <w:pPr>
            <w:pStyle w:val="TOC2"/>
            <w:tabs>
              <w:tab w:val="clear" w:pos="720"/>
              <w:tab w:val="right" w:pos="9637" w:leader="dot"/>
            </w:tabs>
            <w:rPr/>
          </w:pPr>
          <w:hyperlink w:anchor="__RefHeading___Toc6407_3952465195">
            <w:r>
              <w:rPr>
                <w:rStyle w:val="IndexLink"/>
              </w:rPr>
              <w:t>2.2 Installer Node.js 22</w:t>
              <w:tab/>
              <w:t>6</w:t>
            </w:r>
          </w:hyperlink>
        </w:p>
        <w:p>
          <w:pPr>
            <w:pStyle w:val="TOC2"/>
            <w:tabs>
              <w:tab w:val="clear" w:pos="720"/>
              <w:tab w:val="right" w:pos="9637" w:leader="dot"/>
            </w:tabs>
            <w:rPr/>
          </w:pPr>
          <w:hyperlink w:anchor="__RefHeading___Toc6409_3952465195">
            <w:r>
              <w:rPr>
                <w:rStyle w:val="IndexLink"/>
              </w:rPr>
              <w:t>2.3 Vérifier et décompresser le paquet</w:t>
              <w:tab/>
              <w:t>7</w:t>
            </w:r>
          </w:hyperlink>
        </w:p>
        <w:p>
          <w:pPr>
            <w:pStyle w:val="TOC1"/>
            <w:tabs>
              <w:tab w:val="clear" w:pos="720"/>
              <w:tab w:val="right" w:pos="9637" w:leader="dot"/>
            </w:tabs>
            <w:rPr/>
          </w:pPr>
          <w:hyperlink w:anchor="__RefHeading___Toc6411_3952465195">
            <w:r>
              <w:rPr>
                <w:rStyle w:val="IndexLink"/>
              </w:rPr>
              <w:t>3. Le poste de signature (une seule fois)</w:t>
              <w:tab/>
              <w:t>8</w:t>
            </w:r>
          </w:hyperlink>
        </w:p>
        <w:p>
          <w:pPr>
            <w:pStyle w:val="TOC1"/>
            <w:tabs>
              <w:tab w:val="clear" w:pos="720"/>
              <w:tab w:val="right" w:pos="9637" w:leader="dot"/>
            </w:tabs>
            <w:rPr/>
          </w:pPr>
          <w:hyperlink w:anchor="__RefHeading___Toc6413_3952465195">
            <w:r>
              <w:rPr>
                <w:rStyle w:val="IndexLink"/>
              </w:rPr>
              <w:t>4. Scénario a — Cloud privé ou sur site (serveur Linux)</w:t>
              <w:tab/>
              <w:t>10</w:t>
            </w:r>
          </w:hyperlink>
        </w:p>
        <w:p>
          <w:pPr>
            <w:pStyle w:val="TOC2"/>
            <w:tabs>
              <w:tab w:val="clear" w:pos="720"/>
              <w:tab w:val="right" w:pos="9637" w:leader="dot"/>
            </w:tabs>
            <w:rPr/>
          </w:pPr>
          <w:hyperlink w:anchor="__RefHeading___Toc6415_3952465195">
            <w:r>
              <w:rPr>
                <w:rStyle w:val="IndexLink"/>
              </w:rPr>
              <w:t>4.1 Node.js, copie et décompression sur le serveur</w:t>
              <w:tab/>
              <w:t>10</w:t>
            </w:r>
          </w:hyperlink>
        </w:p>
        <w:p>
          <w:pPr>
            <w:pStyle w:val="TOC2"/>
            <w:tabs>
              <w:tab w:val="clear" w:pos="720"/>
              <w:tab w:val="right" w:pos="9637" w:leader="dot"/>
            </w:tabs>
            <w:rPr/>
          </w:pPr>
          <w:hyperlink w:anchor="__RefHeading___Toc6417_3952465195">
            <w:r>
              <w:rPr>
                <w:rStyle w:val="IndexLink"/>
              </w:rPr>
              <w:t>4.2 Réglages</w:t>
              <w:tab/>
              <w:t>10</w:t>
            </w:r>
          </w:hyperlink>
        </w:p>
        <w:p>
          <w:pPr>
            <w:pStyle w:val="TOC2"/>
            <w:tabs>
              <w:tab w:val="clear" w:pos="720"/>
              <w:tab w:val="right" w:pos="9637" w:leader="dot"/>
            </w:tabs>
            <w:rPr/>
          </w:pPr>
          <w:hyperlink w:anchor="__RefHeading___Toc6419_3952465195">
            <w:r>
              <w:rPr>
                <w:rStyle w:val="IndexLink"/>
              </w:rPr>
              <w:t>4.3 Service et HTTPS</w:t>
              <w:tab/>
              <w:t>11</w:t>
            </w:r>
          </w:hyperlink>
        </w:p>
        <w:p>
          <w:pPr>
            <w:pStyle w:val="TOC2"/>
            <w:tabs>
              <w:tab w:val="clear" w:pos="720"/>
              <w:tab w:val="right" w:pos="9637" w:leader="dot"/>
            </w:tabs>
            <w:rPr/>
          </w:pPr>
          <w:hyperlink w:anchor="__RefHeading___Toc6421_3952465195">
            <w:r>
              <w:rPr>
                <w:rStyle w:val="IndexLink"/>
              </w:rPr>
              <w:t>4.4 Exploiter</w:t>
              <w:tab/>
              <w:t>11</w:t>
            </w:r>
          </w:hyperlink>
        </w:p>
        <w:p>
          <w:pPr>
            <w:pStyle w:val="TOC1"/>
            <w:tabs>
              <w:tab w:val="clear" w:pos="720"/>
              <w:tab w:val="right" w:pos="9637" w:leader="dot"/>
            </w:tabs>
            <w:rPr/>
          </w:pPr>
          <w:hyperlink w:anchor="__RefHeading___Toc6423_3952465195">
            <w:r>
              <w:rPr>
                <w:rStyle w:val="IndexLink"/>
              </w:rPr>
              <w:t>5. Scénario b — Localhost sous Windows</w:t>
              <w:tab/>
              <w:t>13</w:t>
            </w:r>
          </w:hyperlink>
        </w:p>
        <w:p>
          <w:pPr>
            <w:pStyle w:val="TOC2"/>
            <w:tabs>
              <w:tab w:val="clear" w:pos="720"/>
              <w:tab w:val="right" w:pos="9637" w:leader="dot"/>
            </w:tabs>
            <w:rPr/>
          </w:pPr>
          <w:hyperlink w:anchor="__RefHeading___Toc6425_3952465195">
            <w:r>
              <w:rPr>
                <w:rStyle w:val="IndexLink"/>
              </w:rPr>
              <w:t>5.1 Démarrage automatique (facultatif)</w:t>
              <w:tab/>
              <w:t>13</w:t>
            </w:r>
          </w:hyperlink>
        </w:p>
        <w:p>
          <w:pPr>
            <w:pStyle w:val="TOC2"/>
            <w:tabs>
              <w:tab w:val="clear" w:pos="720"/>
              <w:tab w:val="right" w:pos="9637" w:leader="dot"/>
            </w:tabs>
            <w:rPr/>
          </w:pPr>
          <w:hyperlink w:anchor="__RefHeading___Toc6427_3952465195">
            <w:r>
              <w:rPr>
                <w:rStyle w:val="IndexLink"/>
              </w:rPr>
              <w:t>5.2 Console, sauvegarde et restauration sous Windows</w:t>
              <w:tab/>
              <w:t>14</w:t>
            </w:r>
          </w:hyperlink>
        </w:p>
        <w:p>
          <w:pPr>
            <w:pStyle w:val="TOC2"/>
            <w:tabs>
              <w:tab w:val="clear" w:pos="720"/>
              <w:tab w:val="right" w:pos="9637" w:leader="dot"/>
            </w:tabs>
            <w:rPr/>
          </w:pPr>
          <w:hyperlink w:anchor="__RefHeading___Toc6429_3952465195">
            <w:r>
              <w:rPr>
                <w:rStyle w:val="IndexLink"/>
              </w:rPr>
              <w:t>5.3 Les organisations de référence</w:t>
              <w:tab/>
              <w:t>14</w:t>
            </w:r>
          </w:hyperlink>
        </w:p>
        <w:p>
          <w:pPr>
            <w:pStyle w:val="TOC1"/>
            <w:tabs>
              <w:tab w:val="clear" w:pos="720"/>
              <w:tab w:val="right" w:pos="9637" w:leader="dot"/>
            </w:tabs>
            <w:rPr/>
          </w:pPr>
          <w:hyperlink w:anchor="__RefHeading___Toc6431_3952465195">
            <w:r>
              <w:rPr>
                <w:rStyle w:val="IndexLink"/>
              </w:rPr>
              <w:t>6. Gestion des licences</w:t>
              <w:tab/>
              <w:t>16</w:t>
            </w:r>
          </w:hyperlink>
        </w:p>
        <w:p>
          <w:pPr>
            <w:pStyle w:val="TOC2"/>
            <w:tabs>
              <w:tab w:val="clear" w:pos="720"/>
              <w:tab w:val="right" w:pos="9637" w:leader="dot"/>
            </w:tabs>
            <w:rPr/>
          </w:pPr>
          <w:hyperlink w:anchor="__RefHeading___Toc6433_3952465195">
            <w:r>
              <w:rPr>
                <w:rStyle w:val="IndexLink"/>
              </w:rPr>
              <w:t>6.1 Créer</w:t>
              <w:tab/>
              <w:t>16</w:t>
            </w:r>
          </w:hyperlink>
        </w:p>
        <w:p>
          <w:pPr>
            <w:pStyle w:val="TOC2"/>
            <w:tabs>
              <w:tab w:val="clear" w:pos="720"/>
              <w:tab w:val="right" w:pos="9637" w:leader="dot"/>
            </w:tabs>
            <w:rPr/>
          </w:pPr>
          <w:hyperlink w:anchor="__RefHeading___Toc6435_3952465195">
            <w:r>
              <w:rPr>
                <w:rStyle w:val="IndexLink"/>
              </w:rPr>
              <w:t>6.2 Lire</w:t>
              <w:tab/>
              <w:t>17</w:t>
            </w:r>
          </w:hyperlink>
        </w:p>
        <w:p>
          <w:pPr>
            <w:pStyle w:val="TOC2"/>
            <w:tabs>
              <w:tab w:val="clear" w:pos="720"/>
              <w:tab w:val="right" w:pos="9637" w:leader="dot"/>
            </w:tabs>
            <w:rPr/>
          </w:pPr>
          <w:hyperlink w:anchor="__RefHeading___Toc6437_3952465195">
            <w:r>
              <w:rPr>
                <w:rStyle w:val="IndexLink"/>
              </w:rPr>
              <w:t>6.3 Modifier et renouveler</w:t>
              <w:tab/>
              <w:t>17</w:t>
            </w:r>
          </w:hyperlink>
        </w:p>
        <w:p>
          <w:pPr>
            <w:pStyle w:val="TOC2"/>
            <w:tabs>
              <w:tab w:val="clear" w:pos="720"/>
              <w:tab w:val="right" w:pos="9637" w:leader="dot"/>
            </w:tabs>
            <w:rPr/>
          </w:pPr>
          <w:hyperlink w:anchor="__RefHeading___Toc6439_3952465195">
            <w:r>
              <w:rPr>
                <w:rStyle w:val="IndexLink"/>
              </w:rPr>
              <w:t>6.4 Révoquer et retirer</w:t>
              <w:tab/>
              <w:t>18</w:t>
            </w:r>
          </w:hyperlink>
        </w:p>
        <w:p>
          <w:pPr>
            <w:pStyle w:val="TOC2"/>
            <w:tabs>
              <w:tab w:val="clear" w:pos="720"/>
              <w:tab w:val="right" w:pos="9637" w:leader="dot"/>
            </w:tabs>
            <w:rPr/>
          </w:pPr>
          <w:hyperlink w:anchor="__RefHeading___Toc6441_3952465195">
            <w:r>
              <w:rPr>
                <w:rStyle w:val="IndexLink"/>
              </w:rPr>
              <w:t>6.5 Supprimer</w:t>
              <w:tab/>
              <w:t>18</w:t>
            </w:r>
          </w:hyperlink>
        </w:p>
        <w:p>
          <w:pPr>
            <w:pStyle w:val="TOC2"/>
            <w:tabs>
              <w:tab w:val="clear" w:pos="720"/>
              <w:tab w:val="right" w:pos="9637" w:leader="dot"/>
            </w:tabs>
            <w:rPr/>
          </w:pPr>
          <w:hyperlink w:anchor="__RefHeading___Toc6443_3952465195">
            <w:r>
              <w:rPr>
                <w:rStyle w:val="IndexLink"/>
              </w:rPr>
              <w:t>6.6 Un client qui installe chez lui</w:t>
              <w:tab/>
              <w:t>18</w:t>
            </w:r>
          </w:hyperlink>
        </w:p>
        <w:p>
          <w:pPr>
            <w:pStyle w:val="TOC1"/>
            <w:tabs>
              <w:tab w:val="clear" w:pos="720"/>
              <w:tab w:val="right" w:pos="9637" w:leader="dot"/>
            </w:tabs>
            <w:rPr/>
          </w:pPr>
          <w:hyperlink w:anchor="__RefHeading___Toc6445_3952465195">
            <w:r>
              <w:rPr>
                <w:rStyle w:val="IndexLink"/>
              </w:rPr>
              <w:t>7. Nouvelle version ou changement de clés</w:t>
              <w:tab/>
              <w:t>19</w:t>
            </w:r>
          </w:hyperlink>
        </w:p>
        <w:p>
          <w:pPr>
            <w:pStyle w:val="TOC1"/>
            <w:tabs>
              <w:tab w:val="clear" w:pos="720"/>
              <w:tab w:val="right" w:pos="9637" w:leader="dot"/>
            </w:tabs>
            <w:rPr/>
          </w:pPr>
          <w:hyperlink w:anchor="__RefHeading___Toc6447_3952465195">
            <w:r>
              <w:rPr>
                <w:rStyle w:val="IndexLink"/>
              </w:rPr>
              <w:t>8. Plans et add-ons</w:t>
              <w:tab/>
              <w:t>20</w:t>
            </w:r>
          </w:hyperlink>
        </w:p>
        <w:p>
          <w:pPr>
            <w:pStyle w:val="TOC1"/>
            <w:tabs>
              <w:tab w:val="clear" w:pos="720"/>
              <w:tab w:val="right" w:pos="9637" w:leader="dot"/>
            </w:tabs>
            <w:rPr/>
          </w:pPr>
          <w:hyperlink w:anchor="__RefHeading___Toc6449_3952465195">
            <w:r>
              <w:rPr>
                <w:rStyle w:val="IndexLink"/>
              </w:rPr>
              <w:t>9. Dépannage</w:t>
              <w:tab/>
              <w:t>21</w:t>
            </w:r>
          </w:hyperlink>
        </w:p>
        <w:p>
          <w:pPr>
            <w:pStyle w:val="TOC1"/>
            <w:tabs>
              <w:tab w:val="clear" w:pos="720"/>
              <w:tab w:val="right" w:pos="9637" w:leader="dot"/>
            </w:tabs>
            <w:rPr/>
          </w:pPr>
          <w:hyperlink w:anchor="__RefHeading___Toc6451_3952465195">
            <w:r>
              <w:rPr>
                <w:rStyle w:val="IndexLink"/>
              </w:rPr>
              <w:t>10. Référence des commandes</w:t>
              <w:tab/>
              <w:t>22</w:t>
            </w:r>
          </w:hyperlink>
          <w:r>
            <w:rPr>
              <w:rStyle w:val="IndexLink"/>
            </w:rPr>
            <w:fldChar w:fldCharType="end"/>
          </w:r>
        </w:p>
      </w:sdtContent>
    </w:sdt>
    <w:p>
      <w:pPr>
        <w:pStyle w:val="Normal"/>
        <w:widowControl/>
        <w:bidi w:val="0"/>
        <w:spacing w:lineRule="auto" w:line="288" w:before="0" w:after="0"/>
        <w:jc w:val="left"/>
        <w:rPr/>
      </w:pPr>
      <w:r>
        <w:rPr/>
      </w:r>
      <w:r>
        <w:br w:type="page"/>
      </w:r>
    </w:p>
    <w:p>
      <w:pPr>
        <w:pStyle w:val="Heading1"/>
        <w:pBdr>
          <w:bottom w:val="single" w:sz="6" w:space="6" w:color="E1E8F0"/>
        </w:pBdr>
        <w:spacing w:before="0" w:after="240"/>
        <w:rPr/>
      </w:pPr>
      <w:bookmarkStart w:id="0" w:name="__RefHeading___Toc6399_3952465195"/>
      <w:bookmarkEnd w:id="0"/>
      <w:r>
        <w:rPr>
          <w:rFonts w:eastAsia="Montserrat" w:cs="Montserrat"/>
          <w:b/>
          <w:bCs/>
          <w:color w:val="123A5F"/>
          <w:sz w:val="40"/>
          <w:szCs w:val="40"/>
        </w:rPr>
        <w:t>1. Vue d’ensemble</w:t>
      </w:r>
    </w:p>
    <w:p>
      <w:pPr>
        <w:pStyle w:val="Normal"/>
        <w:spacing w:lineRule="auto" w:line="288" w:before="0" w:after="160"/>
        <w:jc w:val="left"/>
        <w:rPr/>
      </w:pPr>
      <w:r>
        <w:rPr>
          <w:rFonts w:eastAsia="Open Sans" w:cs="Open Sans"/>
          <w:color w:val="2C3E50"/>
          <w:sz w:val="22"/>
          <w:szCs w:val="22"/>
        </w:rPr>
        <w:t>Tout ce dont l’éditeur a besoin tient dans un seul fichier, Runtime_Editor_Linux_Windows_CortexSkills_1.15.1.zip ; l’exécutable client, Runtime_Customer_Linux_CortexSkills_1.15.1.tar.xz, s’envoie tel quel aux clients. Les deux sont des exécutables de production minifiés, prêts à lancer avec Node.js 22 : ni Docker, ni npm, ni compilation. Ce guide décrit deux scénarios : a — cloud privé ou sur site, sur un serveur Linux (service systemd et HTTPS) ; b — localhost, sur un poste Windows 10 / 11. Les deux installations sont des versions de production : données de référence de toutes les verticales et des PME, aucun compte de démonstration.</w:t>
      </w:r>
    </w:p>
    <w:tbl>
      <w:tblPr>
        <w:tblW w:w="9638" w:type="dxa"/>
        <w:jc w:val="left"/>
        <w:tblInd w:w="0" w:type="dxa"/>
        <w:tblLayout w:type="fixed"/>
        <w:tblCellMar>
          <w:top w:w="70" w:type="dxa"/>
          <w:left w:w="110" w:type="dxa"/>
          <w:bottom w:w="70" w:type="dxa"/>
          <w:right w:w="110" w:type="dxa"/>
        </w:tblCellMar>
      </w:tblPr>
      <w:tblGrid>
        <w:gridCol w:w="2696"/>
        <w:gridCol w:w="4396"/>
        <w:gridCol w:w="2546"/>
      </w:tblGrid>
      <w:tr>
        <w:trPr>
          <w:tblHeader w:val="true"/>
          <w:cantSplit w:val="true"/>
        </w:trPr>
        <w:tc>
          <w:tcPr>
            <w:tcW w:w="26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Dans le paquet éditeur</w:t>
            </w:r>
          </w:p>
        </w:tc>
        <w:tc>
          <w:tcPr>
            <w:tcW w:w="43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Contenu</w:t>
            </w:r>
          </w:p>
        </w:tc>
        <w:tc>
          <w:tcPr>
            <w:tcW w:w="25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Où l’utiliser</w:t>
            </w:r>
          </w:p>
        </w:tc>
      </w:tr>
      <w:tr>
        <w:trPr>
          <w:cantSplit w:val="true"/>
        </w:trPr>
        <w:tc>
          <w:tcPr>
            <w:tcW w:w="26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cortexskills · cortexskills.cmd</w:t>
            </w:r>
          </w:p>
        </w:tc>
        <w:tc>
          <w:tcPr>
            <w:tcW w:w="43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Le lanceur sous Linux et sous Windows : start, admin (console), secrets, backup, restore, version.</w:t>
            </w:r>
          </w:p>
        </w:tc>
        <w:tc>
          <w:tcPr>
            <w:tcW w:w="25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Scénarios a et b.</w:t>
            </w:r>
          </w:p>
        </w:tc>
      </w:tr>
      <w:tr>
        <w:trPr>
          <w:cantSplit w:val="true"/>
        </w:trPr>
        <w:tc>
          <w:tcPr>
            <w:tcW w:w="26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cslic · cslic.cmd · cslic-sauvegarder</w:t>
            </w:r>
          </w:p>
        </w:tc>
        <w:tc>
          <w:tcPr>
            <w:tcW w:w="43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Le gestionnaire de licences (importer, créer, lister, afficher, modifier, renouveler, révoquer, supprimer, vérifier) et la sauvegarde chiffrée du poste (Linux).</w:t>
            </w:r>
          </w:p>
        </w:tc>
        <w:tc>
          <w:tcPr>
            <w:tcW w:w="254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Votre poste uniquement : le poste de signature.</w:t>
            </w:r>
          </w:p>
        </w:tc>
      </w:tr>
      <w:tr>
        <w:trPr>
          <w:cantSplit w:val="true"/>
        </w:trPr>
        <w:tc>
          <w:tcPr>
            <w:tcW w:w="26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app/</w:t>
            </w:r>
          </w:p>
        </w:tc>
        <w:tc>
          <w:tcPr>
            <w:tcW w:w="43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CortexSkills, version éditeur (tarifs visibles), et le gestionnaire de licences, minifiés.</w:t>
            </w:r>
          </w:p>
        </w:tc>
        <w:tc>
          <w:tcPr>
            <w:tcW w:w="25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Scénarios a et b.</w:t>
            </w:r>
          </w:p>
        </w:tc>
      </w:tr>
      <w:tr>
        <w:trPr>
          <w:cantSplit w:val="true"/>
        </w:trPr>
        <w:tc>
          <w:tcPr>
            <w:tcW w:w="26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installer-service.sh · config/</w:t>
            </w:r>
          </w:p>
        </w:tc>
        <w:tc>
          <w:tcPr>
            <w:tcW w:w="43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Service systemd durci et exemple Nginx (HTTPS).</w:t>
            </w:r>
          </w:p>
        </w:tc>
        <w:tc>
          <w:tcPr>
            <w:tcW w:w="254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Scénario a.</w:t>
            </w:r>
          </w:p>
        </w:tc>
      </w:tr>
      <w:tr>
        <w:trPr>
          <w:cantSplit w:val="true"/>
        </w:trPr>
        <w:tc>
          <w:tcPr>
            <w:tcW w:w="26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poste-signature/</w:t>
            </w:r>
          </w:p>
        </w:tc>
        <w:tc>
          <w:tcPr>
            <w:tcW w:w="43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Votre paire de clés de signature (vendor-private.pem, vendor-public.pem), créée pour vous lors de la préparation des paquets ; les paquets contiennent la clé publique correspondante.</w:t>
            </w:r>
          </w:p>
        </w:tc>
        <w:tc>
          <w:tcPr>
            <w:tcW w:w="25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À importer une fois (cslic importer), puis à supprimer du paquet.</w:t>
            </w:r>
          </w:p>
        </w:tc>
      </w:tr>
      <w:tr>
        <w:trPr>
          <w:cantSplit w:val="true"/>
        </w:trPr>
        <w:tc>
          <w:tcPr>
            <w:tcW w:w="26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LISEZMOI.txt · README.txt</w:t>
            </w:r>
          </w:p>
        </w:tc>
        <w:tc>
          <w:tcPr>
            <w:tcW w:w="43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Rappel des commandes essentielles, en français et en anglais.</w:t>
            </w:r>
          </w:p>
        </w:tc>
        <w:tc>
          <w:tcPr>
            <w:tcW w:w="254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Votre poste.</w:t>
            </w:r>
          </w:p>
        </w:tc>
      </w:tr>
      <w:tr>
        <w:trPr>
          <w:cantSplit w:val="true"/>
        </w:trPr>
        <w:tc>
          <w:tcPr>
            <w:tcW w:w="26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Runtime_Customer_Linux_CortexSkills_1.15.1.tar.xz (fichier séparé)</w:t>
            </w:r>
          </w:p>
        </w:tc>
        <w:tc>
          <w:tcPr>
            <w:tcW w:w="43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L’exécutable client (Linux) : sans tarif ni élément commercial.</w:t>
            </w:r>
          </w:p>
        </w:tc>
        <w:tc>
          <w:tcPr>
            <w:tcW w:w="25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Envoyé tel quel aux clients avec son .sha256, le guide d’installation client et le guide utilisateur client.</w:t>
            </w:r>
          </w:p>
        </w:tc>
      </w:tr>
    </w:tbl>
    <w:p>
      <w:pPr>
        <w:pStyle w:val="Normal"/>
        <w:spacing w:before="0" w:after="120"/>
        <w:rPr/>
      </w:pPr>
      <w:r>
        <w:rPr/>
      </w:r>
    </w:p>
    <w:tbl>
      <w:tblPr>
        <w:tblW w:w="9638" w:type="dxa"/>
        <w:jc w:val="left"/>
        <w:tblInd w:w="0" w:type="dxa"/>
        <w:tblLayout w:type="fixed"/>
        <w:tblCellMar>
          <w:top w:w="160" w:type="dxa"/>
          <w:left w:w="220" w:type="dxa"/>
          <w:bottom w:w="160" w:type="dxa"/>
          <w:right w:w="220" w:type="dxa"/>
        </w:tblCellMar>
      </w:tblPr>
      <w:tblGrid>
        <w:gridCol w:w="9638"/>
      </w:tblGrid>
      <w:tr>
        <w:trPr/>
        <w:tc>
          <w:tcPr>
            <w:tcW w:w="9638" w:type="dxa"/>
            <w:tcBorders>
              <w:top w:val="single" w:sz="4" w:space="0" w:color="E1E8F0"/>
              <w:left w:val="single" w:sz="4" w:space="0" w:color="E1E8F0"/>
              <w:bottom w:val="single" w:sz="4" w:space="0" w:color="E1E8F0"/>
              <w:right w:val="single" w:sz="4" w:space="0" w:color="E1E8F0"/>
            </w:tcBorders>
            <w:shd w:color="auto" w:fill="E8F1FB" w:val="clear"/>
          </w:tcPr>
          <w:p>
            <w:pPr>
              <w:pStyle w:val="Normal"/>
              <w:spacing w:before="0" w:after="80"/>
              <w:rPr/>
            </w:pPr>
            <w:r>
              <w:rPr>
                <w:rFonts w:eastAsia="Montserrat" w:cs="Montserrat" w:ascii="Montserrat" w:hAnsi="Montserrat"/>
                <w:b/>
                <w:bCs/>
                <w:color w:val="123A5F"/>
                <w:sz w:val="22"/>
                <w:szCs w:val="22"/>
              </w:rPr>
              <w:t>Ce que contient le paquet — et ce qu’il ne contient pas</w:t>
            </w:r>
          </w:p>
          <w:p>
            <w:pPr>
              <w:pStyle w:val="Normal"/>
              <w:spacing w:lineRule="auto" w:line="288" w:before="0" w:after="60"/>
              <w:jc w:val="left"/>
              <w:rPr/>
            </w:pPr>
            <w:r>
              <w:rPr>
                <w:rFonts w:eastAsia="Open Sans" w:cs="Open Sans"/>
                <w:color w:val="2C3E50"/>
                <w:sz w:val="21"/>
                <w:szCs w:val="21"/>
              </w:rPr>
              <w:t>L’exécutable de production : le serveur minifié (fichier par fichier, sans commentaires, noms internes raccourcis), l’interface web compilée et minifiée (découpée par page, précompressée Brotli et gzip, sans source map) et les bibliothèques nécessaires à l’exécution.</w:t>
            </w:r>
          </w:p>
          <w:p>
            <w:pPr>
              <w:pStyle w:val="Normal"/>
              <w:spacing w:lineRule="auto" w:line="288" w:before="0" w:after="60"/>
              <w:jc w:val="left"/>
              <w:rPr/>
            </w:pPr>
            <w:r>
              <w:rPr>
                <w:rFonts w:eastAsia="Open Sans" w:cs="Open Sans"/>
                <w:color w:val="2C3E50"/>
                <w:sz w:val="21"/>
                <w:szCs w:val="21"/>
              </w:rPr>
              <w:t>La clé publique de l’éditeur : elle vérifie la licence, elle ne peut pas en créer.</w:t>
            </w:r>
          </w:p>
          <w:p>
            <w:pPr>
              <w:pStyle w:val="Normal"/>
              <w:spacing w:lineRule="auto" w:line="288" w:before="0" w:after="60"/>
              <w:jc w:val="left"/>
              <w:rPr/>
            </w:pPr>
            <w:r>
              <w:rPr>
                <w:rFonts w:eastAsia="Open Sans" w:cs="Open Sans"/>
                <w:color w:val="2C3E50"/>
                <w:sz w:val="21"/>
                <w:szCs w:val="21"/>
              </w:rPr>
              <w:t>Aucun code source lisible, aucun test, aucune source map, aucun outil de signature, aucune clé privée (sauf le dossier poste-signature/, chapitre 3).</w:t>
            </w:r>
          </w:p>
          <w:p>
            <w:pPr>
              <w:pStyle w:val="Normal"/>
              <w:spacing w:lineRule="auto" w:line="288" w:before="0" w:after="60"/>
              <w:jc w:val="left"/>
              <w:rPr/>
            </w:pPr>
            <w:r>
              <w:rPr>
                <w:rFonts w:eastAsia="Open Sans" w:cs="Open Sans"/>
                <w:color w:val="2C3E50"/>
                <w:sz w:val="21"/>
                <w:szCs w:val="21"/>
              </w:rPr>
              <w:t>Node.js n’est pas inclus : c’est un prérequis de la machine (Node.js 22 LTS, 22.13 ou plus récent ; version validée : 22.22.2). Le paquet tient ainsi en un seul fichier compressé.</w:t>
            </w:r>
          </w:p>
        </w:tc>
      </w:tr>
    </w:tbl>
    <w:p>
      <w:pPr>
        <w:pStyle w:val="Normal"/>
        <w:spacing w:lineRule="auto" w:line="288" w:before="0" w:after="160"/>
        <w:jc w:val="left"/>
        <w:rPr/>
      </w:pPr>
      <w:r>
        <w:rPr>
          <w:rFonts w:eastAsia="Open Sans" w:cs="Open Sans"/>
          <w:color w:val="5A6B7B"/>
          <w:sz w:val="20"/>
          <w:szCs w:val="20"/>
        </w:rPr>
        <w:t>Optimisations d’exécution : seuls les écrans ouverts sont chargés (le premier affichage charge environ 370 Ko de JavaScript au lieu de 2,2 Mo), les fichiers statiques sont servis précompressés et mis en cache par le navigateur pour un an (leur nom change à chaque version), et Node.js garde le code compilé entre deux démarrages (data/.node-compile-cache).</w:t>
      </w:r>
    </w:p>
    <w:p>
      <w:pPr>
        <w:pStyle w:val="Heading2"/>
        <w:keepNext w:val="true"/>
        <w:spacing w:before="320" w:after="120"/>
        <w:rPr/>
      </w:pPr>
      <w:bookmarkStart w:id="1" w:name="__RefHeading___Toc6401_3952465195"/>
      <w:bookmarkEnd w:id="1"/>
      <w:r>
        <w:rPr>
          <w:rFonts w:eastAsia="Montserrat" w:cs="Montserrat"/>
          <w:b/>
          <w:bCs/>
          <w:color w:val="123A5F"/>
          <w:sz w:val="32"/>
          <w:szCs w:val="32"/>
        </w:rPr>
        <w:t>1.1 Les données de référence</w:t>
      </w:r>
    </w:p>
    <w:p>
      <w:pPr>
        <w:pStyle w:val="Normal"/>
        <w:spacing w:lineRule="auto" w:line="288" w:before="0" w:after="160"/>
        <w:jc w:val="left"/>
        <w:rPr/>
      </w:pPr>
      <w:r>
        <w:rPr>
          <w:rFonts w:eastAsia="Open Sans" w:cs="Open Sans"/>
          <w:color w:val="2C3E50"/>
          <w:sz w:val="22"/>
          <w:szCs w:val="22"/>
        </w:rPr>
        <w:t>Au premier démarrage, l’installation charge 61 organisations de référence : 32 grandes entreprises et 29 PME, dans toutes les verticales (29 secteurs et un cas universel). Chacune a deux projets complets (orientation Numérique et IA) avec ses processus, tâches, étapes, questionnaires, plans, documents et indicateurs : ce sont des exemples à consulter, en français, anglais et arabe.</w:t>
      </w:r>
    </w:p>
    <w:tbl>
      <w:tblPr>
        <w:tblW w:w="9638" w:type="dxa"/>
        <w:jc w:val="left"/>
        <w:tblInd w:w="0" w:type="dxa"/>
        <w:tblLayout w:type="fixed"/>
        <w:tblCellMar>
          <w:top w:w="160" w:type="dxa"/>
          <w:left w:w="220" w:type="dxa"/>
          <w:bottom w:w="160" w:type="dxa"/>
          <w:right w:w="220" w:type="dxa"/>
        </w:tblCellMar>
      </w:tblPr>
      <w:tblGrid>
        <w:gridCol w:w="9638"/>
      </w:tblGrid>
      <w:tr>
        <w:trPr/>
        <w:tc>
          <w:tcPr>
            <w:tcW w:w="9638" w:type="dxa"/>
            <w:tcBorders>
              <w:top w:val="single" w:sz="4" w:space="0" w:color="E1E8F0"/>
              <w:left w:val="single" w:sz="4" w:space="0" w:color="E1E8F0"/>
              <w:bottom w:val="single" w:sz="4" w:space="0" w:color="E1E8F0"/>
              <w:right w:val="single" w:sz="4" w:space="0" w:color="E1E8F0"/>
            </w:tcBorders>
            <w:shd w:color="auto" w:fill="E8F1FB" w:val="clear"/>
          </w:tcPr>
          <w:p>
            <w:pPr>
              <w:pStyle w:val="Normal"/>
              <w:spacing w:before="0" w:after="80"/>
              <w:rPr/>
            </w:pPr>
            <w:r>
              <w:rPr>
                <w:rFonts w:eastAsia="Montserrat" w:cs="Montserrat" w:ascii="Montserrat" w:hAnsi="Montserrat"/>
                <w:b/>
                <w:bCs/>
                <w:color w:val="123A5F"/>
                <w:sz w:val="22"/>
                <w:szCs w:val="22"/>
              </w:rPr>
              <w:t>Aucun compte de démonstration</w:t>
            </w:r>
          </w:p>
          <w:p>
            <w:pPr>
              <w:pStyle w:val="Normal"/>
              <w:spacing w:lineRule="auto" w:line="288" w:before="0" w:after="60"/>
              <w:jc w:val="left"/>
              <w:rPr/>
            </w:pPr>
            <w:r>
              <w:rPr>
                <w:rFonts w:eastAsia="Open Sans" w:cs="Open Sans"/>
                <w:color w:val="2C3E50"/>
                <w:sz w:val="21"/>
                <w:szCs w:val="21"/>
              </w:rPr>
              <w:t>La page de connexion ne mentionne aucun compte ; aucun mot de passe de démonstration n’existe dans cette version de production.</w:t>
            </w:r>
          </w:p>
          <w:p>
            <w:pPr>
              <w:pStyle w:val="Normal"/>
              <w:spacing w:lineRule="auto" w:line="288" w:before="0" w:after="60"/>
              <w:jc w:val="left"/>
              <w:rPr/>
            </w:pPr>
            <w:r>
              <w:rPr>
                <w:rFonts w:eastAsia="Open Sans" w:cs="Open Sans"/>
                <w:color w:val="2C3E50"/>
                <w:sz w:val="21"/>
                <w:szCs w:val="21"/>
              </w:rPr>
              <w:t>Les personnes des organisations de référence ne peuvent pas se connecter : leurs comptes sont désactivés et leur mot de passe, tiré au hasard à l’installation, n’est connu de personne.</w:t>
            </w:r>
          </w:p>
          <w:p>
            <w:pPr>
              <w:pStyle w:val="Normal"/>
              <w:spacing w:lineRule="auto" w:line="288" w:before="0" w:after="60"/>
              <w:jc w:val="left"/>
              <w:rPr/>
            </w:pPr>
            <w:r>
              <w:rPr>
                <w:rFonts w:eastAsia="Open Sans" w:cs="Open Sans"/>
                <w:color w:val="2C3E50"/>
                <w:sz w:val="21"/>
                <w:szCs w:val="21"/>
              </w:rPr>
              <w:t>Seul l’administrateur de la plateforme (ADMIN_EMAIL) se connecte au départ ; il consulte les organisations de référence en lecture (Portefeuille › Groupes et organisations). Vos organisations clientes se créent avec la console (chapitre 6).</w:t>
            </w:r>
          </w:p>
          <w:p>
            <w:pPr>
              <w:pStyle w:val="Normal"/>
              <w:spacing w:lineRule="auto" w:line="288" w:before="0" w:after="60"/>
              <w:jc w:val="left"/>
              <w:rPr/>
            </w:pPr>
            <w:r>
              <w:rPr>
                <w:rFonts w:eastAsia="Open Sans" w:cs="Open Sans"/>
                <w:color w:val="2C3E50"/>
                <w:sz w:val="21"/>
                <w:szCs w:val="21"/>
              </w:rPr>
              <w:t>Elles n’ont pas de licence : elles ne comptent pas dans le nombre d’utilisateurs de votre licence. Pour une base vide, mettez REFERENCE_DATA=non dans .env avant le premier démarrage.</w:t>
            </w:r>
          </w:p>
        </w:tc>
      </w:tr>
    </w:tbl>
    <w:p>
      <w:pPr>
        <w:pStyle w:val="Normal"/>
        <w:spacing w:before="0" w:after="120"/>
        <w:rPr/>
      </w:pPr>
      <w:r>
        <w:rPr/>
      </w:r>
    </w:p>
    <w:tbl>
      <w:tblPr>
        <w:tblW w:w="9638" w:type="dxa"/>
        <w:jc w:val="left"/>
        <w:tblInd w:w="0" w:type="dxa"/>
        <w:tblLayout w:type="fixed"/>
        <w:tblCellMar>
          <w:top w:w="160" w:type="dxa"/>
          <w:left w:w="220" w:type="dxa"/>
          <w:bottom w:w="160" w:type="dxa"/>
          <w:right w:w="220" w:type="dxa"/>
        </w:tblCellMar>
      </w:tblPr>
      <w:tblGrid>
        <w:gridCol w:w="9638"/>
      </w:tblGrid>
      <w:tr>
        <w:trPr/>
        <w:tc>
          <w:tcPr>
            <w:tcW w:w="9638" w:type="dxa"/>
            <w:tcBorders>
              <w:top w:val="single" w:sz="4" w:space="0" w:color="E1E8F0"/>
              <w:left w:val="single" w:sz="4" w:space="0" w:color="E1E8F0"/>
              <w:bottom w:val="single" w:sz="4" w:space="0" w:color="E1E8F0"/>
              <w:right w:val="single" w:sz="4" w:space="0" w:color="E1E8F0"/>
            </w:tcBorders>
            <w:shd w:color="auto" w:fill="E8F1FB" w:val="clear"/>
          </w:tcPr>
          <w:p>
            <w:pPr>
              <w:pStyle w:val="Normal"/>
              <w:spacing w:before="0" w:after="80"/>
              <w:rPr/>
            </w:pPr>
            <w:r>
              <w:rPr>
                <w:rFonts w:eastAsia="Montserrat" w:cs="Montserrat" w:ascii="Montserrat" w:hAnsi="Montserrat"/>
                <w:b/>
                <w:bCs/>
                <w:color w:val="123A5F"/>
                <w:sz w:val="22"/>
                <w:szCs w:val="22"/>
              </w:rPr>
              <w:t>Comment l’application est protégée</w:t>
            </w:r>
          </w:p>
          <w:p>
            <w:pPr>
              <w:pStyle w:val="Normal"/>
              <w:spacing w:lineRule="auto" w:line="288" w:before="0" w:after="60"/>
              <w:jc w:val="left"/>
              <w:rPr/>
            </w:pPr>
            <w:r>
              <w:rPr>
                <w:rFonts w:eastAsia="Open Sans" w:cs="Open Sans"/>
                <w:color w:val="2C3E50"/>
                <w:sz w:val="21"/>
                <w:szCs w:val="21"/>
              </w:rPr>
              <w:t>Code minifié : chaque fichier du serveur est compacté (sans commentaires, noms internes raccourcis, mise en forme supprimée) ; l’interface est compilée et minifiée ; aucune source map, aucun test, aucun outil de signature. La construction du paquet vérifie qu’aucun fichier de l’application n’est lisible avant de produire le fichier.</w:t>
            </w:r>
          </w:p>
          <w:p>
            <w:pPr>
              <w:pStyle w:val="Normal"/>
              <w:spacing w:lineRule="auto" w:line="288" w:before="0" w:after="60"/>
              <w:jc w:val="left"/>
              <w:rPr/>
            </w:pPr>
            <w:r>
              <w:rPr>
                <w:rFonts w:eastAsia="Open Sans" w:cs="Open Sans"/>
                <w:color w:val="2C3E50"/>
                <w:sz w:val="21"/>
                <w:szCs w:val="21"/>
              </w:rPr>
              <w:t>Licence signée Ed25519 : le plan, le nombre d’utilisateurs, les add-ons et la date de fin viennent uniquement du fichier .lic ; un fichier modifié est refusé ; le client ne peut changer ni le plan ni les add-ons, ni dans l’écran ni par la console.</w:t>
            </w:r>
          </w:p>
          <w:p>
            <w:pPr>
              <w:pStyle w:val="Normal"/>
              <w:spacing w:lineRule="auto" w:line="288" w:before="0" w:after="60"/>
              <w:jc w:val="left"/>
              <w:rPr/>
            </w:pPr>
            <w:r>
              <w:rPr>
                <w:rFonts w:eastAsia="Open Sans" w:cs="Open Sans"/>
                <w:color w:val="2C3E50"/>
                <w:sz w:val="21"/>
                <w:szCs w:val="21"/>
              </w:rPr>
              <w:t>Mode figé : le paquet impose le mode sur site (licence obligatoire) et, côté client, l’absence d’information commerciale, quels que soient les réglages de .env.</w:t>
            </w:r>
          </w:p>
          <w:p>
            <w:pPr>
              <w:pStyle w:val="Normal"/>
              <w:spacing w:lineRule="auto" w:line="288" w:before="0" w:after="60"/>
              <w:jc w:val="left"/>
              <w:rPr/>
            </w:pPr>
            <w:r>
              <w:rPr>
                <w:rFonts w:eastAsia="Open Sans" w:cs="Open Sans"/>
                <w:color w:val="2C3E50"/>
                <w:sz w:val="21"/>
                <w:szCs w:val="21"/>
              </w:rPr>
              <w:t>Clé publique à un emplacement fixe dans app/ ; aucun réglage ne permet d’en désigner une autre. L’application refuse de démarrer si une clé privée se trouve dans son dossier.</w:t>
            </w:r>
          </w:p>
          <w:p>
            <w:pPr>
              <w:pStyle w:val="Normal"/>
              <w:spacing w:lineRule="auto" w:line="288" w:before="0" w:after="60"/>
              <w:jc w:val="left"/>
              <w:rPr/>
            </w:pPr>
            <w:r>
              <w:rPr>
                <w:rFonts w:eastAsia="Open Sans" w:cs="Open Sans"/>
                <w:color w:val="2C3E50"/>
                <w:sz w:val="21"/>
                <w:szCs w:val="21"/>
              </w:rPr>
              <w:t>Version client sans élément commercial : aucun prix, aucun devis, pas d’écran Tarifs ; les prix sont retirés jusque dans la base.</w:t>
            </w:r>
          </w:p>
          <w:p>
            <w:pPr>
              <w:pStyle w:val="Normal"/>
              <w:spacing w:lineRule="auto" w:line="288" w:before="0" w:after="60"/>
              <w:jc w:val="left"/>
              <w:rPr/>
            </w:pPr>
            <w:r>
              <w:rPr>
                <w:rFonts w:eastAsia="Open Sans" w:cs="Open Sans"/>
                <w:color w:val="2C3E50"/>
                <w:sz w:val="21"/>
                <w:szCs w:val="21"/>
              </w:rPr>
              <w:t>Service Linux non privilégié, en lecture seule sauf data/, port local uniquement.</w:t>
            </w:r>
          </w:p>
        </w:tc>
      </w:tr>
    </w:tbl>
    <w:p>
      <w:pPr>
        <w:pStyle w:val="Normal"/>
        <w:spacing w:lineRule="auto" w:line="288" w:before="0" w:after="160"/>
        <w:jc w:val="left"/>
        <w:rPr/>
      </w:pPr>
      <w:r>
        <w:rPr>
          <w:rFonts w:eastAsia="Open Sans" w:cs="Open Sans"/>
          <w:color w:val="5A6B7B"/>
          <w:sz w:val="20"/>
          <w:szCs w:val="20"/>
        </w:rPr>
        <w:t>Limite à connaître : du code minifié reste exécutable, donc lisible avec effort par un administrateur déterminé disposant de tous les droits sur le serveur ; c’est moins protégé que le paquet Docker, où le code n’est pas accessible sans extraire l’image. La protection technique se complète par le contrat (licence d’utilisation, interdiction de rétro-ingénierie, droit d’audit, nombre d’utilisateurs, date de fin).</w:t>
      </w:r>
      <w:r>
        <w:br w:type="page"/>
      </w:r>
    </w:p>
    <w:p>
      <w:pPr>
        <w:pStyle w:val="Heading1"/>
        <w:pBdr>
          <w:bottom w:val="single" w:sz="6" w:space="6" w:color="E1E8F0"/>
        </w:pBdr>
        <w:spacing w:before="0" w:after="240"/>
        <w:rPr/>
      </w:pPr>
      <w:bookmarkStart w:id="2" w:name="__RefHeading___Toc6403_3952465195"/>
      <w:bookmarkEnd w:id="2"/>
      <w:r>
        <w:rPr>
          <w:rFonts w:eastAsia="Montserrat" w:cs="Montserrat"/>
          <w:b/>
          <w:bCs/>
          <w:color w:val="123A5F"/>
          <w:sz w:val="40"/>
          <w:szCs w:val="40"/>
        </w:rPr>
        <w:t>2. Prérequis et préparation</w:t>
      </w:r>
    </w:p>
    <w:p>
      <w:pPr>
        <w:pStyle w:val="Heading2"/>
        <w:keepNext w:val="true"/>
        <w:spacing w:before="320" w:after="120"/>
        <w:rPr/>
      </w:pPr>
      <w:bookmarkStart w:id="3" w:name="__RefHeading___Toc6405_3952465195"/>
      <w:bookmarkEnd w:id="3"/>
      <w:r>
        <w:rPr>
          <w:rFonts w:eastAsia="Montserrat" w:cs="Montserrat"/>
          <w:b/>
          <w:bCs/>
          <w:color w:val="123A5F"/>
          <w:sz w:val="32"/>
          <w:szCs w:val="32"/>
        </w:rPr>
        <w:t>2.1 Machines</w:t>
      </w:r>
    </w:p>
    <w:tbl>
      <w:tblPr>
        <w:tblW w:w="9638" w:type="dxa"/>
        <w:jc w:val="left"/>
        <w:tblInd w:w="0" w:type="dxa"/>
        <w:tblLayout w:type="fixed"/>
        <w:tblCellMar>
          <w:top w:w="70" w:type="dxa"/>
          <w:left w:w="110" w:type="dxa"/>
          <w:bottom w:w="70" w:type="dxa"/>
          <w:right w:w="110" w:type="dxa"/>
        </w:tblCellMar>
      </w:tblPr>
      <w:tblGrid>
        <w:gridCol w:w="2997"/>
        <w:gridCol w:w="6640"/>
      </w:tblGrid>
      <w:tr>
        <w:trPr>
          <w:tblHeader w:val="true"/>
          <w:cantSplit w:val="true"/>
        </w:trPr>
        <w:tc>
          <w:tcPr>
            <w:tcW w:w="29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Machine</w:t>
            </w:r>
          </w:p>
        </w:tc>
        <w:tc>
          <w:tcPr>
            <w:tcW w:w="66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Besoin</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Serveur (scénario a)</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Linux 64 bits x86-64 avec glibc 2.28+ (Ubuntu 22.04 / 24.04, Debian 12, RHEL / Rocky / AlmaLinux 9), 2 vCPU, 4 Go de RAM, 20 Go de disque libre (4 vCPU / 8 Go au-delà de 100 utilisateurs actifs) ; Node.js 22 LTS ; systemd ; Nginx ; un nom DNS ; ports 80/443.</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Poste Windows (signature et scénario b)</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Windows 10 22H2 ou Windows 11, 64 bits (x64), 8 Go de RAM conseillés, 20 Go de disque libre ; Node.js 22 LTS. Ni WSL, ni Docker.</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Poste de signature sous Linux (au choix)</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Linux 64 bits x86-64 avec Node.js 22 ; unzip, sha256sum, openssl (pour cslic-sauvegarder).</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Internet</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Pas nécessaire pour installer CortexSkills une fois Node.js installé (serveurs et postes isolés possibles).</w:t>
            </w:r>
          </w:p>
        </w:tc>
      </w:tr>
    </w:tbl>
    <w:p>
      <w:pPr>
        <w:pStyle w:val="Heading2"/>
        <w:keepNext w:val="true"/>
        <w:spacing w:before="320" w:after="120"/>
        <w:rPr/>
      </w:pPr>
      <w:bookmarkStart w:id="4" w:name="__RefHeading___Toc6407_3952465195"/>
      <w:bookmarkEnd w:id="4"/>
      <w:r>
        <w:rPr>
          <w:rFonts w:eastAsia="Montserrat" w:cs="Montserrat"/>
          <w:b/>
          <w:bCs/>
          <w:color w:val="123A5F"/>
          <w:sz w:val="32"/>
          <w:szCs w:val="32"/>
        </w:rPr>
        <w:t>2.2 Installer Node.js 22</w:t>
      </w:r>
    </w:p>
    <w:p>
      <w:pPr>
        <w:pStyle w:val="Normal"/>
        <w:spacing w:lineRule="auto" w:line="288" w:before="0" w:after="160"/>
        <w:jc w:val="left"/>
        <w:rPr/>
      </w:pPr>
      <w:r>
        <w:rPr>
          <w:rFonts w:eastAsia="Open Sans" w:cs="Open Sans"/>
          <w:b/>
          <w:bCs/>
          <w:color w:val="2C3E50"/>
          <w:sz w:val="20"/>
          <w:szCs w:val="20"/>
        </w:rPr>
        <w:t xml:space="preserve">Windows. </w:t>
      </w:r>
      <w:r>
        <w:rPr>
          <w:rFonts w:eastAsia="Open Sans" w:cs="Open Sans"/>
          <w:color w:val="2C3E50"/>
          <w:sz w:val="20"/>
          <w:szCs w:val="20"/>
        </w:rPr>
        <w:t>Sur https://nodejs.org/fr/download, choisissez la version 22 (LTS), « Windows Installer (.msi) », x64 ; installez avec les options par défaut (ajout au PATH). Ouvrez une nouvelle invite de commandes : node -v affiche v22.x (22.13 ou plus ; version validée : 22.22.2).</w:t>
      </w:r>
    </w:p>
    <w:p>
      <w:pPr>
        <w:pStyle w:val="Normal"/>
        <w:spacing w:lineRule="auto" w:line="288" w:before="0" w:after="160"/>
        <w:jc w:val="left"/>
        <w:rPr/>
      </w:pPr>
      <w:r>
        <w:rPr>
          <w:rFonts w:eastAsia="Open Sans" w:cs="Open Sans"/>
          <w:b/>
          <w:bCs/>
          <w:color w:val="2C3E50"/>
          <w:sz w:val="20"/>
          <w:szCs w:val="20"/>
        </w:rPr>
        <w:t xml:space="preserve">Linux (serveur du scénario a, ou poste de signature). </w:t>
      </w:r>
    </w:p>
    <w:p>
      <w:pPr>
        <w:pStyle w:val="Normal"/>
        <w:spacing w:lineRule="auto" w:line="288" w:before="0" w:after="160"/>
        <w:jc w:val="left"/>
        <w:rPr/>
      </w:pPr>
      <w:r>
        <w:rPr>
          <w:rFonts w:eastAsia="Open Sans" w:cs="Open Sans"/>
          <w:color w:val="2C3E50"/>
          <w:sz w:val="22"/>
          <w:szCs w:val="22"/>
        </w:rPr>
        <w:t>Node.js 22 LTS (22.13 ou plus récent) doit être installé sur le serveur. Deux méthodes ; vérifiez ensuite avec node -v.</w:t>
      </w:r>
    </w:p>
    <w:p>
      <w:pPr>
        <w:pStyle w:val="Normal"/>
        <w:spacing w:lineRule="auto" w:line="288" w:before="0" w:after="160"/>
        <w:jc w:val="left"/>
        <w:rPr/>
      </w:pPr>
      <w:r>
        <w:rPr>
          <w:rFonts w:eastAsia="Open Sans" w:cs="Open Sans"/>
          <w:b/>
          <w:bCs/>
          <w:color w:val="2C3E50"/>
          <w:sz w:val="20"/>
          <w:szCs w:val="20"/>
        </w:rPr>
        <w:t xml:space="preserve">Méthode 1 — archive officielle (fonctionne aussi sans Internet sur le serveur). </w:t>
      </w:r>
      <w:r>
        <w:rPr>
          <w:rFonts w:eastAsia="Open Sans" w:cs="Open Sans"/>
          <w:color w:val="2C3E50"/>
          <w:sz w:val="20"/>
          <w:szCs w:val="20"/>
        </w:rPr>
        <w:t>Téléchargez node-v22.22.2-linux-x64.tar.xz et SHASUMS256.txt depuis https://nodejs.org/dist/v22.22.2/ (sur un poste connecté, puis copiez-les sur le serveur) :</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grep " node-v22.22.2-linux-x64.tar.xz$" SHASUMS256.txt | sha256sum -c -</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sudo tar -xJf node-v22.22.2-linux-x64.tar.xz -C /usr/local --strip-components=1</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node -v          # v22.22.2</w:t>
      </w:r>
    </w:p>
    <w:p>
      <w:pPr>
        <w:pStyle w:val="Normal"/>
        <w:spacing w:lineRule="auto" w:line="288" w:before="0" w:after="160"/>
        <w:jc w:val="left"/>
        <w:rPr/>
      </w:pPr>
      <w:r>
        <w:rPr>
          <w:rFonts w:eastAsia="Open Sans" w:cs="Open Sans"/>
          <w:b/>
          <w:bCs/>
          <w:color w:val="2C3E50"/>
          <w:sz w:val="20"/>
          <w:szCs w:val="20"/>
        </w:rPr>
        <w:t xml:space="preserve">Méthode 2 — dépôt NodeSource (serveur connecté à Internet). </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 Ubuntu, Debian</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curl -fsSL https://deb.nodesource.com/setup_22.x | sudo -E bash - &amp;&amp; sudo apt-get install -y nodejs</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 RHEL, Rocky, AlmaLinux</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curl -fsSL https://rpm.nodesource.com/setup_22.x | sudo bash - &amp;&amp; sudo dnf install -y nodejs</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node -v          # v22.x (22.13 ou plus)</w:t>
      </w:r>
    </w:p>
    <w:p>
      <w:pPr>
        <w:pStyle w:val="Normal"/>
        <w:spacing w:lineRule="auto" w:line="288" w:before="0" w:after="160"/>
        <w:jc w:val="left"/>
        <w:rPr/>
      </w:pPr>
      <w:r>
        <w:rPr>
          <w:rFonts w:eastAsia="Open Sans" w:cs="Open Sans"/>
          <w:color w:val="5A6B7B"/>
          <w:sz w:val="20"/>
          <w:szCs w:val="20"/>
        </w:rPr>
        <w:t>Le paquet nodejs des dépôts standard d’Ubuntu ou de Debian est trop ancien (18 ou 20) : n’utilisez pas « apt install nodejs » sans NodeSource. Si Node.js est installé ailleurs, indiquez son chemin dans la variable CORTEXSKILLS_NODE (par exemple /opt/node22/bin/node).</w:t>
      </w:r>
    </w:p>
    <w:p>
      <w:pPr>
        <w:pStyle w:val="Heading2"/>
        <w:keepNext w:val="true"/>
        <w:spacing w:before="320" w:after="120"/>
        <w:rPr/>
      </w:pPr>
      <w:bookmarkStart w:id="5" w:name="__RefHeading___Toc6409_3952465195"/>
      <w:bookmarkEnd w:id="5"/>
      <w:r>
        <w:rPr>
          <w:rFonts w:eastAsia="Montserrat" w:cs="Montserrat"/>
          <w:b/>
          <w:bCs/>
          <w:color w:val="123A5F"/>
          <w:sz w:val="32"/>
          <w:szCs w:val="32"/>
        </w:rPr>
        <w:t>2.3 Vérifier et décompresser le paquet</w:t>
      </w:r>
    </w:p>
    <w:p>
      <w:pPr>
        <w:pStyle w:val="Normal"/>
        <w:spacing w:lineRule="auto" w:line="288" w:before="0" w:after="160"/>
        <w:jc w:val="left"/>
        <w:rPr/>
      </w:pPr>
      <w:r>
        <w:rPr>
          <w:rFonts w:eastAsia="Open Sans" w:cs="Open Sans"/>
          <w:color w:val="2C3E50"/>
          <w:sz w:val="22"/>
          <w:szCs w:val="22"/>
        </w:rPr>
        <w:t>Sous Windows, dans PowerShell (le dossier C:\CortexSkills est un exemple ; évitez « Program Files », protégé en écriture) :</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cd $env:USERPROFILE\Downloads</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(Get-FileHash Runtime_Editor_Linux_Windows_CortexSkills_1.15.1.zip -Algorithm SHA256).Hash.ToLower()     # identique au contenu du .sha256</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Unblock-File Runtime_Editor_Linux_Windows_CortexSkills_1.15.1.zip</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Expand-Archive Runtime_Editor_Linux_Windows_CortexSkills_1.15.1.zip -DestinationPath C:\CortexSkills</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cd C:\CortexSkills\Runtime_Editor_Linux_Windows_CortexSkills_1.15.1</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.\cortexskills.cmd version</w:t>
      </w:r>
    </w:p>
    <w:p>
      <w:pPr>
        <w:pStyle w:val="Normal"/>
        <w:spacing w:lineRule="auto" w:line="288" w:before="0" w:after="160"/>
        <w:jc w:val="left"/>
        <w:rPr/>
      </w:pPr>
      <w:r>
        <w:rPr>
          <w:rFonts w:eastAsia="Open Sans" w:cs="Open Sans"/>
          <w:color w:val="2C3E50"/>
          <w:sz w:val="20"/>
          <w:szCs w:val="20"/>
        </w:rPr>
        <w:t>Unblock-File retire la marque « téléchargé depuis Internet » : sans elle, Windows SmartScreen demande une confirmation à chaque lancement d’un .cmd.</w:t>
      </w:r>
    </w:p>
    <w:p>
      <w:pPr>
        <w:pStyle w:val="Normal"/>
        <w:spacing w:lineRule="auto" w:line="288" w:before="0" w:after="160"/>
        <w:jc w:val="left"/>
        <w:rPr/>
      </w:pPr>
      <w:r>
        <w:rPr>
          <w:rFonts w:eastAsia="Open Sans" w:cs="Open Sans"/>
          <w:color w:val="2C3E50"/>
          <w:sz w:val="22"/>
          <w:szCs w:val="22"/>
        </w:rPr>
        <w:t>Sous Linux :</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sha256sum -c Runtime_Editor_Linux_Windows_CortexSkills_1.15.1.zip.sha256 &amp;&amp; unzip -q Runtime_Editor_Linux_Windows_CortexSkills_1.15.1.zip -d ~/cortexskills &amp;&amp; cd ~/cortexskills/Runtime_Editor_Linux_Windows_CortexSkills_1.15.1</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sha256sum -c --quiet SHA256SUMS.txt &amp;&amp; echo "contenu intact"</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./cortexskills version</w:t>
      </w:r>
      <w:r>
        <w:br w:type="page"/>
      </w:r>
    </w:p>
    <w:p>
      <w:pPr>
        <w:pStyle w:val="Heading1"/>
        <w:pBdr>
          <w:bottom w:val="single" w:sz="6" w:space="6" w:color="E1E8F0"/>
        </w:pBdr>
        <w:spacing w:before="0" w:after="240"/>
        <w:rPr/>
      </w:pPr>
      <w:bookmarkStart w:id="6" w:name="__RefHeading___Toc6411_3952465195"/>
      <w:bookmarkEnd w:id="6"/>
      <w:r>
        <w:rPr>
          <w:rFonts w:eastAsia="Montserrat" w:cs="Montserrat"/>
          <w:b/>
          <w:bCs/>
          <w:color w:val="123A5F"/>
          <w:sz w:val="40"/>
          <w:szCs w:val="40"/>
        </w:rPr>
        <w:t>3. Le poste de signature (une seule fois)</w:t>
      </w:r>
    </w:p>
    <w:p>
      <w:pPr>
        <w:pStyle w:val="Normal"/>
        <w:spacing w:lineRule="auto" w:line="288" w:before="0" w:after="160"/>
        <w:jc w:val="left"/>
        <w:rPr/>
      </w:pPr>
      <w:r>
        <w:rPr>
          <w:rFonts w:eastAsia="Open Sans" w:cs="Open Sans"/>
          <w:color w:val="2C3E50"/>
          <w:sz w:val="22"/>
          <w:szCs w:val="22"/>
        </w:rPr>
        <w:t>Le poste de signature est votre poste de travail, Windows ou Linux. Dans le dossier du paquet :</w:t>
      </w:r>
    </w:p>
    <w:p>
      <w:pPr>
        <w:pStyle w:val="ListParagraph"/>
        <w:numPr>
          <w:ilvl w:val="0"/>
          <w:numId w:val="0"/>
        </w:numPr>
        <w:spacing w:lineRule="auto" w:line="288" w:before="0" w:after="80"/>
        <w:ind w:hanging="0" w:left="0"/>
        <w:rPr/>
      </w:pPr>
      <w:r>
        <w:rPr>
          <w:rFonts w:eastAsia="Open Sans" w:cs="Open Sans"/>
          <w:color w:val="2C3E50"/>
          <w:sz w:val="22"/>
          <w:szCs w:val="22"/>
        </w:rPr>
        <w:t>Installez votre paire de clés et créez le registre des licences, puis supprimez le dossier poste-signature :</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 Windows (PowerShell, dans C:\CortexSkills\Runtime_Editor_Linux_Windows_CortexSkills_1.15.1)</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.\cslic.cmd importer poste-signature</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icacls $env:USERPROFILE\.cortexskills-editeur /inheritance:r /grant:r "$($env:USERNAME):(OI)(CI)F"</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Remove-Item -Recurse poste-signature</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 Linux</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./cslic importer poste-signature &amp;&amp; rm -r poste-signature</w:t>
      </w:r>
    </w:p>
    <w:p>
      <w:pPr>
        <w:pStyle w:val="Normal"/>
        <w:spacing w:lineRule="auto" w:line="288" w:before="0" w:after="160"/>
        <w:jc w:val="left"/>
        <w:rPr/>
      </w:pPr>
      <w:r>
        <w:rPr>
          <w:rFonts w:eastAsia="Open Sans" w:cs="Open Sans"/>
          <w:color w:val="2C3E50"/>
          <w:sz w:val="20"/>
          <w:szCs w:val="20"/>
        </w:rPr>
        <w:t>cslic enregistre tout dans %USERPROFILE%\.cortexskills-editeur (Windows) ou ~/.cortexskills-editeur (Linux) : cles/vendor-private.pem (secrète), cles/vendor-public.pem, registre.json, licences/, archives/ et journal.log. La commande icacls réserve ce dossier à votre compte Windows ; sous Linux, cslic le crée avec les droits 700. cslic affiche l’empreinte de la clé publique : notez-la, vos clients peuvent la comparer.</w:t>
      </w:r>
    </w:p>
    <w:p>
      <w:pPr>
        <w:pStyle w:val="ListParagraph"/>
        <w:numPr>
          <w:ilvl w:val="0"/>
          <w:numId w:val="0"/>
        </w:numPr>
        <w:spacing w:lineRule="auto" w:line="288" w:before="0" w:after="80"/>
        <w:ind w:hanging="0" w:left="0"/>
        <w:rPr/>
      </w:pPr>
      <w:r>
        <w:rPr>
          <w:rFonts w:eastAsia="Open Sans" w:cs="Open Sans"/>
          <w:color w:val="2C3E50"/>
          <w:sz w:val="22"/>
          <w:szCs w:val="22"/>
        </w:rPr>
        <w:t>Sauvegardez immédiatement le poste de signature, hors ligne et chiffré :</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 Linux : archive chiffrée AES-256 (mot de passe demandé)</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./cslic-sauvegarder ~/coffre           # → cortexskills-editeur-AAAA-MM-JJ.tar.gz.enc</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 restauration : openssl enc -d -aes-256-cbc -pbkdf2 -in &lt;fichier.enc&gt; | tar -xz -C ~</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 Windows : archive 7-Zip chiffrée (AES-256), à conserver hors ligne</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&amp; "C:\Program Files\7-Zip\7z.exe" a -p -mhe=on "$env:USERPROFILE\Documents\cortexskills-editeur-$(Get-Date -f yyyy-MM-dd).7z" "$env:USERPROFILE\.cortexskills-editeur"</w:t>
      </w:r>
    </w:p>
    <w:tbl>
      <w:tblPr>
        <w:tblW w:w="9638" w:type="dxa"/>
        <w:jc w:val="left"/>
        <w:tblInd w:w="0" w:type="dxa"/>
        <w:tblLayout w:type="fixed"/>
        <w:tblCellMar>
          <w:top w:w="160" w:type="dxa"/>
          <w:left w:w="220" w:type="dxa"/>
          <w:bottom w:w="160" w:type="dxa"/>
          <w:right w:w="220" w:type="dxa"/>
        </w:tblCellMar>
      </w:tblPr>
      <w:tblGrid>
        <w:gridCol w:w="9638"/>
      </w:tblGrid>
      <w:tr>
        <w:trPr/>
        <w:tc>
          <w:tcPr>
            <w:tcW w:w="963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80"/>
              <w:rPr/>
            </w:pPr>
            <w:r>
              <w:rPr>
                <w:rFonts w:eastAsia="Montserrat" w:cs="Montserrat" w:ascii="Montserrat" w:hAnsi="Montserrat"/>
                <w:b/>
                <w:bCs/>
                <w:color w:val="123A5F"/>
                <w:sz w:val="22"/>
                <w:szCs w:val="22"/>
              </w:rPr>
              <w:t>Règles de la clé privée</w:t>
            </w:r>
          </w:p>
          <w:p>
            <w:pPr>
              <w:pStyle w:val="Normal"/>
              <w:spacing w:lineRule="auto" w:line="288" w:before="0" w:after="60"/>
              <w:jc w:val="left"/>
              <w:rPr/>
            </w:pPr>
            <w:r>
              <w:rPr>
                <w:rFonts w:eastAsia="Open Sans" w:cs="Open Sans"/>
                <w:color w:val="2C3E50"/>
                <w:sz w:val="21"/>
                <w:szCs w:val="21"/>
              </w:rPr>
              <w:t>Elle ne quitte jamais votre poste : ni serveur du scénario a, ni client, ni messagerie, ni dépôt de code.</w:t>
            </w:r>
          </w:p>
          <w:p>
            <w:pPr>
              <w:pStyle w:val="Normal"/>
              <w:spacing w:lineRule="auto" w:line="288" w:before="0" w:after="60"/>
              <w:jc w:val="left"/>
              <w:rPr/>
            </w:pPr>
            <w:r>
              <w:rPr>
                <w:rFonts w:eastAsia="Open Sans" w:cs="Open Sans"/>
                <w:color w:val="2C3E50"/>
                <w:sz w:val="21"/>
                <w:szCs w:val="21"/>
              </w:rPr>
              <w:t>Si elle est perdue, vous ne pouvez plus émettre ni renouveler de licence ; si elle est divulguée, n’importe qui peut en émettre. Dans les deux cas, il faut une nouvelle paire de clés et de nouveaux paquets et licences pour tous les clients.</w:t>
            </w:r>
          </w:p>
          <w:p>
            <w:pPr>
              <w:pStyle w:val="Normal"/>
              <w:spacing w:lineRule="auto" w:line="288" w:before="0" w:after="60"/>
              <w:jc w:val="left"/>
              <w:rPr/>
            </w:pPr>
            <w:r>
              <w:rPr>
                <w:rFonts w:eastAsia="Open Sans" w:cs="Open Sans"/>
                <w:color w:val="2C3E50"/>
                <w:sz w:val="21"/>
                <w:szCs w:val="21"/>
              </w:rPr>
              <w:t>Sur un autre poste, restaurez la sauvegarde chiffrée ; ne créez pas de nouvelle paire (cslic init), sauf changement de clés volontaire (chapitre 7).</w:t>
            </w:r>
          </w:p>
          <w:p>
            <w:pPr>
              <w:pStyle w:val="Normal"/>
              <w:spacing w:lineRule="auto" w:line="288" w:before="0" w:after="60"/>
              <w:jc w:val="left"/>
              <w:rPr/>
            </w:pPr>
            <w:r>
              <w:rPr>
                <w:rFonts w:eastAsia="Open Sans" w:cs="Open Sans"/>
                <w:color w:val="2C3E50"/>
                <w:sz w:val="21"/>
                <w:szCs w:val="21"/>
              </w:rPr>
              <w:t>Cette paire a été créée pour vous lors de la préparation des paquets : elle n’est conservée nulle part ailleurs que dans le paquet éditeur. Après l’import et la sauvegarde, supprimez aussi le fichier zip reçu.</w:t>
            </w:r>
          </w:p>
        </w:tc>
      </w:tr>
    </w:tbl>
    <w:p>
      <w:pPr>
        <w:pStyle w:val="Normal"/>
        <w:spacing w:lineRule="auto" w:line="288" w:before="0" w:after="160"/>
        <w:jc w:val="left"/>
        <w:rPr/>
      </w:pPr>
      <w:r>
        <w:rPr>
          <w:rFonts w:eastAsia="Open Sans" w:cs="Open Sans"/>
          <w:color w:val="2C3E50"/>
          <w:sz w:val="20"/>
          <w:szCs w:val="20"/>
        </w:rPr>
        <w:t>Pour taper simplement « cslic » : Windows, ajoutez C:\CortexSkills\Runtime_Editor_Linux_Windows_CortexSkills_1.15.1 à la variable PATH de votre compte ; Linux, alias cslic="$HOME/cortexskills/Runtime_Editor_Linux_Windows_CortexSkills_1.15.1/cslic" dans ~/.bashrc.</w:t>
      </w:r>
      <w:r>
        <w:br w:type="page"/>
      </w:r>
    </w:p>
    <w:p>
      <w:pPr>
        <w:pStyle w:val="Heading1"/>
        <w:pBdr>
          <w:bottom w:val="single" w:sz="6" w:space="6" w:color="E1E8F0"/>
        </w:pBdr>
        <w:spacing w:before="0" w:after="240"/>
        <w:rPr/>
      </w:pPr>
      <w:bookmarkStart w:id="7" w:name="__RefHeading___Toc6413_3952465195"/>
      <w:bookmarkEnd w:id="7"/>
      <w:r>
        <w:rPr>
          <w:rFonts w:eastAsia="Montserrat" w:cs="Montserrat"/>
          <w:b/>
          <w:bCs/>
          <w:color w:val="123A5F"/>
          <w:sz w:val="40"/>
          <w:szCs w:val="40"/>
        </w:rPr>
        <w:t>4. Scénario a — Cloud privé ou sur site (serveur Linux)</w:t>
      </w:r>
    </w:p>
    <w:p>
      <w:pPr>
        <w:pStyle w:val="Normal"/>
        <w:spacing w:lineRule="auto" w:line="288" w:before="0" w:after="160"/>
        <w:jc w:val="left"/>
        <w:rPr/>
      </w:pPr>
      <w:r>
        <w:rPr>
          <w:rFonts w:eastAsia="Open Sans" w:cs="Open Sans"/>
          <w:color w:val="2C3E50"/>
          <w:sz w:val="22"/>
          <w:szCs w:val="22"/>
        </w:rPr>
        <w:t>Sur un serveur Linux que vous administrez — cloud privé, serveur sur site ou VPS — pour un pilote ou une démonstration en HTTPS. Mêmes protections que chez un client ; la signature reste sur votre poste : ne copiez jamais poste-signature/ ni le dossier .cortexskills-editeur sur le serveur.</w:t>
      </w:r>
    </w:p>
    <w:p>
      <w:pPr>
        <w:pStyle w:val="Heading2"/>
        <w:keepNext w:val="true"/>
        <w:spacing w:before="320" w:after="120"/>
        <w:rPr/>
      </w:pPr>
      <w:bookmarkStart w:id="8" w:name="__RefHeading___Toc6415_3952465195"/>
      <w:bookmarkEnd w:id="8"/>
      <w:r>
        <w:rPr>
          <w:rFonts w:eastAsia="Montserrat" w:cs="Montserrat"/>
          <w:b/>
          <w:bCs/>
          <w:color w:val="123A5F"/>
          <w:sz w:val="32"/>
          <w:szCs w:val="32"/>
        </w:rPr>
        <w:t>4.1 Node.js, copie et décompression sur le serveur</w:t>
      </w:r>
    </w:p>
    <w:p>
      <w:pPr>
        <w:pStyle w:val="Normal"/>
        <w:spacing w:lineRule="auto" w:line="288" w:before="0" w:after="160"/>
        <w:jc w:val="left"/>
        <w:rPr/>
      </w:pPr>
      <w:r>
        <w:rPr>
          <w:rFonts w:eastAsia="Open Sans" w:cs="Open Sans"/>
          <w:color w:val="2C3E50"/>
          <w:sz w:val="20"/>
          <w:szCs w:val="20"/>
        </w:rPr>
        <w:t>Installez Node.js 22 sur le serveur (2.2, partie Linux), puis :</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scp Runtime_Editor_Linux_Windows_CortexSkills_1.15.1.zip Runtime_Editor_Linux_Windows_CortexSkills_1.15.1.zip.sha256 user@server:~      # depuis votre poste</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 sur le serveur</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sudo apt -y install unzip nginx certbot python3-certbot-nginx</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sha256sum -c Runtime_Editor_Linux_Windows_CortexSkills_1.15.1.zip.sha256</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sudo unzip -q Runtime_Editor_Linux_Windows_CortexSkills_1.15.1.zip -d /opt &amp;&amp; sudo mv /opt/Runtime_Editor_Linux_Windows_CortexSkills_1.15.1 /opt/cortexskills</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cd /opt/cortexskills &amp;&amp; sudo rm -rf poste-signature *.cmd</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sudo ufw allow OpenSSH &amp;&amp; sudo ufw allow 80/tcp &amp;&amp; sudo ufw allow 443/tcp &amp;&amp; sudo ufw enable</w:t>
      </w:r>
    </w:p>
    <w:p>
      <w:pPr>
        <w:pStyle w:val="Normal"/>
        <w:spacing w:lineRule="auto" w:line="288" w:before="0" w:after="160"/>
        <w:jc w:val="left"/>
        <w:rPr/>
      </w:pPr>
      <w:r>
        <w:rPr>
          <w:rFonts w:eastAsia="Open Sans" w:cs="Open Sans"/>
          <w:color w:val="2C3E50"/>
          <w:sz w:val="20"/>
          <w:szCs w:val="20"/>
        </w:rPr>
        <w:t>Le dossier poste-signature/ et les lanceurs Windows sont retirés du serveur : ils n’y servent pas, et la clé privée ne doit jamais s’y trouver (l’application refuse de démarrer si elle en trouve une dans son dossier).</w:t>
      </w:r>
    </w:p>
    <w:p>
      <w:pPr>
        <w:pStyle w:val="Heading2"/>
        <w:keepNext w:val="true"/>
        <w:spacing w:before="320" w:after="120"/>
        <w:rPr/>
      </w:pPr>
      <w:bookmarkStart w:id="9" w:name="__RefHeading___Toc6417_3952465195"/>
      <w:bookmarkEnd w:id="9"/>
      <w:r>
        <w:rPr>
          <w:rFonts w:eastAsia="Montserrat" w:cs="Montserrat"/>
          <w:b/>
          <w:bCs/>
          <w:color w:val="123A5F"/>
          <w:sz w:val="32"/>
          <w:szCs w:val="32"/>
        </w:rPr>
        <w:t>4.2 Réglages</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sudo cp env.example .env</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./cortexskills secrets</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sudo nano .env</w:t>
      </w:r>
    </w:p>
    <w:tbl>
      <w:tblPr>
        <w:tblW w:w="9638" w:type="dxa"/>
        <w:jc w:val="left"/>
        <w:tblInd w:w="0" w:type="dxa"/>
        <w:tblLayout w:type="fixed"/>
        <w:tblCellMar>
          <w:top w:w="70" w:type="dxa"/>
          <w:left w:w="110" w:type="dxa"/>
          <w:bottom w:w="70" w:type="dxa"/>
          <w:right w:w="110" w:type="dxa"/>
        </w:tblCellMar>
      </w:tblPr>
      <w:tblGrid>
        <w:gridCol w:w="2397"/>
        <w:gridCol w:w="4796"/>
        <w:gridCol w:w="2445"/>
      </w:tblGrid>
      <w:tr>
        <w:trPr>
          <w:tblHeader w:val="true"/>
          <w:cantSplit w:val="true"/>
        </w:trPr>
        <w:tc>
          <w:tcPr>
            <w:tcW w:w="23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Réglage</w:t>
            </w:r>
          </w:p>
        </w:tc>
        <w:tc>
          <w:tcPr>
            <w:tcW w:w="47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Valeur</w:t>
            </w:r>
          </w:p>
        </w:tc>
        <w:tc>
          <w:tcPr>
            <w:tcW w:w="244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Exemple</w:t>
            </w:r>
          </w:p>
        </w:tc>
      </w:tr>
      <w:tr>
        <w:trPr>
          <w:cantSplit w:val="true"/>
        </w:trPr>
        <w:tc>
          <w:tcPr>
            <w:tcW w:w="23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PUBLIC_URL</w:t>
            </w:r>
          </w:p>
        </w:tc>
        <w:tc>
          <w:tcPr>
            <w:tcW w:w="4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L’adresse saisie par les utilisateurs, en HTTPS ; elle figure dans les liens envoyés par e-mail et WhatsApp.</w:t>
            </w:r>
          </w:p>
        </w:tc>
        <w:tc>
          <w:tcPr>
            <w:tcW w:w="24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https://competences.votre-entreprise.ma</w:t>
            </w:r>
          </w:p>
        </w:tc>
      </w:tr>
      <w:tr>
        <w:trPr>
          <w:cantSplit w:val="true"/>
        </w:trPr>
        <w:tc>
          <w:tcPr>
            <w:tcW w:w="23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CORS_ORIGIN</w:t>
            </w:r>
          </w:p>
        </w:tc>
        <w:tc>
          <w:tcPr>
            <w:tcW w:w="4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La même adresse.</w:t>
            </w:r>
          </w:p>
        </w:tc>
        <w:tc>
          <w:tcPr>
            <w:tcW w:w="24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https://competences.votre-entreprise.ma</w:t>
            </w:r>
          </w:p>
        </w:tc>
      </w:tr>
      <w:tr>
        <w:trPr>
          <w:cantSplit w:val="true"/>
        </w:trPr>
        <w:tc>
          <w:tcPr>
            <w:tcW w:w="23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HOST, PORT</w:t>
            </w:r>
          </w:p>
        </w:tc>
        <w:tc>
          <w:tcPr>
            <w:tcW w:w="4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Interface et port d’écoute. 127.0.0.1 : seul le reverse proxy (ou le navigateur local) y accède.</w:t>
            </w:r>
          </w:p>
        </w:tc>
        <w:tc>
          <w:tcPr>
            <w:tcW w:w="24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127.0.0.1, 4000</w:t>
            </w:r>
          </w:p>
        </w:tc>
      </w:tr>
      <w:tr>
        <w:trPr>
          <w:cantSplit w:val="true"/>
        </w:trPr>
        <w:tc>
          <w:tcPr>
            <w:tcW w:w="23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JWT_SECRET</w:t>
            </w:r>
          </w:p>
        </w:tc>
        <w:tc>
          <w:tcPr>
            <w:tcW w:w="4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Valeur aléatoire de 32 caractères ou plus (signe les sessions).</w:t>
            </w:r>
          </w:p>
        </w:tc>
        <w:tc>
          <w:tcPr>
            <w:tcW w:w="24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affichée par « cortexskills secrets »</w:t>
            </w:r>
          </w:p>
        </w:tc>
      </w:tr>
      <w:tr>
        <w:trPr>
          <w:cantSplit w:val="true"/>
        </w:trPr>
        <w:tc>
          <w:tcPr>
            <w:tcW w:w="23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CHANNEL_SECRET_KEY</w:t>
            </w:r>
          </w:p>
        </w:tc>
        <w:tc>
          <w:tcPr>
            <w:tcW w:w="4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Autre valeur aléatoire (chiffre les identifiants enregistrés).</w:t>
            </w:r>
          </w:p>
        </w:tc>
        <w:tc>
          <w:tcPr>
            <w:tcW w:w="24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affichée par « cortexskills secrets »</w:t>
            </w:r>
          </w:p>
        </w:tc>
      </w:tr>
      <w:tr>
        <w:trPr>
          <w:cantSplit w:val="true"/>
        </w:trPr>
        <w:tc>
          <w:tcPr>
            <w:tcW w:w="23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ADMIN_EMAIL, ADMIN_NAME, ADMIN_PASSWORD</w:t>
            </w:r>
          </w:p>
        </w:tc>
        <w:tc>
          <w:tcPr>
            <w:tcW w:w="4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L’administrateur de la plateforme, créé au premier démarrage. Mot de passe : 12 caractères min., majuscule, minuscule, chiffre, symbole. Effacez ADMIN_PASSWORD ensuite.</w:t>
            </w:r>
          </w:p>
        </w:tc>
        <w:tc>
          <w:tcPr>
            <w:tcW w:w="24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it.ops@votre-entreprise.ma</w:t>
            </w:r>
          </w:p>
        </w:tc>
      </w:tr>
      <w:tr>
        <w:trPr>
          <w:cantSplit w:val="true"/>
        </w:trPr>
        <w:tc>
          <w:tcPr>
            <w:tcW w:w="23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REFERENCE_DATA</w:t>
            </w:r>
          </w:p>
        </w:tc>
        <w:tc>
          <w:tcPr>
            <w:tcW w:w="4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Premier démarrage : « oui » charge les organisations de référence ; « non » crée une base vide.</w:t>
            </w:r>
          </w:p>
        </w:tc>
        <w:tc>
          <w:tcPr>
            <w:tcW w:w="24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oui</w:t>
            </w:r>
          </w:p>
        </w:tc>
      </w:tr>
      <w:tr>
        <w:trPr>
          <w:cantSplit w:val="true"/>
        </w:trPr>
        <w:tc>
          <w:tcPr>
            <w:tcW w:w="23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DATA_DIR</w:t>
            </w:r>
          </w:p>
        </w:tc>
        <w:tc>
          <w:tcPr>
            <w:tcW w:w="4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Facultatif : dossier des données. Par défaut data/ dans le dossier du paquet.</w:t>
            </w:r>
          </w:p>
        </w:tc>
        <w:tc>
          <w:tcPr>
            <w:tcW w:w="24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/var/lib/cortexskills</w:t>
            </w:r>
          </w:p>
        </w:tc>
      </w:tr>
      <w:tr>
        <w:trPr>
          <w:cantSplit w:val="true"/>
        </w:trPr>
        <w:tc>
          <w:tcPr>
            <w:tcW w:w="23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BACKUP_RETENTION_DAYS</w:t>
            </w:r>
          </w:p>
        </w:tc>
        <w:tc>
          <w:tcPr>
            <w:tcW w:w="4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Jours de conservation des sauvegardes quotidiennes (environ 0,8 Go chacune).</w:t>
            </w:r>
          </w:p>
        </w:tc>
        <w:tc>
          <w:tcPr>
            <w:tcW w:w="24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7</w:t>
            </w:r>
          </w:p>
        </w:tc>
      </w:tr>
      <w:tr>
        <w:trPr>
          <w:cantSplit w:val="true"/>
        </w:trPr>
        <w:tc>
          <w:tcPr>
            <w:tcW w:w="23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SMTP_*</w:t>
            </w:r>
          </w:p>
        </w:tc>
        <w:tc>
          <w:tcPr>
            <w:tcW w:w="4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Votre messagerie pour les invitations, relances et notifications.</w:t>
            </w:r>
          </w:p>
        </w:tc>
        <w:tc>
          <w:tcPr>
            <w:tcW w:w="24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smtp.votre-entreprise.ma, 587</w:t>
            </w:r>
          </w:p>
        </w:tc>
      </w:tr>
      <w:tr>
        <w:trPr>
          <w:cantSplit w:val="true"/>
        </w:trPr>
        <w:tc>
          <w:tcPr>
            <w:tcW w:w="23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WHATSAPP_*</w:t>
            </w:r>
          </w:p>
        </w:tc>
        <w:tc>
          <w:tcPr>
            <w:tcW w:w="4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Facultatif : WhatsApp Business Cloud API.</w:t>
            </w:r>
          </w:p>
        </w:tc>
        <w:tc>
          <w:tcPr>
            <w:tcW w:w="24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w:t>
            </w:r>
          </w:p>
        </w:tc>
      </w:tr>
    </w:tbl>
    <w:p>
      <w:pPr>
        <w:pStyle w:val="Normal"/>
        <w:spacing w:lineRule="auto" w:line="288" w:before="0" w:after="160"/>
        <w:jc w:val="left"/>
        <w:rPr/>
      </w:pPr>
      <w:r>
        <w:rPr>
          <w:rFonts w:eastAsia="Open Sans" w:cs="Open Sans"/>
          <w:color w:val="5A6B7B"/>
          <w:sz w:val="20"/>
          <w:szCs w:val="20"/>
        </w:rPr>
        <w:t>Le paquet impose le mode « sur site » (licence signée obligatoire), quelle que soit la valeur de DEPLOYMENT_MODE ou COMMERCIAL_INFO dans .env : ces réglages sont ignorés.</w:t>
      </w:r>
    </w:p>
    <w:p>
      <w:pPr>
        <w:pStyle w:val="Heading2"/>
        <w:keepNext w:val="true"/>
        <w:spacing w:before="320" w:after="120"/>
        <w:rPr/>
      </w:pPr>
      <w:bookmarkStart w:id="10" w:name="__RefHeading___Toc6419_3952465195"/>
      <w:bookmarkEnd w:id="10"/>
      <w:r>
        <w:rPr>
          <w:rFonts w:eastAsia="Montserrat" w:cs="Montserrat"/>
          <w:b/>
          <w:bCs/>
          <w:color w:val="123A5F"/>
          <w:sz w:val="32"/>
          <w:szCs w:val="32"/>
        </w:rPr>
        <w:t>4.3 Service et HTTPS</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sudo ./installer-service.sh</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journalctl -u cortexskills -f          # premier démarrage : 5 à 15 minutes, jusqu’à « CortexSkills API is running »</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sudo cp config/nginx-cortexskills.conf /etc/nginx/conf.d/cortexskills.conf &amp;&amp; sudo nano /etc/nginx/conf.d/cortexskills.conf</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sudo certbot certonly --nginx -d competences.mondomaine.ma</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sudo nginx -t &amp;&amp; sudo systemctl reload nginx</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curl -s https://competences.mondomaine.ma/api/health</w:t>
      </w:r>
    </w:p>
    <w:p>
      <w:pPr>
        <w:pStyle w:val="Normal"/>
        <w:spacing w:lineRule="auto" w:line="288" w:before="0" w:after="160"/>
        <w:jc w:val="left"/>
        <w:rPr/>
      </w:pPr>
      <w:r>
        <w:rPr>
          <w:rFonts w:eastAsia="Open Sans" w:cs="Open Sans"/>
          <w:color w:val="2C3E50"/>
          <w:sz w:val="20"/>
          <w:szCs w:val="20"/>
        </w:rPr>
        <w:t>installer-service.sh vérifie Node.js, crée l’utilisateur système cortexskills, rend app/ en lecture seule, réserve data/ au service et installe le service systemd durci (lecture seule sauf data/, sans privilège). Effacez ensuite ADMIN_PASSWORD de .env et sudo systemctl restart cortexskills. Renseignez les lignes SMTP_* pour que les invitations et relances partent réellement.</w:t>
      </w:r>
    </w:p>
    <w:p>
      <w:pPr>
        <w:pStyle w:val="Heading2"/>
        <w:keepNext w:val="true"/>
        <w:spacing w:before="320" w:after="120"/>
        <w:rPr/>
      </w:pPr>
      <w:bookmarkStart w:id="11" w:name="__RefHeading___Toc6421_3952465195"/>
      <w:bookmarkEnd w:id="11"/>
      <w:r>
        <w:rPr>
          <w:rFonts w:eastAsia="Montserrat" w:cs="Montserrat"/>
          <w:b/>
          <w:bCs/>
          <w:color w:val="123A5F"/>
          <w:sz w:val="32"/>
          <w:szCs w:val="32"/>
        </w:rPr>
        <w:t>4.4 Exploiter</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sudo systemctl status cortexskills · journalctl -u cortexskills -f</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sudo -u cortexskills ./cortexskills backup</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30 2 * * * rsync -a /opt/cortexskills/data/ backup@storage:/cortexskills/     # sudo crontab -e</w:t>
      </w:r>
    </w:p>
    <w:p>
      <w:pPr>
        <w:pStyle w:val="ListParagraph"/>
        <w:numPr>
          <w:ilvl w:val="0"/>
          <w:numId w:val="3"/>
        </w:numPr>
        <w:spacing w:lineRule="auto" w:line="288" w:before="0" w:after="80"/>
        <w:rPr/>
      </w:pPr>
      <w:r>
        <w:rPr>
          <w:rFonts w:eastAsia="Open Sans" w:cs="Open Sans"/>
          <w:color w:val="2C3E50"/>
          <w:sz w:val="22"/>
          <w:szCs w:val="22"/>
        </w:rPr>
        <w:t>Restauration : sudo systemctl stop cortexskills ; sudo -u cortexskills ./cortexskills restore &lt;fichier.db&gt; ; sudo systemctl start cortexskills.</w:t>
      </w:r>
    </w:p>
    <w:p>
      <w:pPr>
        <w:pStyle w:val="ListParagraph"/>
        <w:numPr>
          <w:ilvl w:val="0"/>
          <w:numId w:val="1"/>
        </w:numPr>
        <w:spacing w:lineRule="auto" w:line="288" w:before="0" w:after="80"/>
        <w:rPr/>
      </w:pPr>
      <w:r>
        <w:rPr>
          <w:rFonts w:eastAsia="Open Sans" w:cs="Open Sans"/>
          <w:color w:val="2C3E50"/>
          <w:sz w:val="22"/>
          <w:szCs w:val="22"/>
        </w:rPr>
        <w:t>Mise à jour : sauvegarde, puis remplacez app/, config/ et les scripts par ceux de la nouvelle version, et relancez sudo ./installer-service.sh ; .env, data/ et licence/ sont conservés, la base est migrée au démarrage (même procédure que le chapitre 10.4 du guide client).</w:t>
      </w:r>
    </w:p>
    <w:p>
      <w:pPr>
        <w:pStyle w:val="ListParagraph"/>
        <w:numPr>
          <w:ilvl w:val="0"/>
          <w:numId w:val="1"/>
        </w:numPr>
        <w:spacing w:lineRule="auto" w:line="288" w:before="0" w:after="80"/>
        <w:rPr/>
      </w:pPr>
      <w:r>
        <w:rPr>
          <w:rFonts w:eastAsia="Open Sans" w:cs="Open Sans"/>
          <w:color w:val="2C3E50"/>
          <w:sz w:val="22"/>
          <w:szCs w:val="22"/>
        </w:rPr>
        <w:t>Plusieurs organisations clientes peuvent être actives sur la même installation : une licence chacune.</w:t>
      </w:r>
      <w:r>
        <w:br w:type="page"/>
      </w:r>
    </w:p>
    <w:p>
      <w:pPr>
        <w:pStyle w:val="Heading1"/>
        <w:pBdr>
          <w:bottom w:val="single" w:sz="6" w:space="6" w:color="E1E8F0"/>
        </w:pBdr>
        <w:spacing w:before="0" w:after="240"/>
        <w:rPr/>
      </w:pPr>
      <w:bookmarkStart w:id="12" w:name="__RefHeading___Toc6423_3952465195"/>
      <w:bookmarkEnd w:id="12"/>
      <w:r>
        <w:rPr>
          <w:rFonts w:eastAsia="Montserrat" w:cs="Montserrat"/>
          <w:b/>
          <w:bCs/>
          <w:color w:val="123A5F"/>
          <w:sz w:val="40"/>
          <w:szCs w:val="40"/>
        </w:rPr>
        <w:t>5. Scénario b — Localhost sous Windows</w:t>
      </w:r>
    </w:p>
    <w:p>
      <w:pPr>
        <w:pStyle w:val="Normal"/>
        <w:spacing w:lineRule="auto" w:line="288" w:before="0" w:after="160"/>
        <w:jc w:val="left"/>
        <w:rPr/>
      </w:pPr>
      <w:r>
        <w:rPr>
          <w:rFonts w:eastAsia="Open Sans" w:cs="Open Sans"/>
          <w:color w:val="2C3E50"/>
          <w:sz w:val="22"/>
          <w:szCs w:val="22"/>
        </w:rPr>
        <w:t>Sur votre poste Windows, pour démontrer, former ou piloter avec un client, à l’adresse http://localhost:4000, dans le même mode de production sur site que chez un client, avec les données de référence. Dans PowerShell, dossier C:\CortexSkills\Runtime_Editor_Linux_Windows_CortexSkills_1.15.1 :</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Copy-Item env.example .env</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.\cortexskills.cmd secrets            # deux secrets pour .env</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notepad .env</w:t>
      </w:r>
    </w:p>
    <w:tbl>
      <w:tblPr>
        <w:tblW w:w="9638" w:type="dxa"/>
        <w:jc w:val="left"/>
        <w:tblInd w:w="0" w:type="dxa"/>
        <w:tblLayout w:type="fixed"/>
        <w:tblCellMar>
          <w:top w:w="70" w:type="dxa"/>
          <w:left w:w="110" w:type="dxa"/>
          <w:bottom w:w="70" w:type="dxa"/>
          <w:right w:w="110" w:type="dxa"/>
        </w:tblCellMar>
      </w:tblPr>
      <w:tblGrid>
        <w:gridCol w:w="2997"/>
        <w:gridCol w:w="6640"/>
      </w:tblGrid>
      <w:tr>
        <w:trPr>
          <w:tblHeader w:val="true"/>
          <w:cantSplit w:val="true"/>
        </w:trPr>
        <w:tc>
          <w:tcPr>
            <w:tcW w:w="29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Ligne de .env</w:t>
            </w:r>
          </w:p>
        </w:tc>
        <w:tc>
          <w:tcPr>
            <w:tcW w:w="66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Valeur (localhost)</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PUBLIC_URL, CORS_ORIGIN</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http://localhost:4000</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HOST, PORT</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127.0.0.1, 4000</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JWT_SECRET, CHANNEL_SECRET_KEY</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les deux premières valeurs affichées par secrets</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ADMIN_EMAIL, ADMIN_NAME, ADMIN_PASSWORD</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votre administrateur de la plateforme</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REFERENCE_DATA</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oui (données de référence) ou non (base vide)</w:t>
            </w:r>
          </w:p>
        </w:tc>
      </w:tr>
    </w:tbl>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.\cortexskills.cmd start             # premier démarrage : 5 à 15 minutes, jusqu’à « CortexSkills API is running »</w:t>
      </w:r>
    </w:p>
    <w:p>
      <w:pPr>
        <w:pStyle w:val="Normal"/>
        <w:spacing w:lineRule="auto" w:line="288" w:before="0" w:after="160"/>
        <w:jc w:val="left"/>
        <w:rPr/>
      </w:pPr>
      <w:r>
        <w:rPr>
          <w:rFonts w:eastAsia="Open Sans" w:cs="Open Sans"/>
          <w:color w:val="2C3E50"/>
          <w:sz w:val="22"/>
          <w:szCs w:val="22"/>
        </w:rPr>
        <w:t>Laissez la fenêtre ouverte et ouvrez http://localhost:4000 dans le navigateur. Arrêt : Ctrl+C dans la fenêtre. Ensuite, effacez la valeur de ADMIN_PASSWORD dans .env. Les données sont dans data\ à côté du lanceur. Au premier lancement, le pare-feu Windows peut demander une autorisation pour node.exe : refusez l’accès réseau public, l’application n’écoute que sur 127.0.0.1.</w:t>
      </w:r>
    </w:p>
    <w:p>
      <w:pPr>
        <w:pStyle w:val="Heading2"/>
        <w:keepNext w:val="true"/>
        <w:spacing w:before="320" w:after="120"/>
        <w:rPr/>
      </w:pPr>
      <w:bookmarkStart w:id="13" w:name="__RefHeading___Toc6425_3952465195"/>
      <w:bookmarkEnd w:id="13"/>
      <w:r>
        <w:rPr>
          <w:rFonts w:eastAsia="Montserrat" w:cs="Montserrat"/>
          <w:b/>
          <w:bCs/>
          <w:color w:val="123A5F"/>
          <w:sz w:val="32"/>
          <w:szCs w:val="32"/>
        </w:rPr>
        <w:t>5.1 Démarrage automatique (facultatif)</w:t>
      </w:r>
    </w:p>
    <w:p>
      <w:pPr>
        <w:pStyle w:val="Normal"/>
        <w:spacing w:lineRule="auto" w:line="288" w:before="0" w:after="160"/>
        <w:jc w:val="left"/>
        <w:rPr/>
      </w:pPr>
      <w:r>
        <w:rPr>
          <w:rFonts w:eastAsia="Open Sans" w:cs="Open Sans"/>
          <w:color w:val="2C3E50"/>
          <w:sz w:val="22"/>
          <w:szCs w:val="22"/>
        </w:rPr>
        <w:t>Pour lancer CortexSkills à l’ouverture de session, sans fenêtre, avec le Planificateur de tâches (PowerShell) :</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$a = New-ScheduledTaskAction -Execute "C:\CortexSkills\Runtime_Editor_Linux_Windows_CortexSkills_1.15.1\cortexskills.cmd" -Argument "start" -WorkingDirectory "C:\CortexSkills\Runtime_Editor_Linux_Windows_CortexSkills_1.15.1"</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$t = New-ScheduledTaskTrigger -AtLogOn -User $env:USERNAME</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 = New-ScheduledTaskSettingsSet -ExecutionTimeLimit 0 -AllowStartIfOnBatteries</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Register-ScheduledTask -TaskName "CortexSkills" -Action $a -Trigger $t -Settings $s -Description "CortexSkills localhost"</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Start-ScheduledTask CortexSkills · Stop-ScheduledTask CortexSkills · Unregister-ScheduledTask CortexSkills</w:t>
      </w:r>
    </w:p>
    <w:p>
      <w:pPr>
        <w:pStyle w:val="Heading2"/>
        <w:keepNext w:val="true"/>
        <w:spacing w:before="320" w:after="120"/>
        <w:rPr/>
      </w:pPr>
      <w:bookmarkStart w:id="14" w:name="__RefHeading___Toc6427_3952465195"/>
      <w:bookmarkEnd w:id="14"/>
      <w:r>
        <w:rPr>
          <w:rFonts w:eastAsia="Montserrat" w:cs="Montserrat"/>
          <w:b/>
          <w:bCs/>
          <w:color w:val="123A5F"/>
          <w:sz w:val="32"/>
          <w:szCs w:val="32"/>
        </w:rPr>
        <w:t>5.2 Console, sauvegarde et restauration sous Windows</w:t>
      </w:r>
    </w:p>
    <w:tbl>
      <w:tblPr>
        <w:tblW w:w="9638" w:type="dxa"/>
        <w:jc w:val="left"/>
        <w:tblInd w:w="0" w:type="dxa"/>
        <w:tblLayout w:type="fixed"/>
        <w:tblCellMar>
          <w:top w:w="70" w:type="dxa"/>
          <w:left w:w="110" w:type="dxa"/>
          <w:bottom w:w="70" w:type="dxa"/>
          <w:right w:w="110" w:type="dxa"/>
        </w:tblCellMar>
      </w:tblPr>
      <w:tblGrid>
        <w:gridCol w:w="3196"/>
        <w:gridCol w:w="6441"/>
      </w:tblGrid>
      <w:tr>
        <w:trPr>
          <w:tblHeader w:val="true"/>
          <w:cantSplit w:val="true"/>
        </w:trPr>
        <w:tc>
          <w:tcPr>
            <w:tcW w:w="31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Action</w:t>
            </w:r>
          </w:p>
        </w:tc>
        <w:tc>
          <w:tcPr>
            <w:tcW w:w="644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Commande (PowerShell, dossier du paquet)</w:t>
            </w:r>
          </w:p>
        </w:tc>
      </w:tr>
      <w:tr>
        <w:trPr>
          <w:cantSplit w:val="true"/>
        </w:trPr>
        <w:tc>
          <w:tcPr>
            <w:tcW w:w="31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Aide de la console</w:t>
            </w:r>
          </w:p>
        </w:tc>
        <w:tc>
          <w:tcPr>
            <w:tcW w:w="64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.\cortexskills.cmd admin help</w:t>
            </w:r>
          </w:p>
        </w:tc>
      </w:tr>
      <w:tr>
        <w:trPr>
          <w:cantSplit w:val="true"/>
        </w:trPr>
        <w:tc>
          <w:tcPr>
            <w:tcW w:w="31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Sauvegarde à la demande</w:t>
            </w:r>
          </w:p>
        </w:tc>
        <w:tc>
          <w:tcPr>
            <w:tcW w:w="64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.\cortexskills.cmd backup        (dans data\backups)</w:t>
            </w:r>
          </w:p>
        </w:tc>
      </w:tr>
      <w:tr>
        <w:trPr>
          <w:cantSplit w:val="true"/>
        </w:trPr>
        <w:tc>
          <w:tcPr>
            <w:tcW w:w="31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Restauration (application arrêtée)</w:t>
            </w:r>
          </w:p>
        </w:tc>
        <w:tc>
          <w:tcPr>
            <w:tcW w:w="64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.\cortexskills.cmd restore · .\cortexskills.cmd restore &lt;fichier.db&gt;</w:t>
            </w:r>
          </w:p>
        </w:tc>
      </w:tr>
      <w:tr>
        <w:trPr>
          <w:cantSplit w:val="true"/>
        </w:trPr>
        <w:tc>
          <w:tcPr>
            <w:tcW w:w="31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Version</w:t>
            </w:r>
          </w:p>
        </w:tc>
        <w:tc>
          <w:tcPr>
            <w:tcW w:w="64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.\cortexskills.cmd version</w:t>
            </w:r>
          </w:p>
        </w:tc>
      </w:tr>
    </w:tbl>
    <w:p>
      <w:pPr>
        <w:pStyle w:val="Heading2"/>
        <w:keepNext w:val="true"/>
        <w:spacing w:before="320" w:after="120"/>
        <w:rPr/>
      </w:pPr>
      <w:bookmarkStart w:id="15" w:name="__RefHeading___Toc6429_3952465195"/>
      <w:bookmarkEnd w:id="15"/>
      <w:r>
        <w:rPr>
          <w:rFonts w:eastAsia="Montserrat" w:cs="Montserrat"/>
          <w:b/>
          <w:bCs/>
          <w:color w:val="123A5F"/>
          <w:sz w:val="32"/>
          <w:szCs w:val="32"/>
        </w:rPr>
        <w:t>5.3 Les organisations de référence</w:t>
      </w:r>
    </w:p>
    <w:tbl>
      <w:tblPr>
        <w:tblW w:w="9638" w:type="dxa"/>
        <w:jc w:val="left"/>
        <w:tblInd w:w="0" w:type="dxa"/>
        <w:tblLayout w:type="fixed"/>
        <w:tblCellMar>
          <w:top w:w="70" w:type="dxa"/>
          <w:left w:w="110" w:type="dxa"/>
          <w:bottom w:w="70" w:type="dxa"/>
          <w:right w:w="110" w:type="dxa"/>
        </w:tblCellMar>
      </w:tblPr>
      <w:tblGrid>
        <w:gridCol w:w="2997"/>
        <w:gridCol w:w="3795"/>
        <w:gridCol w:w="2846"/>
      </w:tblGrid>
      <w:tr>
        <w:trPr>
          <w:tblHeader w:val="true"/>
          <w:cantSplit w:val="true"/>
        </w:trPr>
        <w:tc>
          <w:tcPr>
            <w:tcW w:w="29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5"/>
                <w:szCs w:val="15"/>
              </w:rPr>
              <w:t>Secteur</w:t>
            </w:r>
          </w:p>
        </w:tc>
        <w:tc>
          <w:tcPr>
            <w:tcW w:w="379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5"/>
                <w:szCs w:val="15"/>
              </w:rPr>
              <w:t>Grandes entreprises</w:t>
            </w:r>
          </w:p>
        </w:tc>
        <w:tc>
          <w:tcPr>
            <w:tcW w:w="28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5"/>
                <w:szCs w:val="15"/>
              </w:rPr>
              <w:t>PME</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Aéronautique et défense (AERO)</w:t>
            </w:r>
          </w:p>
        </w:tc>
        <w:tc>
          <w:tcPr>
            <w:tcW w:w="37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Aero Atlas Nouaceur</w:t>
            </w:r>
          </w:p>
        </w:tc>
        <w:tc>
          <w:tcPr>
            <w:tcW w:w="28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Precision Aero Composites</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Agroalimentaire et boissons (FNB)</w:t>
            </w:r>
          </w:p>
        </w:tc>
        <w:tc>
          <w:tcPr>
            <w:tcW w:w="37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Sahel Agro Industries</w:t>
            </w:r>
          </w:p>
        </w:tc>
        <w:tc>
          <w:tcPr>
            <w:tcW w:w="284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Coopérative Laitière Al Baraka</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Architecture, ingénierie et construction (AEC)</w:t>
            </w:r>
          </w:p>
        </w:tc>
        <w:tc>
          <w:tcPr>
            <w:tcW w:w="37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Oasis Construction &amp; Ingénierie</w:t>
            </w:r>
          </w:p>
        </w:tc>
        <w:tc>
          <w:tcPr>
            <w:tcW w:w="28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Souss BTP Solutions</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Automobile (AUTO)</w:t>
            </w:r>
          </w:p>
        </w:tc>
        <w:tc>
          <w:tcPr>
            <w:tcW w:w="37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Atlas Motors Kénitra</w:t>
            </w:r>
          </w:p>
        </w:tc>
        <w:tc>
          <w:tcPr>
            <w:tcW w:w="284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Tanger Auto Parts</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Biens de consommation emballés (CPG)</w:t>
            </w:r>
          </w:p>
        </w:tc>
        <w:tc>
          <w:tcPr>
            <w:tcW w:w="37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Sahel Consumer Brands</w:t>
            </w:r>
          </w:p>
        </w:tc>
        <w:tc>
          <w:tcPr>
            <w:tcW w:w="28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Savonnerie Beldi</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Chaussure et habillement (FTAP)</w:t>
            </w:r>
          </w:p>
        </w:tc>
        <w:tc>
          <w:tcPr>
            <w:tcW w:w="37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Atlas Textile &amp; Chaussure</w:t>
            </w:r>
          </w:p>
        </w:tc>
        <w:tc>
          <w:tcPr>
            <w:tcW w:w="284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Atelier Cuir Fès</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Commerce de détail (RETL)</w:t>
            </w:r>
          </w:p>
        </w:tc>
        <w:tc>
          <w:tcPr>
            <w:tcW w:w="37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Sahel Retail Stores</w:t>
            </w:r>
          </w:p>
        </w:tc>
        <w:tc>
          <w:tcPr>
            <w:tcW w:w="28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Marrakech Concept Store</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Construction navale (SHIP)</w:t>
            </w:r>
          </w:p>
        </w:tc>
        <w:tc>
          <w:tcPr>
            <w:tcW w:w="37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Chantiers Navals du Détroit</w:t>
            </w:r>
          </w:p>
        </w:tc>
        <w:tc>
          <w:tcPr>
            <w:tcW w:w="284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Marine Outfitting Agadir</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Distribution (DIST)</w:t>
            </w:r>
          </w:p>
        </w:tc>
        <w:tc>
          <w:tcPr>
            <w:tcW w:w="37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Horizon Distribution</w:t>
            </w:r>
          </w:p>
        </w:tc>
        <w:tc>
          <w:tcPr>
            <w:tcW w:w="28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Distri Oriental</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Économie sociale et solidaire (SSE)</w:t>
            </w:r>
          </w:p>
        </w:tc>
        <w:tc>
          <w:tcPr>
            <w:tcW w:w="37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Fédération Nationale des Coopératives</w:t>
            </w:r>
          </w:p>
        </w:tc>
        <w:tc>
          <w:tcPr>
            <w:tcW w:w="284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Coopérative Argan Tiznit</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Électronique et haute technologie (ELEC)</w:t>
            </w:r>
          </w:p>
        </w:tc>
        <w:tc>
          <w:tcPr>
            <w:tcW w:w="37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Atlas Electronics Group</w:t>
            </w:r>
          </w:p>
        </w:tc>
        <w:tc>
          <w:tcPr>
            <w:tcW w:w="28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Circuitec Oujda</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Énergie et services publics (ENUT)</w:t>
            </w:r>
          </w:p>
        </w:tc>
        <w:tc>
          <w:tcPr>
            <w:tcW w:w="37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Oasis Énergie &amp; Services</w:t>
            </w:r>
          </w:p>
        </w:tc>
        <w:tc>
          <w:tcPr>
            <w:tcW w:w="284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Solaris Maintenance Services</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Enseignement privé (PRED)</w:t>
            </w:r>
          </w:p>
        </w:tc>
        <w:tc>
          <w:tcPr>
            <w:tcW w:w="37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Horizon Universités Privées</w:t>
            </w:r>
          </w:p>
        </w:tc>
        <w:tc>
          <w:tcPr>
            <w:tcW w:w="28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École Al Manar</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Enseignement public (PUED)</w:t>
            </w:r>
          </w:p>
        </w:tc>
        <w:tc>
          <w:tcPr>
            <w:tcW w:w="37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Académie Régionale Rabat-Salé</w:t>
            </w:r>
          </w:p>
        </w:tc>
        <w:tc>
          <w:tcPr>
            <w:tcW w:w="284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Lycée Pilote Ibn Sina</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Établissements de santé (HCPR)</w:t>
            </w:r>
          </w:p>
        </w:tc>
        <w:tc>
          <w:tcPr>
            <w:tcW w:w="37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Groupe Hospitalier Maghreb ; Groupe Santéora Cliniques Privées ; Centre Hospitalier Régional</w:t>
            </w:r>
          </w:p>
        </w:tc>
        <w:tc>
          <w:tcPr>
            <w:tcW w:w="28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Clinique Al Amal</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Fabrication et assemblage (FABA)</w:t>
            </w:r>
          </w:p>
        </w:tc>
        <w:tc>
          <w:tcPr>
            <w:tcW w:w="37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Atlas Structures Métalliques</w:t>
            </w:r>
          </w:p>
        </w:tc>
        <w:tc>
          <w:tcPr>
            <w:tcW w:w="284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Atelier Métal Berrechid</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Industrie manufacturière (générique) (MFGG)</w:t>
            </w:r>
          </w:p>
        </w:tc>
        <w:tc>
          <w:tcPr>
            <w:tcW w:w="37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Atlas Manufacturing Group</w:t>
            </w:r>
          </w:p>
        </w:tc>
        <w:tc>
          <w:tcPr>
            <w:tcW w:w="28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Plasti Meknès</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Industries de procédés (PROC)</w:t>
            </w:r>
          </w:p>
        </w:tc>
        <w:tc>
          <w:tcPr>
            <w:tcW w:w="37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Phosphates &amp; Minéraux Atlas</w:t>
            </w:r>
          </w:p>
        </w:tc>
        <w:tc>
          <w:tcPr>
            <w:tcW w:w="284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Minerals Lab Khouribga</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Infrastructures (INFR)</w:t>
            </w:r>
          </w:p>
        </w:tc>
        <w:tc>
          <w:tcPr>
            <w:tcW w:w="37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Autoroutes &amp; Ouvrages du Nord</w:t>
            </w:r>
          </w:p>
        </w:tc>
        <w:tc>
          <w:tcPr>
            <w:tcW w:w="28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Géo Inspect Maroc</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Logistique (LOGI)</w:t>
            </w:r>
          </w:p>
        </w:tc>
        <w:tc>
          <w:tcPr>
            <w:tcW w:w="37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Horizon Logistique Tanger Med</w:t>
            </w:r>
          </w:p>
        </w:tc>
        <w:tc>
          <w:tcPr>
            <w:tcW w:w="284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Trans Atlas Express</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Machines industrielles (MACH)</w:t>
            </w:r>
          </w:p>
        </w:tc>
        <w:tc>
          <w:tcPr>
            <w:tcW w:w="37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Maghreb Machines Industries</w:t>
            </w:r>
          </w:p>
        </w:tc>
        <w:tc>
          <w:tcPr>
            <w:tcW w:w="28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Fès Mécanique de Précision</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Pharmaceutique et procédés (PHPR)</w:t>
            </w:r>
          </w:p>
        </w:tc>
        <w:tc>
          <w:tcPr>
            <w:tcW w:w="37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Pharma Maghreb Process</w:t>
            </w:r>
          </w:p>
        </w:tc>
        <w:tc>
          <w:tcPr>
            <w:tcW w:w="284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Galénix Laboratoires</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Pharmacie (PHAR)</w:t>
            </w:r>
          </w:p>
        </w:tc>
        <w:tc>
          <w:tcPr>
            <w:tcW w:w="37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Maghreb Pharma Distribution</w:t>
            </w:r>
          </w:p>
        </w:tc>
        <w:tc>
          <w:tcPr>
            <w:tcW w:w="28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PharmaLog Services</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Procédés / Pétrochimie (PETR)</w:t>
            </w:r>
          </w:p>
        </w:tc>
        <w:tc>
          <w:tcPr>
            <w:tcW w:w="37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Atlantique Pétrochimie</w:t>
            </w:r>
          </w:p>
        </w:tc>
        <w:tc>
          <w:tcPr>
            <w:tcW w:w="284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Chem Services Safi</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Procédés / Produits conditionnés (PKGD)</w:t>
            </w:r>
          </w:p>
        </w:tc>
        <w:tc>
          <w:tcPr>
            <w:tcW w:w="37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Sahel Conditionnement &amp; Embouteillage</w:t>
            </w:r>
          </w:p>
        </w:tc>
        <w:tc>
          <w:tcPr>
            <w:tcW w:w="28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Emballages Kénitra</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Produits de consommation étendus (CPEX)</w:t>
            </w:r>
          </w:p>
        </w:tc>
        <w:tc>
          <w:tcPr>
            <w:tcW w:w="37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Sahel Maison &amp; Déco</w:t>
            </w:r>
          </w:p>
        </w:tc>
        <w:tc>
          <w:tcPr>
            <w:tcW w:w="284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Poterie Safi Design</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Santé et sciences de la vie (HLS)</w:t>
            </w:r>
          </w:p>
        </w:tc>
        <w:tc>
          <w:tcPr>
            <w:tcW w:w="37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Maghreb Life Sciences</w:t>
            </w:r>
          </w:p>
        </w:tc>
        <w:tc>
          <w:tcPr>
            <w:tcW w:w="28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BioLab Diagnostics Rabat</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Semi-conducteurs et électronique (SEMI)</w:t>
            </w:r>
          </w:p>
        </w:tc>
        <w:tc>
          <w:tcPr>
            <w:tcW w:w="37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Atlas Semiconductor Packaging</w:t>
            </w:r>
          </w:p>
        </w:tc>
        <w:tc>
          <w:tcPr>
            <w:tcW w:w="284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MicroTest Engineering</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Télécommunications (TELC)</w:t>
            </w:r>
          </w:p>
        </w:tc>
        <w:tc>
          <w:tcPr>
            <w:tcW w:w="37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Oasis Télécom</w:t>
            </w:r>
          </w:p>
        </w:tc>
        <w:tc>
          <w:tcPr>
            <w:tcW w:w="28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NetConnect Services</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Universel (tous secteurs) (UNI)</w:t>
            </w:r>
          </w:p>
        </w:tc>
        <w:tc>
          <w:tcPr>
            <w:tcW w:w="37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Groupe Horizon Services</w:t>
            </w:r>
          </w:p>
        </w:tc>
        <w:tc>
          <w:tcPr>
            <w:tcW w:w="284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w:t>
            </w:r>
          </w:p>
        </w:tc>
      </w:tr>
    </w:tbl>
    <w:p>
      <w:pPr>
        <w:pStyle w:val="Heading1"/>
        <w:pBdr>
          <w:bottom w:val="single" w:sz="6" w:space="6" w:color="E1E8F0"/>
        </w:pBdr>
        <w:spacing w:before="0" w:after="240"/>
        <w:rPr/>
      </w:pPr>
      <w:r>
        <w:br w:type="page"/>
      </w:r>
      <w:bookmarkStart w:id="16" w:name="__RefHeading___Toc6431_3952465195"/>
      <w:bookmarkEnd w:id="16"/>
      <w:r>
        <w:rPr>
          <w:rFonts w:eastAsia="Montserrat" w:cs="Montserrat"/>
          <w:b/>
          <w:bCs/>
          <w:color w:val="123A5F"/>
          <w:sz w:val="40"/>
          <w:szCs w:val="40"/>
        </w:rPr>
        <w:t>6. Gestion des licences</w:t>
      </w:r>
    </w:p>
    <w:p>
      <w:pPr>
        <w:pStyle w:val="Normal"/>
        <w:spacing w:lineRule="auto" w:line="288" w:before="0" w:after="160"/>
        <w:jc w:val="left"/>
        <w:rPr/>
      </w:pPr>
      <w:r>
        <w:rPr>
          <w:rFonts w:eastAsia="Open Sans" w:cs="Open Sans"/>
          <w:color w:val="2C3E50"/>
          <w:sz w:val="22"/>
          <w:szCs w:val="22"/>
        </w:rPr>
        <w:t>Une licence suit toujours le même cycle. La signature (création, modification) se fait sur votre poste avec cslic ; l’installation et le retrait se font sur l’installation concernée avec la console (cortexskills admin) — ou par le client lui-même.</w:t>
      </w:r>
    </w:p>
    <w:tbl>
      <w:tblPr>
        <w:tblW w:w="9638" w:type="dxa"/>
        <w:jc w:val="left"/>
        <w:tblInd w:w="0" w:type="dxa"/>
        <w:tblLayout w:type="fixed"/>
        <w:tblCellMar>
          <w:top w:w="70" w:type="dxa"/>
          <w:left w:w="110" w:type="dxa"/>
          <w:bottom w:w="70" w:type="dxa"/>
          <w:right w:w="110" w:type="dxa"/>
        </w:tblCellMar>
      </w:tblPr>
      <w:tblGrid>
        <w:gridCol w:w="1497"/>
        <w:gridCol w:w="3996"/>
        <w:gridCol w:w="4145"/>
      </w:tblGrid>
      <w:tr>
        <w:trPr>
          <w:tblHeader w:val="true"/>
          <w:cantSplit w:val="true"/>
        </w:trPr>
        <w:tc>
          <w:tcPr>
            <w:tcW w:w="14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Étape</w:t>
            </w:r>
          </w:p>
        </w:tc>
        <w:tc>
          <w:tcPr>
            <w:tcW w:w="39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Sur le poste de signature (cslic)</w:t>
            </w:r>
          </w:p>
        </w:tc>
        <w:tc>
          <w:tcPr>
            <w:tcW w:w="414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Sur l’installation (cortexskills admin …)</w:t>
            </w:r>
          </w:p>
        </w:tc>
      </w:tr>
      <w:tr>
        <w:trPr>
          <w:cantSplit w:val="true"/>
        </w:trPr>
        <w:tc>
          <w:tcPr>
            <w:tcW w:w="14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Demande</w:t>
            </w:r>
          </w:p>
        </w:tc>
        <w:tc>
          <w:tcPr>
            <w:tcW w:w="3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w:t>
            </w:r>
          </w:p>
        </w:tc>
        <w:tc>
          <w:tcPr>
            <w:tcW w:w="41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org-create … puis licence-request --org &lt;domaine&gt; → Organization ID</w:t>
            </w:r>
          </w:p>
        </w:tc>
      </w:tr>
      <w:tr>
        <w:trPr>
          <w:cantSplit w:val="true"/>
        </w:trPr>
        <w:tc>
          <w:tcPr>
            <w:tcW w:w="14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Créer (C)</w:t>
            </w:r>
          </w:p>
        </w:tc>
        <w:tc>
          <w:tcPr>
            <w:tcW w:w="39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cslic creer …</w:t>
            </w:r>
          </w:p>
        </w:tc>
        <w:tc>
          <w:tcPr>
            <w:tcW w:w="41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licence-install --file &lt;fichier.lic&gt;</w:t>
            </w:r>
          </w:p>
        </w:tc>
      </w:tr>
      <w:tr>
        <w:trPr>
          <w:cantSplit w:val="true"/>
        </w:trPr>
        <w:tc>
          <w:tcPr>
            <w:tcW w:w="14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Lire (R)</w:t>
            </w:r>
          </w:p>
        </w:tc>
        <w:tc>
          <w:tcPr>
            <w:tcW w:w="3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cslic lister · cslic afficher L-0001 · cslic lister --csv</w:t>
            </w:r>
          </w:p>
        </w:tc>
        <w:tc>
          <w:tcPr>
            <w:tcW w:w="41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licence-list · licence-show --org &lt;domaine&gt; · écran Configuration et licence</w:t>
            </w:r>
          </w:p>
        </w:tc>
      </w:tr>
      <w:tr>
        <w:trPr>
          <w:cantSplit w:val="true"/>
        </w:trPr>
        <w:tc>
          <w:tcPr>
            <w:tcW w:w="14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Modifier (U)</w:t>
            </w:r>
          </w:p>
        </w:tc>
        <w:tc>
          <w:tcPr>
            <w:tcW w:w="39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cslic modifier L-0001 … · cslic renouveler L-0001 --fin …</w:t>
            </w:r>
          </w:p>
        </w:tc>
        <w:tc>
          <w:tcPr>
            <w:tcW w:w="41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licence-install --file &lt;nouvelle version&gt;</w:t>
            </w:r>
          </w:p>
        </w:tc>
      </w:tr>
      <w:tr>
        <w:trPr>
          <w:cantSplit w:val="true"/>
        </w:trPr>
        <w:tc>
          <w:tcPr>
            <w:tcW w:w="14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Révoquer</w:t>
            </w:r>
          </w:p>
        </w:tc>
        <w:tc>
          <w:tcPr>
            <w:tcW w:w="3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cslic revoquer L-0001 --motif …</w:t>
            </w:r>
          </w:p>
        </w:tc>
        <w:tc>
          <w:tcPr>
            <w:tcW w:w="41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licence-remove --org &lt;domaine&gt; --yes</w:t>
            </w:r>
          </w:p>
        </w:tc>
      </w:tr>
      <w:tr>
        <w:trPr>
          <w:cantSplit w:val="true"/>
        </w:trPr>
        <w:tc>
          <w:tcPr>
            <w:tcW w:w="14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Supprimer (D)</w:t>
            </w:r>
          </w:p>
        </w:tc>
        <w:tc>
          <w:tcPr>
            <w:tcW w:w="39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cslic supprimer L-0001 --oui</w:t>
            </w:r>
          </w:p>
        </w:tc>
        <w:tc>
          <w:tcPr>
            <w:tcW w:w="41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w:t>
            </w:r>
          </w:p>
        </w:tc>
      </w:tr>
    </w:tbl>
    <w:p>
      <w:pPr>
        <w:pStyle w:val="Normal"/>
        <w:spacing w:lineRule="auto" w:line="288" w:before="0" w:after="160"/>
        <w:jc w:val="left"/>
        <w:rPr/>
      </w:pPr>
      <w:r>
        <w:rPr>
          <w:rFonts w:eastAsia="Open Sans" w:cs="Open Sans"/>
          <w:color w:val="2C3E50"/>
          <w:sz w:val="20"/>
          <w:szCs w:val="20"/>
        </w:rPr>
        <w:t>Sur le serveur Linux (scénario a), préfixez la console par sudo -u cortexskills ./cortexskills admin ; sous Windows (scénario b), .\cortexskills.cmd admin. Sous Windows, cslic s’écrit .\cslic.cmd.</w:t>
      </w:r>
    </w:p>
    <w:p>
      <w:pPr>
        <w:pStyle w:val="Heading2"/>
        <w:keepNext w:val="true"/>
        <w:spacing w:before="320" w:after="120"/>
        <w:rPr/>
      </w:pPr>
      <w:bookmarkStart w:id="17" w:name="__RefHeading___Toc6433_3952465195"/>
      <w:bookmarkEnd w:id="17"/>
      <w:r>
        <w:rPr>
          <w:rFonts w:eastAsia="Montserrat" w:cs="Montserrat"/>
          <w:b/>
          <w:bCs/>
          <w:color w:val="123A5F"/>
          <w:sz w:val="32"/>
          <w:szCs w:val="32"/>
        </w:rPr>
        <w:t>6.1 Créer</w:t>
      </w:r>
    </w:p>
    <w:p>
      <w:pPr>
        <w:pStyle w:val="ListParagraph"/>
        <w:numPr>
          <w:ilvl w:val="0"/>
          <w:numId w:val="0"/>
        </w:numPr>
        <w:spacing w:lineRule="auto" w:line="288" w:before="0" w:after="80"/>
        <w:ind w:hanging="0" w:left="0"/>
        <w:rPr/>
      </w:pPr>
      <w:r>
        <w:rPr>
          <w:rFonts w:eastAsia="Open Sans" w:cs="Open Sans"/>
          <w:b/>
          <w:bCs/>
          <w:color w:val="2C3E50"/>
          <w:sz w:val="22"/>
          <w:szCs w:val="22"/>
        </w:rPr>
        <w:t>Créer l’organisation sur l’installation :</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cortexskills admin org-create --name "Clinique Exemple" --domain clinique-exemple.ma \</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 xml:space="preserve">  </w:t>
      </w:r>
      <w:r>
        <w:rPr>
          <w:rFonts w:eastAsia="JetBrains Mono" w:cs="JetBrains Mono" w:ascii="JetBrains Mono" w:hAnsi="JetBrains Mono"/>
          <w:color w:val="123A5F"/>
          <w:sz w:val="18"/>
          <w:szCs w:val="18"/>
        </w:rPr>
        <w:t>--admin-email admin@clinique-exemple.ma --admin-name "Admin Clinique" --admin-password 'Str0ng#Passw0rd2026' --lang fr</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cortexskills admin licence-request --org clinique-exemple.ma        # affiche l’Organization ID</w:t>
      </w:r>
    </w:p>
    <w:p>
      <w:pPr>
        <w:pStyle w:val="ListParagraph"/>
        <w:numPr>
          <w:ilvl w:val="0"/>
          <w:numId w:val="0"/>
        </w:numPr>
        <w:spacing w:lineRule="auto" w:line="288" w:before="0" w:after="80"/>
        <w:ind w:hanging="0" w:left="0"/>
        <w:rPr/>
      </w:pPr>
      <w:r>
        <w:rPr>
          <w:rFonts w:eastAsia="Open Sans" w:cs="Open Sans"/>
          <w:b/>
          <w:bCs/>
          <w:color w:val="2C3E50"/>
          <w:sz w:val="22"/>
          <w:szCs w:val="22"/>
        </w:rPr>
        <w:t>Signer sur votre poste :</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cslic creer --societe "Clinique Exemple" --org-id &lt;Organization ID&gt; --plan SME-GRO --utilisateurs 50 \</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 xml:space="preserve">  </w:t>
      </w:r>
      <w:r>
        <w:rPr>
          <w:rFonts w:eastAsia="JetBrains Mono" w:cs="JetBrains Mono" w:ascii="JetBrains Mono" w:hAnsi="JetBrains Mono"/>
          <w:color w:val="123A5F"/>
          <w:sz w:val="18"/>
          <w:szCs w:val="18"/>
        </w:rPr>
        <w:t>--fin 2027-12-31 --addons AD-11 --ref CONTRAT-2026-014</w:t>
      </w:r>
    </w:p>
    <w:tbl>
      <w:tblPr>
        <w:tblW w:w="9638" w:type="dxa"/>
        <w:jc w:val="left"/>
        <w:tblInd w:w="0" w:type="dxa"/>
        <w:tblLayout w:type="fixed"/>
        <w:tblCellMar>
          <w:top w:w="70" w:type="dxa"/>
          <w:left w:w="110" w:type="dxa"/>
          <w:bottom w:w="70" w:type="dxa"/>
          <w:right w:w="110" w:type="dxa"/>
        </w:tblCellMar>
      </w:tblPr>
      <w:tblGrid>
        <w:gridCol w:w="1798"/>
        <w:gridCol w:w="3695"/>
        <w:gridCol w:w="4145"/>
      </w:tblGrid>
      <w:tr>
        <w:trPr>
          <w:tblHeader w:val="true"/>
          <w:cantSplit w:val="true"/>
        </w:trPr>
        <w:tc>
          <w:tcPr>
            <w:tcW w:w="179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Option</w:t>
            </w:r>
          </w:p>
        </w:tc>
        <w:tc>
          <w:tcPr>
            <w:tcW w:w="369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Signification</w:t>
            </w:r>
          </w:p>
        </w:tc>
        <w:tc>
          <w:tcPr>
            <w:tcW w:w="414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Règle</w:t>
            </w:r>
          </w:p>
        </w:tc>
      </w:tr>
      <w:tr>
        <w:trPr>
          <w:cantSplit w:val="true"/>
        </w:trPr>
        <w:tc>
          <w:tcPr>
            <w:tcW w:w="17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--societe</w:t>
            </w:r>
          </w:p>
        </w:tc>
        <w:tc>
          <w:tcPr>
            <w:tcW w:w="36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Nom du client écrit dans la licence.</w:t>
            </w:r>
          </w:p>
        </w:tc>
        <w:tc>
          <w:tcPr>
            <w:tcW w:w="41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Obligatoire.</w:t>
            </w:r>
          </w:p>
        </w:tc>
      </w:tr>
      <w:tr>
        <w:trPr>
          <w:cantSplit w:val="true"/>
        </w:trPr>
        <w:tc>
          <w:tcPr>
            <w:tcW w:w="17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--org-id</w:t>
            </w:r>
          </w:p>
        </w:tc>
        <w:tc>
          <w:tcPr>
            <w:tcW w:w="36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Organization ID affiché par la demande.</w:t>
            </w:r>
          </w:p>
        </w:tc>
        <w:tc>
          <w:tcPr>
            <w:tcW w:w="41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Exact (format UUID) ; la licence ne vaut que pour cette organisation.</w:t>
            </w:r>
          </w:p>
        </w:tc>
      </w:tr>
      <w:tr>
        <w:trPr>
          <w:cantSplit w:val="true"/>
        </w:trPr>
        <w:tc>
          <w:tcPr>
            <w:tcW w:w="17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--plan</w:t>
            </w:r>
          </w:p>
        </w:tc>
        <w:tc>
          <w:tcPr>
            <w:tcW w:w="36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Plan (chapitre 8).</w:t>
            </w:r>
          </w:p>
        </w:tc>
        <w:tc>
          <w:tcPr>
            <w:tcW w:w="41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Fixe les modules de l’organisation.</w:t>
            </w:r>
          </w:p>
        </w:tc>
      </w:tr>
      <w:tr>
        <w:trPr>
          <w:cantSplit w:val="true"/>
        </w:trPr>
        <w:tc>
          <w:tcPr>
            <w:tcW w:w="17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--utilisateurs</w:t>
            </w:r>
          </w:p>
        </w:tc>
        <w:tc>
          <w:tcPr>
            <w:tcW w:w="36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Nombre maximal d’utilisateurs actifs.</w:t>
            </w:r>
          </w:p>
        </w:tc>
        <w:tc>
          <w:tcPr>
            <w:tcW w:w="41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La création d’un utilisateur au-delà est refusée.</w:t>
            </w:r>
          </w:p>
        </w:tc>
      </w:tr>
      <w:tr>
        <w:trPr>
          <w:cantSplit w:val="true"/>
        </w:trPr>
        <w:tc>
          <w:tcPr>
            <w:tcW w:w="17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--fin</w:t>
            </w:r>
          </w:p>
        </w:tc>
        <w:tc>
          <w:tcPr>
            <w:tcW w:w="36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Date de fin (AAAA-MM-JJ).</w:t>
            </w:r>
          </w:p>
        </w:tc>
        <w:tc>
          <w:tcPr>
            <w:tcW w:w="41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Alerte 30 jours avant ; lecture seule après.</w:t>
            </w:r>
          </w:p>
        </w:tc>
      </w:tr>
      <w:tr>
        <w:trPr>
          <w:cantSplit w:val="true"/>
        </w:trPr>
        <w:tc>
          <w:tcPr>
            <w:tcW w:w="17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--addons</w:t>
            </w:r>
          </w:p>
        </w:tc>
        <w:tc>
          <w:tcPr>
            <w:tcW w:w="36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Add-ons (chapitre 8), séparés par des virgules.</w:t>
            </w:r>
          </w:p>
        </w:tc>
        <w:tc>
          <w:tcPr>
            <w:tcW w:w="41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Facultatif ; seuls ces add-ons sont actifs.</w:t>
            </w:r>
          </w:p>
        </w:tc>
      </w:tr>
      <w:tr>
        <w:trPr>
          <w:cantSplit w:val="true"/>
        </w:trPr>
        <w:tc>
          <w:tcPr>
            <w:tcW w:w="17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--fonctions, --ref, --notes</w:t>
            </w:r>
          </w:p>
        </w:tc>
        <w:tc>
          <w:tcPr>
            <w:tcW w:w="36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Mentions libres ; référence du contrat ; notes internes.</w:t>
            </w:r>
          </w:p>
        </w:tc>
        <w:tc>
          <w:tcPr>
            <w:tcW w:w="41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Facultatif.</w:t>
            </w:r>
          </w:p>
        </w:tc>
      </w:tr>
    </w:tbl>
    <w:p>
      <w:pPr>
        <w:pStyle w:val="Normal"/>
        <w:spacing w:lineRule="auto" w:line="288" w:before="0" w:after="160"/>
        <w:jc w:val="left"/>
        <w:rPr/>
      </w:pPr>
      <w:r>
        <w:rPr>
          <w:rFonts w:eastAsia="Open Sans" w:cs="Open Sans"/>
          <w:color w:val="2C3E50"/>
          <w:sz w:val="20"/>
          <w:szCs w:val="20"/>
        </w:rPr>
        <w:t>cslic attribue un numéro (L-0001, L-0002…), écrit le fichier licences/L-0001_v1_Clinique_Exemple.lic dans le dossier du poste de signature et l’inscrit au registre. Une seule licence active par organisation : pour la changer, modifiez-la.</w:t>
      </w:r>
    </w:p>
    <w:p>
      <w:pPr>
        <w:pStyle w:val="ListParagraph"/>
        <w:numPr>
          <w:ilvl w:val="0"/>
          <w:numId w:val="0"/>
        </w:numPr>
        <w:spacing w:lineRule="auto" w:line="288" w:before="0" w:after="80"/>
        <w:ind w:hanging="0" w:left="0"/>
        <w:rPr/>
      </w:pPr>
      <w:r>
        <w:rPr>
          <w:rFonts w:eastAsia="Open Sans" w:cs="Open Sans"/>
          <w:b/>
          <w:bCs/>
          <w:color w:val="2C3E50"/>
          <w:sz w:val="22"/>
          <w:szCs w:val="22"/>
        </w:rPr>
        <w:t xml:space="preserve">Installer. </w:t>
      </w:r>
      <w:r>
        <w:rPr>
          <w:rFonts w:eastAsia="Open Sans" w:cs="Open Sans"/>
          <w:color w:val="2C3E50"/>
          <w:sz w:val="22"/>
          <w:szCs w:val="22"/>
        </w:rPr>
        <w:t>Scénario a : copiez d’abord le fichier sur le serveur. Scénario b : directement depuis votre poste.</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 scénario a</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scp ~/.cortexskills-editeur/licences/L-0001_v1_Clinique_Exemple.lic utilisateur@serveur:/tmp/</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sudo cp /tmp/L-0001_v1_Clinique_Exemple.lic /opt/cortexskills/licence/ &amp;&amp; sudo chmod 644 /opt/cortexskills/licence/*.lic</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sudo -u cortexskills ./cortexskills admin licence-install --file licence/L-0001_v1_Clinique_Exemple.lic</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 scénario b (PowerShell)</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.\cortexskills.cmd admin licence-install --file $env:USERPROFILE\.cortexskills-editeur\licences\L-0001_v1_Clinique_Exemple.lic</w:t>
      </w:r>
    </w:p>
    <w:p>
      <w:pPr>
        <w:pStyle w:val="Heading2"/>
        <w:keepNext w:val="true"/>
        <w:spacing w:before="320" w:after="120"/>
        <w:rPr/>
      </w:pPr>
      <w:bookmarkStart w:id="18" w:name="__RefHeading___Toc6435_3952465195"/>
      <w:bookmarkEnd w:id="18"/>
      <w:r>
        <w:rPr>
          <w:rFonts w:eastAsia="Montserrat" w:cs="Montserrat"/>
          <w:b/>
          <w:bCs/>
          <w:color w:val="123A5F"/>
          <w:sz w:val="32"/>
          <w:szCs w:val="32"/>
        </w:rPr>
        <w:t>6.2 Lire</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cslic lister                     # licences actives : numéro, société, plan, utilisateurs, fin, version, état</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cslic lister --tout --csv registre.csv   # tout l’historique, exporté pour un tableur</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cslic afficher L-0001            # détail et historique (création, modifications, révocation)</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cortexskills admin licence-list  # sur l’installation : licences installées et leur état</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cortexskills admin licence-show --org clinique-exemple.ma</w:t>
      </w:r>
    </w:p>
    <w:p>
      <w:pPr>
        <w:pStyle w:val="Normal"/>
        <w:spacing w:lineRule="auto" w:line="288" w:before="0" w:after="160"/>
        <w:jc w:val="left"/>
        <w:rPr/>
      </w:pPr>
      <w:r>
        <w:rPr>
          <w:rFonts w:eastAsia="Open Sans" w:cs="Open Sans"/>
          <w:color w:val="2C3E50"/>
          <w:sz w:val="20"/>
          <w:szCs w:val="20"/>
        </w:rPr>
        <w:t>États : ACTIVE, ACTIVE (n j) dans les 30 derniers jours, EXPIRÉE, RÉVOQUÉE. Le journal journal.log du poste trace chaque opération (date, utilisateur, licence).</w:t>
      </w:r>
    </w:p>
    <w:p>
      <w:pPr>
        <w:pStyle w:val="Heading2"/>
        <w:keepNext w:val="true"/>
        <w:spacing w:before="320" w:after="120"/>
        <w:rPr/>
      </w:pPr>
      <w:bookmarkStart w:id="19" w:name="__RefHeading___Toc6437_3952465195"/>
      <w:bookmarkEnd w:id="19"/>
      <w:r>
        <w:rPr>
          <w:rFonts w:eastAsia="Montserrat" w:cs="Montserrat"/>
          <w:b/>
          <w:bCs/>
          <w:color w:val="123A5F"/>
          <w:sz w:val="32"/>
          <w:szCs w:val="32"/>
        </w:rPr>
        <w:t>6.3 Modifier et renouveler</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cslic modifier L-0001 --utilisateurs 80                  # plus d’utilisateurs</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cslic modifier L-0001 --plan BND-02 --addons AD-02,AD-11   # autre plan, autres add-ons (--addons "" pour aucun)</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cslic renouveler L-0001 --fin 2028-12-31                  # nouvelle date de fin</w:t>
      </w:r>
    </w:p>
    <w:p>
      <w:pPr>
        <w:pStyle w:val="Normal"/>
        <w:spacing w:lineRule="auto" w:line="288" w:before="0" w:after="160"/>
        <w:jc w:val="left"/>
        <w:rPr/>
      </w:pPr>
      <w:r>
        <w:rPr>
          <w:rFonts w:eastAsia="Open Sans" w:cs="Open Sans"/>
          <w:color w:val="2C3E50"/>
          <w:sz w:val="20"/>
          <w:szCs w:val="20"/>
        </w:rPr>
        <w:t>Chaque modification signe une nouvelle version (L-0001_v2_…lic) et l’inscrit dans l’historique. Installez-la comme la première (licence-install) : elle remplace la précédente, sans redémarrage.</w:t>
      </w:r>
    </w:p>
    <w:p>
      <w:pPr>
        <w:pStyle w:val="Heading2"/>
        <w:keepNext w:val="true"/>
        <w:spacing w:before="320" w:after="120"/>
        <w:rPr/>
      </w:pPr>
      <w:bookmarkStart w:id="20" w:name="__RefHeading___Toc6439_3952465195"/>
      <w:bookmarkEnd w:id="20"/>
      <w:r>
        <w:rPr>
          <w:rFonts w:eastAsia="Montserrat" w:cs="Montserrat"/>
          <w:b/>
          <w:bCs/>
          <w:color w:val="123A5F"/>
          <w:sz w:val="32"/>
          <w:szCs w:val="32"/>
        </w:rPr>
        <w:t>6.4 Révoquer et retirer</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cslic revoquer L-0001 --motif "contrat résilié"</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cortexskills admin licence-remove --org clinique-exemple.ma --yes     # sur l’installation : les utilisateurs ne peuvent plus se connecter</w:t>
      </w:r>
    </w:p>
    <w:p>
      <w:pPr>
        <w:pStyle w:val="Normal"/>
        <w:spacing w:lineRule="auto" w:line="288" w:before="0" w:after="160"/>
        <w:jc w:val="left"/>
        <w:rPr/>
      </w:pPr>
      <w:r>
        <w:rPr>
          <w:rFonts w:eastAsia="Open Sans" w:cs="Open Sans"/>
          <w:color w:val="2C3E50"/>
          <w:sz w:val="20"/>
          <w:szCs w:val="20"/>
        </w:rPr>
        <w:t>Sur vos installations (scénarios a et b), le retrait est immédiat. Chez un client qui installe lui-même, une licence ne peut pas être annulée à distance : elle cesse à sa date de fin. Préférez donc des durées d’un an, renouvelées, et appliquez le contrat. Les données de l’organisation restent dans data/.</w:t>
      </w:r>
    </w:p>
    <w:p>
      <w:pPr>
        <w:pStyle w:val="Heading2"/>
        <w:keepNext w:val="true"/>
        <w:spacing w:before="320" w:after="120"/>
        <w:rPr/>
      </w:pPr>
      <w:bookmarkStart w:id="21" w:name="__RefHeading___Toc6441_3952465195"/>
      <w:bookmarkEnd w:id="21"/>
      <w:r>
        <w:rPr>
          <w:rFonts w:eastAsia="Montserrat" w:cs="Montserrat"/>
          <w:b/>
          <w:bCs/>
          <w:color w:val="123A5F"/>
          <w:sz w:val="32"/>
          <w:szCs w:val="32"/>
        </w:rPr>
        <w:t>6.5 Supprimer</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cslic supprimer L-0001 --oui            # licence révoquée ou expirée ; --force pour une licence encore active</w:t>
      </w:r>
    </w:p>
    <w:p>
      <w:pPr>
        <w:pStyle w:val="Normal"/>
        <w:spacing w:lineRule="auto" w:line="288" w:before="0" w:after="160"/>
        <w:jc w:val="left"/>
        <w:rPr/>
      </w:pPr>
      <w:r>
        <w:rPr>
          <w:rFonts w:eastAsia="Open Sans" w:cs="Open Sans"/>
          <w:color w:val="2C3E50"/>
          <w:sz w:val="20"/>
          <w:szCs w:val="20"/>
        </w:rPr>
        <w:t>La fiche et toutes les versions du fichier sont déplacées dans archives/ ; la ligne disparaît du registre. Le journal garde la trace de l’opération.</w:t>
      </w:r>
    </w:p>
    <w:p>
      <w:pPr>
        <w:pStyle w:val="Heading2"/>
        <w:keepNext w:val="true"/>
        <w:spacing w:before="320" w:after="120"/>
        <w:rPr/>
      </w:pPr>
      <w:bookmarkStart w:id="22" w:name="__RefHeading___Toc6443_3952465195"/>
      <w:bookmarkEnd w:id="22"/>
      <w:r>
        <w:rPr>
          <w:rFonts w:eastAsia="Montserrat" w:cs="Montserrat"/>
          <w:b/>
          <w:bCs/>
          <w:color w:val="123A5F"/>
          <w:sz w:val="32"/>
          <w:szCs w:val="32"/>
        </w:rPr>
        <w:t>6.6 Un client qui installe chez lui</w:t>
      </w:r>
    </w:p>
    <w:p>
      <w:pPr>
        <w:pStyle w:val="ListParagraph"/>
        <w:numPr>
          <w:ilvl w:val="0"/>
          <w:numId w:val="0"/>
        </w:numPr>
        <w:spacing w:lineRule="auto" w:line="288" w:before="0" w:after="80"/>
        <w:ind w:hanging="0" w:left="0"/>
        <w:rPr/>
      </w:pPr>
      <w:r>
        <w:rPr>
          <w:rFonts w:eastAsia="Open Sans" w:cs="Open Sans"/>
          <w:color w:val="2C3E50"/>
          <w:sz w:val="22"/>
          <w:szCs w:val="22"/>
        </w:rPr>
        <w:t>Envoyer au client : Runtime_Customer_Linux_CortexSkills_1.15.1.tar.xz et Runtime_Customer_Linux_CortexSkills_1.15.1.tar.xz.sha256, avec le guide d’installation client et le guide utilisateur client (Word et PDF, en français ou en anglais). Le paquet est le même pour tous les clients : il contient votre clé publique.</w:t>
      </w:r>
    </w:p>
    <w:p>
      <w:pPr>
        <w:pStyle w:val="ListParagraph"/>
        <w:numPr>
          <w:ilvl w:val="0"/>
          <w:numId w:val="0"/>
        </w:numPr>
        <w:spacing w:lineRule="auto" w:line="288" w:before="0" w:after="80"/>
        <w:ind w:hanging="0" w:left="0"/>
        <w:rPr/>
      </w:pPr>
      <w:r>
        <w:rPr>
          <w:rFonts w:eastAsia="Open Sans" w:cs="Open Sans"/>
          <w:color w:val="2C3E50"/>
          <w:sz w:val="22"/>
          <w:szCs w:val="22"/>
        </w:rPr>
        <w:t>Recevoir les lignes de sa demande (licence-request) : société et Organization ID.</w:t>
      </w:r>
    </w:p>
    <w:p>
      <w:pPr>
        <w:pStyle w:val="ListParagraph"/>
        <w:numPr>
          <w:ilvl w:val="0"/>
          <w:numId w:val="0"/>
        </w:numPr>
        <w:spacing w:lineRule="auto" w:line="288" w:before="0" w:after="80"/>
        <w:ind w:hanging="0" w:left="0"/>
        <w:rPr/>
      </w:pPr>
      <w:r>
        <w:rPr>
          <w:rFonts w:eastAsia="Open Sans" w:cs="Open Sans"/>
          <w:color w:val="2C3E50"/>
          <w:sz w:val="22"/>
          <w:szCs w:val="22"/>
        </w:rPr>
        <w:t>Signer avec cslic creer (6.1) et lui envoyer le fichier .lic par e-mail. Il l’installe avec licence-install, sans accès de votre part à son serveur.</w:t>
      </w:r>
    </w:p>
    <w:p>
      <w:pPr>
        <w:pStyle w:val="ListParagraph"/>
        <w:numPr>
          <w:ilvl w:val="0"/>
          <w:numId w:val="0"/>
        </w:numPr>
        <w:spacing w:lineRule="auto" w:line="288" w:before="0" w:after="80"/>
        <w:ind w:hanging="0" w:left="0"/>
        <w:rPr/>
      </w:pPr>
      <w:r>
        <w:rPr>
          <w:rFonts w:eastAsia="Open Sans" w:cs="Open Sans"/>
          <w:color w:val="2C3E50"/>
          <w:sz w:val="22"/>
          <w:szCs w:val="22"/>
        </w:rPr>
        <w:t>Renouvellements et changements : cslic modifier / renouveler, puis envoi de la nouvelle version.</w:t>
      </w:r>
      <w:r>
        <w:br w:type="page"/>
      </w:r>
    </w:p>
    <w:p>
      <w:pPr>
        <w:pStyle w:val="Heading1"/>
        <w:pBdr>
          <w:bottom w:val="single" w:sz="6" w:space="6" w:color="E1E8F0"/>
        </w:pBdr>
        <w:spacing w:before="0" w:after="240"/>
        <w:rPr/>
      </w:pPr>
      <w:bookmarkStart w:id="23" w:name="__RefHeading___Toc6445_3952465195"/>
      <w:bookmarkEnd w:id="23"/>
      <w:r>
        <w:rPr>
          <w:rFonts w:eastAsia="Montserrat" w:cs="Montserrat"/>
          <w:b/>
          <w:bCs/>
          <w:color w:val="123A5F"/>
          <w:sz w:val="40"/>
          <w:szCs w:val="40"/>
        </w:rPr>
        <w:t>7. Nouvelle version ou changement de clés</w:t>
      </w:r>
    </w:p>
    <w:p>
      <w:pPr>
        <w:pStyle w:val="ListParagraph"/>
        <w:numPr>
          <w:ilvl w:val="0"/>
          <w:numId w:val="1"/>
        </w:numPr>
        <w:spacing w:lineRule="auto" w:line="288" w:before="0" w:after="80"/>
        <w:rPr/>
      </w:pPr>
      <w:r>
        <w:rPr>
          <w:rFonts w:eastAsia="Open Sans" w:cs="Open Sans"/>
          <w:color w:val="2C3E50"/>
          <w:sz w:val="22"/>
          <w:szCs w:val="22"/>
        </w:rPr>
        <w:t>Nouvelle version : vous recevez de nouveaux fichiers Runtime_Editor_Linux_Windows_CortexSkills_&lt;version&gt;.zip et Runtime_Customer_Linux_CortexSkills_&lt;version&gt;.tar.xz, construits par l’équipe de développement (le code source ne fait pas partie de cette livraison). Sur chaque installation : sauvegarde, puis remplacement de app/, config/ et des scripts ; .env, data/ et licence/ sont conservés et la base est migrée au démarrage. Les données de référence ne sont pas rechargées.</w:t>
      </w:r>
    </w:p>
    <w:p>
      <w:pPr>
        <w:pStyle w:val="ListParagraph"/>
        <w:numPr>
          <w:ilvl w:val="0"/>
          <w:numId w:val="1"/>
        </w:numPr>
        <w:spacing w:lineRule="auto" w:line="288" w:before="0" w:after="80"/>
        <w:rPr/>
      </w:pPr>
      <w:r>
        <w:rPr>
          <w:rFonts w:eastAsia="Open Sans" w:cs="Open Sans"/>
          <w:color w:val="2C3E50"/>
          <w:sz w:val="22"/>
          <w:szCs w:val="22"/>
        </w:rPr>
        <w:t>Sous Windows (scénario b) : arrêtez l’application, décompressez la nouvelle version dans un nouveau dossier, copiez-y .env et le dossier data\ de l’ancienne, puis lancez .\cortexskills.cmd start ; mettez à jour la tâche planifiée si vous l’utilisez.</w:t>
      </w:r>
    </w:p>
    <w:p>
      <w:pPr>
        <w:pStyle w:val="ListParagraph"/>
        <w:numPr>
          <w:ilvl w:val="0"/>
          <w:numId w:val="1"/>
        </w:numPr>
        <w:spacing w:lineRule="auto" w:line="288" w:before="0" w:after="80"/>
        <w:rPr/>
      </w:pPr>
      <w:r>
        <w:rPr>
          <w:rFonts w:eastAsia="Open Sans" w:cs="Open Sans"/>
          <w:color w:val="2C3E50"/>
          <w:sz w:val="22"/>
          <w:szCs w:val="22"/>
        </w:rPr>
        <w:t>Les nouveaux paquets sont construits avec votre clé publique (vendor-public.pem, que vous pouvez exporter avec cslic cle-publique) : vos licences restent valables.</w:t>
      </w:r>
    </w:p>
    <w:p>
      <w:pPr>
        <w:pStyle w:val="ListParagraph"/>
        <w:numPr>
          <w:ilvl w:val="0"/>
          <w:numId w:val="1"/>
        </w:numPr>
        <w:spacing w:lineRule="auto" w:line="288" w:before="0" w:after="80"/>
        <w:rPr/>
      </w:pPr>
      <w:r>
        <w:rPr>
          <w:rFonts w:eastAsia="Open Sans" w:cs="Open Sans"/>
          <w:color w:val="2C3E50"/>
          <w:sz w:val="22"/>
          <w:szCs w:val="22"/>
        </w:rPr>
        <w:t>Changement de clés (clé perdue ou divulguée) : créez une nouvelle paire avec cslic init dans un nouveau CSLIC_HOME, faites reconstruire les paquets avec la nouvelle clé publique, puis réémettez et renvoyez toutes les licences ; les anciennes ne sont plus reconnues par les nouveaux paquets.</w:t>
      </w:r>
      <w:r>
        <w:br w:type="page"/>
      </w:r>
    </w:p>
    <w:p>
      <w:pPr>
        <w:pStyle w:val="Heading1"/>
        <w:pBdr>
          <w:bottom w:val="single" w:sz="6" w:space="6" w:color="E1E8F0"/>
        </w:pBdr>
        <w:spacing w:before="0" w:after="240"/>
        <w:rPr/>
      </w:pPr>
      <w:bookmarkStart w:id="24" w:name="__RefHeading___Toc6447_3952465195"/>
      <w:bookmarkEnd w:id="24"/>
      <w:r>
        <w:rPr>
          <w:rFonts w:eastAsia="Montserrat" w:cs="Montserrat"/>
          <w:b/>
          <w:bCs/>
          <w:color w:val="123A5F"/>
          <w:sz w:val="40"/>
          <w:szCs w:val="40"/>
        </w:rPr>
        <w:t>8. Plans et add-ons</w:t>
      </w:r>
    </w:p>
    <w:tbl>
      <w:tblPr>
        <w:tblW w:w="9638" w:type="dxa"/>
        <w:jc w:val="left"/>
        <w:tblInd w:w="0" w:type="dxa"/>
        <w:tblLayout w:type="fixed"/>
        <w:tblCellMar>
          <w:top w:w="70" w:type="dxa"/>
          <w:left w:w="110" w:type="dxa"/>
          <w:bottom w:w="70" w:type="dxa"/>
          <w:right w:w="110" w:type="dxa"/>
        </w:tblCellMar>
      </w:tblPr>
      <w:tblGrid>
        <w:gridCol w:w="1298"/>
        <w:gridCol w:w="5295"/>
        <w:gridCol w:w="3045"/>
      </w:tblGrid>
      <w:tr>
        <w:trPr>
          <w:tblHeader w:val="true"/>
          <w:cantSplit w:val="true"/>
        </w:trPr>
        <w:tc>
          <w:tcPr>
            <w:tcW w:w="129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Plan</w:t>
            </w:r>
          </w:p>
        </w:tc>
        <w:tc>
          <w:tcPr>
            <w:tcW w:w="529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Nom</w:t>
            </w:r>
          </w:p>
        </w:tc>
        <w:tc>
          <w:tcPr>
            <w:tcW w:w="304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Contient</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PK-01</w:t>
            </w:r>
          </w:p>
        </w:tc>
        <w:tc>
          <w:tcPr>
            <w:tcW w:w="52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Offre ingénierie de formation de base</w:t>
            </w:r>
          </w:p>
        </w:tc>
        <w:tc>
          <w:tcPr>
            <w:tcW w:w="30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PK-01</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PK-02</w:t>
            </w:r>
          </w:p>
        </w:tc>
        <w:tc>
          <w:tcPr>
            <w:tcW w:w="52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Offre réalisation et expérience d’apprentissage</w:t>
            </w:r>
          </w:p>
        </w:tc>
        <w:tc>
          <w:tcPr>
            <w:tcW w:w="30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PK-02</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PK-03</w:t>
            </w:r>
          </w:p>
        </w:tc>
        <w:tc>
          <w:tcPr>
            <w:tcW w:w="52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Offre évaluation, analytique et ROI</w:t>
            </w:r>
          </w:p>
        </w:tc>
        <w:tc>
          <w:tcPr>
            <w:tcW w:w="30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PK-03</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PK-04</w:t>
            </w:r>
          </w:p>
        </w:tc>
        <w:tc>
          <w:tcPr>
            <w:tcW w:w="52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Offre conformité et certification</w:t>
            </w:r>
          </w:p>
        </w:tc>
        <w:tc>
          <w:tcPr>
            <w:tcW w:w="30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PK-04</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PK-05</w:t>
            </w:r>
          </w:p>
        </w:tc>
        <w:tc>
          <w:tcPr>
            <w:tcW w:w="52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Offre talents et mobilité</w:t>
            </w:r>
          </w:p>
        </w:tc>
        <w:tc>
          <w:tcPr>
            <w:tcW w:w="30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PK-05</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PK-06</w:t>
            </w:r>
          </w:p>
        </w:tc>
        <w:tc>
          <w:tcPr>
            <w:tcW w:w="52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Offre entreprise étendue</w:t>
            </w:r>
          </w:p>
        </w:tc>
        <w:tc>
          <w:tcPr>
            <w:tcW w:w="30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PK-06</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PK-07</w:t>
            </w:r>
          </w:p>
        </w:tc>
        <w:tc>
          <w:tcPr>
            <w:tcW w:w="52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Offre conseil et diagnostic</w:t>
            </w:r>
          </w:p>
        </w:tc>
        <w:tc>
          <w:tcPr>
            <w:tcW w:w="30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PK-07</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PK-08</w:t>
            </w:r>
          </w:p>
        </w:tc>
        <w:tc>
          <w:tcPr>
            <w:tcW w:w="52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Offre pilotage stratégique des effectifs et gouvernance</w:t>
            </w:r>
          </w:p>
        </w:tc>
        <w:tc>
          <w:tcPr>
            <w:tcW w:w="30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PK-08</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BND-01</w:t>
            </w:r>
          </w:p>
        </w:tc>
        <w:tc>
          <w:tcPr>
            <w:tcW w:w="52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Pack Démarrage</w:t>
            </w:r>
          </w:p>
        </w:tc>
        <w:tc>
          <w:tcPr>
            <w:tcW w:w="30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PK-01, PK-02</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BND-02</w:t>
            </w:r>
          </w:p>
        </w:tc>
        <w:tc>
          <w:tcPr>
            <w:tcW w:w="52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Pack Croissance</w:t>
            </w:r>
          </w:p>
        </w:tc>
        <w:tc>
          <w:tcPr>
            <w:tcW w:w="30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PK-01 à PK-03</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BND-03</w:t>
            </w:r>
          </w:p>
        </w:tc>
        <w:tc>
          <w:tcPr>
            <w:tcW w:w="52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Pack Entreprise</w:t>
            </w:r>
          </w:p>
        </w:tc>
        <w:tc>
          <w:tcPr>
            <w:tcW w:w="30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PK-01 à PK-05</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BND-04</w:t>
            </w:r>
          </w:p>
        </w:tc>
        <w:tc>
          <w:tcPr>
            <w:tcW w:w="52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Pack Stratégique</w:t>
            </w:r>
          </w:p>
        </w:tc>
        <w:tc>
          <w:tcPr>
            <w:tcW w:w="30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PK-01 à PK-06, PK-08</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BND-05</w:t>
            </w:r>
          </w:p>
        </w:tc>
        <w:tc>
          <w:tcPr>
            <w:tcW w:w="52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Suite complète</w:t>
            </w:r>
          </w:p>
        </w:tc>
        <w:tc>
          <w:tcPr>
            <w:tcW w:w="30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PK-01 à PK-08</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SME-ESS</w:t>
            </w:r>
          </w:p>
        </w:tc>
        <w:tc>
          <w:tcPr>
            <w:tcW w:w="52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Pack PME Essentiel</w:t>
            </w:r>
          </w:p>
        </w:tc>
        <w:tc>
          <w:tcPr>
            <w:tcW w:w="30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PK-01</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SME-GRO</w:t>
            </w:r>
          </w:p>
        </w:tc>
        <w:tc>
          <w:tcPr>
            <w:tcW w:w="52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Pack PME Croissance</w:t>
            </w:r>
          </w:p>
        </w:tc>
        <w:tc>
          <w:tcPr>
            <w:tcW w:w="30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PK-01 à PK-03</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SME-CMP</w:t>
            </w:r>
          </w:p>
        </w:tc>
        <w:tc>
          <w:tcPr>
            <w:tcW w:w="52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Pack PME Complet</w:t>
            </w:r>
          </w:p>
        </w:tc>
        <w:tc>
          <w:tcPr>
            <w:tcW w:w="30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PK-01 à PK-08</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Add-on</w:t>
            </w:r>
          </w:p>
        </w:tc>
        <w:tc>
          <w:tcPr>
            <w:tcW w:w="8340" w:type="dxa"/>
            <w:gridSpan w:val="2"/>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Nom</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AD-01</w:t>
            </w:r>
          </w:p>
        </w:tc>
        <w:tc>
          <w:tcPr>
            <w:tcW w:w="8340" w:type="dxa"/>
            <w:gridSpan w:val="2"/>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Apprentissage immersif (RV/RA/simulation)</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AD-02</w:t>
            </w:r>
          </w:p>
        </w:tc>
        <w:tc>
          <w:tcPr>
            <w:tcW w:w="8340" w:type="dxa"/>
            <w:gridSpan w:val="2"/>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Moteur de personnalisation IA</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AD-03</w:t>
            </w:r>
          </w:p>
        </w:tc>
        <w:tc>
          <w:tcPr>
            <w:tcW w:w="8340" w:type="dxa"/>
            <w:gridSpan w:val="2"/>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Analytique prédictive</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AD-04</w:t>
            </w:r>
          </w:p>
        </w:tc>
        <w:tc>
          <w:tcPr>
            <w:tcW w:w="8340" w:type="dxa"/>
            <w:gridSpan w:val="2"/>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Apprentissage social et collaboratif</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AD-05</w:t>
            </w:r>
          </w:p>
        </w:tc>
        <w:tc>
          <w:tcPr>
            <w:tcW w:w="8340" w:type="dxa"/>
            <w:gridSpan w:val="2"/>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Moteur de ludification</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AD-06</w:t>
            </w:r>
          </w:p>
        </w:tc>
        <w:tc>
          <w:tcPr>
            <w:tcW w:w="8340" w:type="dxa"/>
            <w:gridSpan w:val="2"/>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Curation et agrégation de contenus</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AD-07</w:t>
            </w:r>
          </w:p>
        </w:tc>
        <w:tc>
          <w:tcPr>
            <w:tcW w:w="8340" w:type="dxa"/>
            <w:gridSpan w:val="2"/>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Capture et transfert des savoirs d’experts</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AD-08</w:t>
            </w:r>
          </w:p>
        </w:tc>
        <w:tc>
          <w:tcPr>
            <w:tcW w:w="8340" w:type="dxa"/>
            <w:gridSpan w:val="2"/>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Déploiement multi-sites / multi-entités</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AD-09</w:t>
            </w:r>
          </w:p>
        </w:tc>
        <w:tc>
          <w:tcPr>
            <w:tcW w:w="8340" w:type="dxa"/>
            <w:gridSpan w:val="2"/>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Validation externe du plan de formation</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AD-10</w:t>
            </w:r>
          </w:p>
        </w:tc>
        <w:tc>
          <w:tcPr>
            <w:tcW w:w="8340" w:type="dxa"/>
            <w:gridSpan w:val="2"/>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Maturité managériale</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AD-11</w:t>
            </w:r>
          </w:p>
        </w:tc>
        <w:tc>
          <w:tcPr>
            <w:tcW w:w="8340" w:type="dxa"/>
            <w:gridSpan w:val="2"/>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Bibliothèque de questionnaires et diffusion multicanale</w:t>
            </w:r>
          </w:p>
        </w:tc>
      </w:tr>
    </w:tbl>
    <w:p>
      <w:pPr>
        <w:pStyle w:val="Normal"/>
        <w:spacing w:lineRule="auto" w:line="288" w:before="0" w:after="160"/>
        <w:jc w:val="left"/>
        <w:rPr/>
      </w:pPr>
      <w:r>
        <w:rPr>
          <w:rFonts w:eastAsia="Open Sans" w:cs="Open Sans"/>
          <w:color w:val="5A6B7B"/>
          <w:sz w:val="20"/>
          <w:szCs w:val="20"/>
        </w:rPr>
        <w:t>Les tarifs restent visibles dans vos installations (Administration › Tarifs) ; ils n’apparaissent jamais chez les clients.</w:t>
      </w:r>
      <w:r>
        <w:br w:type="page"/>
      </w:r>
    </w:p>
    <w:p>
      <w:pPr>
        <w:pStyle w:val="Heading1"/>
        <w:pBdr>
          <w:bottom w:val="single" w:sz="6" w:space="6" w:color="E1E8F0"/>
        </w:pBdr>
        <w:spacing w:before="0" w:after="240"/>
        <w:rPr/>
      </w:pPr>
      <w:bookmarkStart w:id="25" w:name="__RefHeading___Toc6449_3952465195"/>
      <w:bookmarkEnd w:id="25"/>
      <w:r>
        <w:rPr>
          <w:rFonts w:eastAsia="Montserrat" w:cs="Montserrat"/>
          <w:b/>
          <w:bCs/>
          <w:color w:val="123A5F"/>
          <w:sz w:val="40"/>
          <w:szCs w:val="40"/>
        </w:rPr>
        <w:t>9. Dépannage</w:t>
      </w:r>
    </w:p>
    <w:tbl>
      <w:tblPr>
        <w:tblW w:w="9638" w:type="dxa"/>
        <w:jc w:val="left"/>
        <w:tblInd w:w="0" w:type="dxa"/>
        <w:tblLayout w:type="fixed"/>
        <w:tblCellMar>
          <w:top w:w="70" w:type="dxa"/>
          <w:left w:w="110" w:type="dxa"/>
          <w:bottom w:w="70" w:type="dxa"/>
          <w:right w:w="110" w:type="dxa"/>
        </w:tblCellMar>
      </w:tblPr>
      <w:tblGrid>
        <w:gridCol w:w="3196"/>
        <w:gridCol w:w="2998"/>
        <w:gridCol w:w="3444"/>
      </w:tblGrid>
      <w:tr>
        <w:trPr>
          <w:tblHeader w:val="true"/>
          <w:cantSplit w:val="true"/>
        </w:trPr>
        <w:tc>
          <w:tcPr>
            <w:tcW w:w="31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Ce que vous voyez</w:t>
            </w:r>
          </w:p>
        </w:tc>
        <w:tc>
          <w:tcPr>
            <w:tcW w:w="299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Cause</w:t>
            </w:r>
          </w:p>
        </w:tc>
        <w:tc>
          <w:tcPr>
            <w:tcW w:w="344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Que faire</w:t>
            </w:r>
          </w:p>
        </w:tc>
      </w:tr>
      <w:tr>
        <w:trPr>
          <w:cantSplit w:val="true"/>
        </w:trPr>
        <w:tc>
          <w:tcPr>
            <w:tcW w:w="31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 Node.js 22 introuvable »</w:t>
            </w:r>
          </w:p>
        </w:tc>
        <w:tc>
          <w:tcPr>
            <w:tcW w:w="29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Node.js n’est pas installé, ou la fenêtre a été ouverte avant son installation.</w:t>
            </w:r>
          </w:p>
        </w:tc>
        <w:tc>
          <w:tcPr>
            <w:tcW w:w="34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Installez Node.js 22 (2.2) puis ouvrez une nouvelle fenêtre ; ou CORTEXSKILLS_NODE=&lt;chemin de node&gt;.</w:t>
            </w:r>
          </w:p>
        </w:tc>
      </w:tr>
      <w:tr>
        <w:trPr>
          <w:cantSplit w:val="true"/>
        </w:trPr>
        <w:tc>
          <w:tcPr>
            <w:tcW w:w="31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 needs Node.js 22.13 or newer »</w:t>
            </w:r>
          </w:p>
        </w:tc>
        <w:tc>
          <w:tcPr>
            <w:tcW w:w="29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Version de Node.js trop ancienne.</w:t>
            </w:r>
          </w:p>
        </w:tc>
        <w:tc>
          <w:tcPr>
            <w:tcW w:w="34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Installez Node.js 22 LTS (2.2).</w:t>
            </w:r>
          </w:p>
        </w:tc>
      </w:tr>
      <w:tr>
        <w:trPr>
          <w:cantSplit w:val="true"/>
        </w:trPr>
        <w:tc>
          <w:tcPr>
            <w:tcW w:w="31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cslic : « Poste de signature non initialisé »</w:t>
            </w:r>
          </w:p>
        </w:tc>
        <w:tc>
          <w:tcPr>
            <w:tcW w:w="29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Clés pas encore importées sur ce poste, ou CSLIC_HOME différent.</w:t>
            </w:r>
          </w:p>
        </w:tc>
        <w:tc>
          <w:tcPr>
            <w:tcW w:w="34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cslic importer poste-signature, ou restauration de la sauvegarde chiffrée.</w:t>
            </w:r>
          </w:p>
        </w:tc>
      </w:tr>
      <w:tr>
        <w:trPr>
          <w:cantSplit w:val="true"/>
        </w:trPr>
        <w:tc>
          <w:tcPr>
            <w:tcW w:w="31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cslic creer : « déjà active pour cette organisation »</w:t>
            </w:r>
          </w:p>
        </w:tc>
        <w:tc>
          <w:tcPr>
            <w:tcW w:w="29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Une seule licence active par organisation.</w:t>
            </w:r>
          </w:p>
        </w:tc>
        <w:tc>
          <w:tcPr>
            <w:tcW w:w="34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cslic modifier L-xxxx …</w:t>
            </w:r>
          </w:p>
        </w:tc>
      </w:tr>
      <w:tr>
        <w:trPr>
          <w:cantSplit w:val="true"/>
        </w:trPr>
        <w:tc>
          <w:tcPr>
            <w:tcW w:w="31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 The vendor PRIVATE key must never be on a customer server »</w:t>
            </w:r>
          </w:p>
        </w:tc>
        <w:tc>
          <w:tcPr>
            <w:tcW w:w="29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vendor-private.pem trouvé dans le dossier de l’application.</w:t>
            </w:r>
          </w:p>
        </w:tc>
        <w:tc>
          <w:tcPr>
            <w:tcW w:w="34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Retirez-le : il ne doit exister que dans le dossier cles/ du poste de signature.</w:t>
            </w:r>
          </w:p>
        </w:tc>
      </w:tr>
      <w:tr>
        <w:trPr>
          <w:cantSplit w:val="true"/>
        </w:trPr>
        <w:tc>
          <w:tcPr>
            <w:tcW w:w="31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licence-install : « signature is not valid » partout</w:t>
            </w:r>
          </w:p>
        </w:tc>
        <w:tc>
          <w:tcPr>
            <w:tcW w:w="29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Licences signées avec une autre clé que celle du paquet.</w:t>
            </w:r>
          </w:p>
        </w:tc>
        <w:tc>
          <w:tcPr>
            <w:tcW w:w="34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Comparez les empreintes (cslic empreinte) ; voir le chapitre 7.</w:t>
            </w:r>
          </w:p>
        </w:tc>
      </w:tr>
      <w:tr>
        <w:trPr>
          <w:cantSplit w:val="true"/>
        </w:trPr>
        <w:tc>
          <w:tcPr>
            <w:tcW w:w="31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Premier démarrage long</w:t>
            </w:r>
          </w:p>
        </w:tc>
        <w:tc>
          <w:tcPr>
            <w:tcW w:w="29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Chargement des données de référence.</w:t>
            </w:r>
          </w:p>
        </w:tc>
        <w:tc>
          <w:tcPr>
            <w:tcW w:w="34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Normal (5 à 15 minutes). Ne l’interrompez pas.</w:t>
            </w:r>
          </w:p>
        </w:tc>
      </w:tr>
      <w:tr>
        <w:trPr>
          <w:cantSplit w:val="true"/>
        </w:trPr>
        <w:tc>
          <w:tcPr>
            <w:tcW w:w="31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 Port 4000 is already in use »</w:t>
            </w:r>
          </w:p>
        </w:tc>
        <w:tc>
          <w:tcPr>
            <w:tcW w:w="29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CortexSkills déjà lancé (autre fenêtre, tâche planifiée) ou autre logiciel.</w:t>
            </w:r>
          </w:p>
        </w:tc>
        <w:tc>
          <w:tcPr>
            <w:tcW w:w="34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Fermez l’autre instance, ou changez PORT, PUBLIC_URL et CORS_ORIGIN dans .env.</w:t>
            </w:r>
          </w:p>
        </w:tc>
      </w:tr>
      <w:tr>
        <w:trPr>
          <w:cantSplit w:val="true"/>
        </w:trPr>
        <w:tc>
          <w:tcPr>
            <w:tcW w:w="31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Windows : « Windows a protégé votre ordinateur » (SmartScreen)</w:t>
            </w:r>
          </w:p>
        </w:tc>
        <w:tc>
          <w:tcPr>
            <w:tcW w:w="29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Fichiers marqués « téléchargés depuis Internet ».</w:t>
            </w:r>
          </w:p>
        </w:tc>
        <w:tc>
          <w:tcPr>
            <w:tcW w:w="34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Unblock-File sur le zip avant de le décompresser (2.3), ou Get-ChildItem -Recurse | Unblock-File dans le dossier.</w:t>
            </w:r>
          </w:p>
        </w:tc>
      </w:tr>
      <w:tr>
        <w:trPr>
          <w:cantSplit w:val="true"/>
        </w:trPr>
        <w:tc>
          <w:tcPr>
            <w:tcW w:w="31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Windows : « Accès refusé » en écrivant data\</w:t>
            </w:r>
          </w:p>
        </w:tc>
        <w:tc>
          <w:tcPr>
            <w:tcW w:w="29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Paquet décompressé dans Program Files.</w:t>
            </w:r>
          </w:p>
        </w:tc>
        <w:tc>
          <w:tcPr>
            <w:tcW w:w="34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Décompressez dans C:\CortexSkills.</w:t>
            </w:r>
          </w:p>
        </w:tc>
      </w:tr>
      <w:tr>
        <w:trPr>
          <w:cantSplit w:val="true"/>
        </w:trPr>
        <w:tc>
          <w:tcPr>
            <w:tcW w:w="31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Linux : « EACCES » ou « read-only file system »</w:t>
            </w:r>
          </w:p>
        </w:tc>
        <w:tc>
          <w:tcPr>
            <w:tcW w:w="29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Installation sous /home ou droits modifiés.</w:t>
            </w:r>
          </w:p>
        </w:tc>
        <w:tc>
          <w:tcPr>
            <w:tcW w:w="34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Installez dans /opt/cortexskills ; relancez sudo ./installer-service.sh.</w:t>
            </w:r>
          </w:p>
        </w:tc>
      </w:tr>
      <w:tr>
        <w:trPr>
          <w:cantSplit w:val="true"/>
        </w:trPr>
        <w:tc>
          <w:tcPr>
            <w:tcW w:w="31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Linux : « GLIBC_2.28 not found »</w:t>
            </w:r>
          </w:p>
        </w:tc>
        <w:tc>
          <w:tcPr>
            <w:tcW w:w="29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Système trop ancien, Alpine ou arm64.</w:t>
            </w:r>
          </w:p>
        </w:tc>
        <w:tc>
          <w:tcPr>
            <w:tcW w:w="34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Linux x86-64 récent (2.1), ou le paquet Docker.</w:t>
            </w:r>
          </w:p>
        </w:tc>
      </w:tr>
      <w:tr>
        <w:trPr>
          <w:cantSplit w:val="true"/>
        </w:trPr>
        <w:tc>
          <w:tcPr>
            <w:tcW w:w="31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Un compte d’une organisation de référence est refusé</w:t>
            </w:r>
          </w:p>
        </w:tc>
        <w:tc>
          <w:tcPr>
            <w:tcW w:w="29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Ces comptes ne peuvent pas se connecter (1.1).</w:t>
            </w:r>
          </w:p>
        </w:tc>
        <w:tc>
          <w:tcPr>
            <w:tcW w:w="34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Administrateur de la plateforme, ou comptes des organisations créées avec la console.</w:t>
            </w:r>
          </w:p>
        </w:tc>
      </w:tr>
    </w:tbl>
    <w:p>
      <w:pPr>
        <w:pStyle w:val="Heading1"/>
        <w:pBdr>
          <w:bottom w:val="single" w:sz="6" w:space="6" w:color="E1E8F0"/>
        </w:pBdr>
        <w:spacing w:before="0" w:after="240"/>
        <w:rPr/>
      </w:pPr>
      <w:r>
        <w:br w:type="page"/>
      </w:r>
      <w:bookmarkStart w:id="26" w:name="__RefHeading___Toc6451_3952465195"/>
      <w:bookmarkEnd w:id="26"/>
      <w:r>
        <w:rPr>
          <w:rFonts w:eastAsia="Montserrat" w:cs="Montserrat"/>
          <w:b/>
          <w:bCs/>
          <w:color w:val="123A5F"/>
          <w:sz w:val="40"/>
          <w:szCs w:val="40"/>
        </w:rPr>
        <w:t>10. Référence des commandes</w:t>
      </w:r>
    </w:p>
    <w:tbl>
      <w:tblPr>
        <w:tblW w:w="9638" w:type="dxa"/>
        <w:jc w:val="left"/>
        <w:tblInd w:w="0" w:type="dxa"/>
        <w:tblLayout w:type="fixed"/>
        <w:tblCellMar>
          <w:top w:w="70" w:type="dxa"/>
          <w:left w:w="110" w:type="dxa"/>
          <w:bottom w:w="70" w:type="dxa"/>
          <w:right w:w="110" w:type="dxa"/>
        </w:tblCellMar>
      </w:tblPr>
      <w:tblGrid>
        <w:gridCol w:w="1597"/>
        <w:gridCol w:w="5595"/>
        <w:gridCol w:w="2446"/>
      </w:tblGrid>
      <w:tr>
        <w:trPr>
          <w:tblHeader w:val="true"/>
          <w:cantSplit w:val="true"/>
        </w:trPr>
        <w:tc>
          <w:tcPr>
            <w:tcW w:w="1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Où</w:t>
            </w:r>
          </w:p>
        </w:tc>
        <w:tc>
          <w:tcPr>
            <w:tcW w:w="559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Commande</w:t>
            </w:r>
          </w:p>
        </w:tc>
        <w:tc>
          <w:tcPr>
            <w:tcW w:w="24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Rôle</w:t>
            </w:r>
          </w:p>
        </w:tc>
      </w:tr>
      <w:tr>
        <w:trPr>
          <w:cantSplit w:val="true"/>
        </w:trPr>
        <w:tc>
          <w:tcPr>
            <w:tcW w:w="1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Poste</w:t>
            </w:r>
          </w:p>
        </w:tc>
        <w:tc>
          <w:tcPr>
            <w:tcW w:w="55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cslic importer poste-signature · cslic-sauvegarder &lt;dossier&gt; · cslic empreinte · cslic cle-publique</w:t>
            </w:r>
          </w:p>
        </w:tc>
        <w:tc>
          <w:tcPr>
            <w:tcW w:w="24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Clés et sauvegarde</w:t>
            </w:r>
          </w:p>
        </w:tc>
      </w:tr>
      <w:tr>
        <w:trPr>
          <w:cantSplit w:val="true"/>
        </w:trPr>
        <w:tc>
          <w:tcPr>
            <w:tcW w:w="1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Poste</w:t>
            </w:r>
          </w:p>
        </w:tc>
        <w:tc>
          <w:tcPr>
            <w:tcW w:w="55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cslic creer · lister · afficher · modifier · renouveler · revoquer · supprimer · verifier</w:t>
            </w:r>
          </w:p>
        </w:tc>
        <w:tc>
          <w:tcPr>
            <w:tcW w:w="244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Licences (CRUD)</w:t>
            </w:r>
          </w:p>
        </w:tc>
      </w:tr>
      <w:tr>
        <w:trPr>
          <w:cantSplit w:val="true"/>
        </w:trPr>
        <w:tc>
          <w:tcPr>
            <w:tcW w:w="1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Installation</w:t>
            </w:r>
          </w:p>
        </w:tc>
        <w:tc>
          <w:tcPr>
            <w:tcW w:w="55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cortexskills start · version · secrets · backup · restore [file]</w:t>
            </w:r>
          </w:p>
        </w:tc>
        <w:tc>
          <w:tcPr>
            <w:tcW w:w="24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Lancement et exploitation</w:t>
            </w:r>
          </w:p>
        </w:tc>
      </w:tr>
      <w:tr>
        <w:trPr>
          <w:cantSplit w:val="true"/>
        </w:trPr>
        <w:tc>
          <w:tcPr>
            <w:tcW w:w="1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Installation</w:t>
            </w:r>
          </w:p>
        </w:tc>
        <w:tc>
          <w:tcPr>
            <w:tcW w:w="55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cortexskills admin org-create · org-list · licence-request · licence-install · licence-list · licence-show · licence-remove · password · help</w:t>
            </w:r>
          </w:p>
        </w:tc>
        <w:tc>
          <w:tcPr>
            <w:tcW w:w="244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Organisations, licences installées, comptes</w:t>
            </w:r>
          </w:p>
        </w:tc>
      </w:tr>
      <w:tr>
        <w:trPr>
          <w:cantSplit w:val="true"/>
        </w:trPr>
        <w:tc>
          <w:tcPr>
            <w:tcW w:w="1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Serveur Linux</w:t>
            </w:r>
          </w:p>
        </w:tc>
        <w:tc>
          <w:tcPr>
            <w:tcW w:w="55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sudo ./installer-service.sh · systemctl status|restart cortexskills · journalctl -u cortexskills -f</w:t>
            </w:r>
          </w:p>
        </w:tc>
        <w:tc>
          <w:tcPr>
            <w:tcW w:w="24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Service (scénario a)</w:t>
            </w:r>
          </w:p>
        </w:tc>
      </w:tr>
      <w:tr>
        <w:trPr>
          <w:cantSplit w:val="true"/>
        </w:trPr>
        <w:tc>
          <w:tcPr>
            <w:tcW w:w="1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Poste Windows</w:t>
            </w:r>
          </w:p>
        </w:tc>
        <w:tc>
          <w:tcPr>
            <w:tcW w:w="55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.\cortexskills.cmd … · .\cslic.cmd … · Register-ScheduledTask (5.1)</w:t>
            </w:r>
          </w:p>
        </w:tc>
        <w:tc>
          <w:tcPr>
            <w:tcW w:w="244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Scénario b</w:t>
            </w:r>
          </w:p>
        </w:tc>
      </w:tr>
    </w:tbl>
    <w:p>
      <w:pPr>
        <w:pStyle w:val="Normal"/>
        <w:spacing w:lineRule="auto" w:line="288" w:before="0" w:after="160"/>
        <w:jc w:val="left"/>
        <w:rPr/>
      </w:pPr>
      <w:r>
        <w:rPr>
          <w:rFonts w:eastAsia="Open Sans" w:cs="Open Sans"/>
          <w:color w:val="5A6B7B"/>
          <w:sz w:val="20"/>
          <w:szCs w:val="20"/>
        </w:rPr>
        <w:t>Utilisation de l’application côté éditeur (organisations, tarifs, licences à l’écran, organisations de référence) : Guide_Utilisateur_Editor_CortexSkills_FR.</w:t>
      </w:r>
    </w:p>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134" w:right="1134" w:gutter="0" w:header="560" w:top="1134" w:footer="560" w:bottom="1134"/>
      <w:pgNumType w:fmt="decimal"/>
      <w:formProt w:val="false"/>
      <w:titlePg/>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 Sans">
    <w:charset w:val="01"/>
    <w:family w:val="roman"/>
    <w:pitch w:val="variable"/>
  </w:font>
  <w:font w:name="Montserrat">
    <w:charset w:val="01"/>
    <w:family w:val="roman"/>
    <w:pitch w:val="variable"/>
  </w:font>
  <w:font w:name="Liberation Sans">
    <w:altName w:val="Arial"/>
    <w:charset w:val="01"/>
    <w:family w:val="swiss"/>
    <w:pitch w:val="variable"/>
  </w:font>
  <w:font w:name="JetBrains Mono">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AIValueFooter"/>
      <w:tabs>
        <w:tab w:val="clear" w:pos="720"/>
        <w:tab w:val="right" w:pos="9638" w:leader="none"/>
      </w:tabs>
      <w:rPr/>
    </w:pPr>
    <w:r>
      <w:rPr>
        <w:rFonts w:eastAsia="Open Sans" w:cs="Open Sans"/>
        <w:color w:val="5A6B7B"/>
        <w:sz w:val="16"/>
        <w:szCs w:val="16"/>
      </w:rPr>
      <w:t>AI Value · CortexSkills — Guide d’installation, exécutable minifié, côté éditeur (Linux et Windows)</w:t>
    </w:r>
    <w:r>
      <w:rPr>
        <w:rFonts w:eastAsia="Open Sans" w:cs="Open Sans"/>
      </w:rPr>
      <w:tab/>
    </w:r>
    <w:r>
      <w:rPr>
        <w:rFonts w:eastAsia="Open Sans" w:cs="Open Sans"/>
        <w:color w:val="5A6B7B"/>
        <w:sz w:val="16"/>
        <w:szCs w:val="16"/>
      </w:rPr>
      <w:t xml:space="preserve">Page </w:t>
    </w:r>
    <w:r>
      <w:rPr/>
      <w:fldChar w:fldCharType="begin"/>
    </w:r>
    <w:r>
      <w:rPr/>
      <w:instrText xml:space="preserve"> PAGE </w:instrText>
    </w:r>
    <w:r>
      <w:rPr/>
      <w:fldChar w:fldCharType="separate"/>
    </w:r>
    <w:r>
      <w:rPr/>
      <w:t>22</w:t>
    </w:r>
    <w:r>
      <w:rPr/>
      <w:fldChar w:fldCharType="end"/>
    </w:r>
    <w:r>
      <w:rPr>
        <w:rFonts w:eastAsia="Open Sans" w:cs="Open Sans"/>
        <w:color w:val="5A6B7B"/>
        <w:sz w:val="16"/>
        <w:szCs w:val="16"/>
      </w:rPr>
      <w:t xml:space="preserve"> sur </w:t>
    </w:r>
    <w:r>
      <w:rPr/>
      <w:fldChar w:fldCharType="begin"/>
    </w:r>
    <w:r>
      <w:rPr/>
      <w:instrText xml:space="preserve"> NUMPAGES </w:instrText>
    </w:r>
    <w:r>
      <w:rPr/>
      <w:fldChar w:fldCharType="separate"/>
    </w:r>
    <w:r>
      <w:rPr/>
      <w:t>22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6" w:color="E1E8F0"/>
      </w:pBdr>
      <w:tabs>
        <w:tab w:val="clear" w:pos="720"/>
        <w:tab w:val="right" w:pos="9638" w:leader="none"/>
      </w:tabs>
      <w:rPr/>
    </w:pPr>
    <w:r>
      <w:rPr/>
      <w:drawing>
        <wp:inline distT="0" distB="0" distL="0" distR="0">
          <wp:extent cx="1428750" cy="266700"/>
          <wp:effectExtent l="0" t="0" r="0" b="0"/>
          <wp:docPr id="2" name="aivalue-lockup.png" descr="AI Value&#10;AI Valu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ivalue-lockup.png" descr="AI Value&#10;AI Value logo"/>
                  <pic:cNvPicPr>
                    <a:picLocks noChangeAspect="1" noChangeArrowheads="1"/>
                  </pic:cNvPicPr>
                </pic:nvPicPr>
                <pic:blipFill>
                  <a:blip r:embed="rId1"/>
                  <a:stretch>
                    <a:fillRect/>
                  </a:stretch>
                </pic:blipFill>
                <pic:spPr bwMode="auto">
                  <a:xfrm>
                    <a:off x="0" y="0"/>
                    <a:ext cx="1428750" cy="266700"/>
                  </a:xfrm>
                  <a:prstGeom prst="rect">
                    <a:avLst/>
                  </a:prstGeom>
                </pic:spPr>
              </pic:pic>
            </a:graphicData>
          </a:graphic>
        </wp:inline>
      </w:drawing>
    </w:r>
    <w:r>
      <w:rPr>
        <w:rFonts w:eastAsia="Open Sans" w:cs="Open Sans"/>
      </w:rPr>
      <w:tab/>
    </w:r>
    <w:r>
      <w:rPr>
        <w:rFonts w:eastAsia="Open Sans" w:cs="Open Sans"/>
        <w:color w:val="5A6B7B"/>
        <w:sz w:val="16"/>
        <w:szCs w:val="16"/>
      </w:rPr>
      <w:t>CortexSkills 1.15.1 · Guide d’installation — exécutable — éditeur — Linux et Windows</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360" w:hanging="260"/>
      </w:pPr>
      <w:rPr>
        <w:rFonts w:ascii="Symbol" w:hAnsi="Symbol" w:cs="Symbol" w:hint="default"/>
        <w:color w:val="1876C6"/>
      </w:rPr>
    </w:lvl>
    <w:lvl w:ilvl="1">
      <w:start w:val="1"/>
      <w:numFmt w:val="bullet"/>
      <w:lvlText w:val=""/>
      <w:lvlJc w:val="left"/>
      <w:pPr>
        <w:tabs>
          <w:tab w:val="num" w:pos="0"/>
        </w:tabs>
        <w:ind w:left="720" w:hanging="260"/>
      </w:pPr>
      <w:rPr>
        <w:rFonts w:ascii="Symbol" w:hAnsi="Symbol" w:cs="Symbol" w:hint="default"/>
        <w:color w:val="1876C6"/>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Open Sans" w:hAnsi="Open Sans" w:eastAsia="Open Sans" w:cs="Open Sans"/>
        <w:color w:val="2C3E50"/>
        <w:sz w:val="22"/>
        <w:szCs w:val="22"/>
        <w:lang w:val="fr-FR" w:eastAsia="zh-CN" w:bidi="hi-IN"/>
      </w:rPr>
    </w:rPrDefault>
    <w:pPrDefault>
      <w:pPr>
        <w:suppressAutoHyphens w:val="true"/>
      </w:pPr>
    </w:pPrDefault>
  </w:docDefaults>
  <w:style w:type="paragraph" w:styleId="Normal" w:default="1">
    <w:name w:val="Normal"/>
    <w:qFormat/>
    <w:pPr>
      <w:widowControl/>
      <w:bidi w:val="0"/>
      <w:spacing w:lineRule="auto" w:line="288" w:before="0" w:after="0"/>
      <w:jc w:val="left"/>
    </w:pPr>
    <w:rPr>
      <w:rFonts w:ascii="Open Sans" w:hAnsi="Open Sans" w:eastAsia="Open Sans" w:cs="Open Sans"/>
      <w:color w:val="2C3E50"/>
      <w:kern w:val="0"/>
      <w:sz w:val="22"/>
      <w:szCs w:val="22"/>
      <w:lang w:val="fr-FR" w:eastAsia="zh-CN" w:bidi="hi-IN"/>
    </w:rPr>
  </w:style>
  <w:style w:type="paragraph" w:styleId="Heading1">
    <w:name w:val="Heading 1"/>
    <w:basedOn w:val="Normal"/>
    <w:next w:val="Normal"/>
    <w:qFormat/>
    <w:pPr>
      <w:spacing w:before="0" w:after="240"/>
      <w:outlineLvl w:val="0"/>
    </w:pPr>
    <w:rPr>
      <w:rFonts w:ascii="Montserrat" w:hAnsi="Montserrat" w:eastAsia="Montserrat" w:cs="Montserrat"/>
      <w:b/>
      <w:bCs/>
      <w:color w:val="123A5F"/>
      <w:sz w:val="40"/>
      <w:szCs w:val="40"/>
    </w:rPr>
  </w:style>
  <w:style w:type="paragraph" w:styleId="Heading2">
    <w:name w:val="Heading 2"/>
    <w:basedOn w:val="Normal"/>
    <w:next w:val="Normal"/>
    <w:qFormat/>
    <w:pPr>
      <w:spacing w:before="320" w:after="120"/>
      <w:outlineLvl w:val="1"/>
    </w:pPr>
    <w:rPr>
      <w:rFonts w:ascii="Montserrat" w:hAnsi="Montserrat" w:eastAsia="Montserrat" w:cs="Montserrat"/>
      <w:b/>
      <w:bCs/>
      <w:color w:val="123A5F"/>
      <w:sz w:val="32"/>
      <w:szCs w:val="32"/>
    </w:rPr>
  </w:style>
  <w:style w:type="paragraph" w:styleId="Heading3">
    <w:name w:val="Heading 3"/>
    <w:basedOn w:val="Normal"/>
    <w:next w:val="Normal"/>
    <w:qFormat/>
    <w:pPr>
      <w:spacing w:before="240" w:after="80"/>
      <w:outlineLvl w:val="2"/>
    </w:pPr>
    <w:rPr>
      <w:rFonts w:ascii="Montserrat" w:hAnsi="Montserrat" w:eastAsia="Montserrat" w:cs="Montserrat"/>
      <w:b/>
      <w:bCs/>
      <w:color w:val="123A5F"/>
      <w:sz w:val="26"/>
      <w:szCs w:val="26"/>
    </w:rPr>
  </w:style>
  <w:style w:type="paragraph" w:styleId="Heading4">
    <w:name w:val="Heading 4"/>
    <w:basedOn w:val="Normal"/>
    <w:next w:val="Normal"/>
    <w:qFormat/>
    <w:pPr/>
    <w:rPr>
      <w:i/>
      <w:iCs/>
      <w:color w:val="2E74B5"/>
    </w:rPr>
  </w:style>
  <w:style w:type="paragraph" w:styleId="Heading5">
    <w:name w:val="Heading 5"/>
    <w:basedOn w:val="Normal"/>
    <w:next w:val="Normal"/>
    <w:qFormat/>
    <w:pPr/>
    <w:rPr>
      <w:color w:val="2E74B5"/>
    </w:rPr>
  </w:style>
  <w:style w:type="paragraph" w:styleId="Heading6">
    <w:name w:val="Heading 6"/>
    <w:basedOn w:val="Normal"/>
    <w:next w:val="Normal"/>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next w:val="Normal"/>
    <w:qFormat/>
    <w:pPr/>
    <w:rPr>
      <w:sz w:val="56"/>
      <w:szCs w:val="56"/>
    </w:rPr>
  </w:style>
  <w:style w:type="paragraph" w:styleId="StrongEmphasis">
    <w:name w:val="Strong Emphasis"/>
    <w:basedOn w:val="Normal"/>
    <w:next w:val="Normal"/>
    <w:qFormat/>
    <w:pPr/>
    <w:rPr>
      <w:b/>
      <w:bCs/>
    </w:rPr>
  </w:style>
  <w:style w:type="paragraph" w:styleId="ListParagraph">
    <w:name w:val="List Paragraph"/>
    <w:basedOn w:val="Normal"/>
    <w:qFormat/>
    <w:pPr/>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AIValueFooter">
    <w:name w:val="AI Value Footer"/>
    <w:basedOn w:val="Normal"/>
    <w:qFormat/>
    <w:pPr>
      <w:spacing w:before="0" w:after="0"/>
    </w:pPr>
    <w:rPr>
      <w:rFonts w:ascii="Open Sans" w:hAnsi="Open Sans" w:eastAsia="Open Sans" w:cs="Open Sans"/>
      <w:color w:val="5A6B7B"/>
      <w:sz w:val="16"/>
      <w:szCs w:val="16"/>
    </w:rPr>
  </w:style>
  <w:style w:type="paragraph" w:styleId="TOC1">
    <w:name w:val="TOC 1"/>
    <w:basedOn w:val="Normal"/>
    <w:next w:val="Normal"/>
    <w:pPr>
      <w:spacing w:before="120" w:after="40"/>
      <w:ind w:left="0"/>
    </w:pPr>
    <w:rPr>
      <w:rFonts w:ascii="Open Sans" w:hAnsi="Open Sans" w:eastAsia="Open Sans" w:cs="Open Sans"/>
      <w:b/>
      <w:bCs/>
      <w:color w:val="123A5F"/>
      <w:sz w:val="22"/>
      <w:szCs w:val="22"/>
    </w:rPr>
  </w:style>
  <w:style w:type="paragraph" w:styleId="TOC2">
    <w:name w:val="TOC 2"/>
    <w:basedOn w:val="Normal"/>
    <w:next w:val="Normal"/>
    <w:pPr>
      <w:spacing w:before="0" w:after="40"/>
      <w:ind w:left="360"/>
    </w:pPr>
    <w:rPr>
      <w:rFonts w:ascii="Open Sans" w:hAnsi="Open Sans" w:eastAsia="Open Sans" w:cs="Open Sans"/>
      <w:b w:val="false"/>
      <w:bCs w:val="false"/>
      <w:color w:val="2C3E50"/>
      <w:sz w:val="20"/>
      <w:szCs w:val="20"/>
    </w:rPr>
  </w:style>
  <w:style w:type="paragraph" w:styleId="TOC3">
    <w:name w:val="TOC 3"/>
    <w:basedOn w:val="Normal"/>
    <w:next w:val="Normal"/>
    <w:pPr>
      <w:spacing w:before="0" w:after="40"/>
      <w:ind w:left="720"/>
    </w:pPr>
    <w:rPr>
      <w:rFonts w:ascii="Open Sans" w:hAnsi="Open Sans" w:eastAsia="Open Sans" w:cs="Open Sans"/>
      <w:b w:val="false"/>
      <w:bCs w:val="false"/>
      <w:color w:val="2C3E50"/>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2.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2026-10-16T18:29:36Z</dcterms:created>
  <dc:creator>AI Value</dc:creator>
  <dc:description>CortexSkills — Guide d’installation, exécutable minifié, côté éditeur (Linux et Windows)</dc:description>
  <dc:language>en-US</dc:language>
  <cp:lastModifiedBy/>
  <dcterms:modified xsi:type="dcterms:W3CDTF">2026-10-16T18:42:33Z</dcterms:modified>
  <cp:revision>2</cp:revision>
  <dc:subject/>
  <dc:title>CortexSkills — Guide d’installation, exécutable minifié, côté éditeur (Linux et Windows)</dc:title>
</cp:coreProperties>
</file>