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UTILISATEUR — CÔTÉ ÉDITEUR</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Utiliser CortexSkills sur vos installations : organisations de référence, organisations clientes et utilisateurs, offres, tarifs et devis, licences, conduite des projets, réglages de la plateforme, audit et sauvegardes</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667_1089147156">
            <w:r>
              <w:rPr>
                <w:rStyle w:val="IndexLink"/>
              </w:rPr>
              <w:t>1. À propos de ce guide</w:t>
              <w:tab/>
              <w:t>3</w:t>
            </w:r>
          </w:hyperlink>
        </w:p>
        <w:p>
          <w:pPr>
            <w:pStyle w:val="TOC2"/>
            <w:tabs>
              <w:tab w:val="clear" w:pos="720"/>
              <w:tab w:val="right" w:pos="9637" w:leader="dot"/>
            </w:tabs>
            <w:rPr/>
          </w:pPr>
          <w:hyperlink w:anchor="__RefHeading___Toc669_1089147156">
            <w:r>
              <w:rPr>
                <w:rStyle w:val="IndexLink"/>
              </w:rPr>
              <w:t>1.1 Version éditeur et version client</w:t>
              <w:tab/>
              <w:t>3</w:t>
            </w:r>
          </w:hyperlink>
        </w:p>
        <w:p>
          <w:pPr>
            <w:pStyle w:val="TOC1"/>
            <w:tabs>
              <w:tab w:val="clear" w:pos="720"/>
              <w:tab w:val="right" w:pos="9637" w:leader="dot"/>
            </w:tabs>
            <w:rPr/>
          </w:pPr>
          <w:hyperlink w:anchor="__RefHeading___Toc671_1089147156">
            <w:r>
              <w:rPr>
                <w:rStyle w:val="IndexLink"/>
              </w:rPr>
              <w:t>2. Se connecter et se repérer</w:t>
              <w:tab/>
              <w:t>4</w:t>
            </w:r>
          </w:hyperlink>
        </w:p>
        <w:p>
          <w:pPr>
            <w:pStyle w:val="TOC1"/>
            <w:tabs>
              <w:tab w:val="clear" w:pos="720"/>
              <w:tab w:val="right" w:pos="9637" w:leader="dot"/>
            </w:tabs>
            <w:rPr/>
          </w:pPr>
          <w:hyperlink w:anchor="__RefHeading___Toc673_1089147156">
            <w:r>
              <w:rPr>
                <w:rStyle w:val="IndexLink"/>
              </w:rPr>
              <w:t>3. Les organisations de référence</w:t>
              <w:tab/>
              <w:t>6</w:t>
            </w:r>
          </w:hyperlink>
        </w:p>
        <w:p>
          <w:pPr>
            <w:pStyle w:val="TOC1"/>
            <w:tabs>
              <w:tab w:val="clear" w:pos="720"/>
              <w:tab w:val="right" w:pos="9637" w:leader="dot"/>
            </w:tabs>
            <w:rPr/>
          </w:pPr>
          <w:hyperlink w:anchor="__RefHeading___Toc675_1089147156">
            <w:r>
              <w:rPr>
                <w:rStyle w:val="IndexLink"/>
              </w:rPr>
              <w:t>4. Organisations clientes et utilisateurs</w:t>
              <w:tab/>
              <w:t>8</w:t>
            </w:r>
          </w:hyperlink>
        </w:p>
        <w:p>
          <w:pPr>
            <w:pStyle w:val="TOC2"/>
            <w:tabs>
              <w:tab w:val="clear" w:pos="720"/>
              <w:tab w:val="right" w:pos="9637" w:leader="dot"/>
            </w:tabs>
            <w:rPr/>
          </w:pPr>
          <w:hyperlink w:anchor="__RefHeading___Toc677_1089147156">
            <w:r>
              <w:rPr>
                <w:rStyle w:val="IndexLink"/>
              </w:rPr>
              <w:t>4.1 Créer l’organisation d’un client</w:t>
              <w:tab/>
              <w:t>8</w:t>
            </w:r>
          </w:hyperlink>
        </w:p>
        <w:p>
          <w:pPr>
            <w:pStyle w:val="TOC2"/>
            <w:tabs>
              <w:tab w:val="clear" w:pos="720"/>
              <w:tab w:val="right" w:pos="9637" w:leader="dot"/>
            </w:tabs>
            <w:rPr/>
          </w:pPr>
          <w:hyperlink w:anchor="__RefHeading___Toc679_1089147156">
            <w:r>
              <w:rPr>
                <w:rStyle w:val="IndexLink"/>
              </w:rPr>
              <w:t>4.2 Utilisateurs et rôles</w:t>
              <w:tab/>
              <w:t>8</w:t>
            </w:r>
          </w:hyperlink>
        </w:p>
        <w:p>
          <w:pPr>
            <w:pStyle w:val="TOC1"/>
            <w:tabs>
              <w:tab w:val="clear" w:pos="720"/>
              <w:tab w:val="right" w:pos="9637" w:leader="dot"/>
            </w:tabs>
            <w:rPr/>
          </w:pPr>
          <w:hyperlink w:anchor="__RefHeading___Toc681_1089147156">
            <w:r>
              <w:rPr>
                <w:rStyle w:val="IndexLink"/>
              </w:rPr>
              <w:t>5. Offres, tarifs et devis</w:t>
              <w:tab/>
              <w:t>9</w:t>
            </w:r>
          </w:hyperlink>
        </w:p>
        <w:p>
          <w:pPr>
            <w:pStyle w:val="TOC2"/>
            <w:tabs>
              <w:tab w:val="clear" w:pos="720"/>
              <w:tab w:val="right" w:pos="9637" w:leader="dot"/>
            </w:tabs>
            <w:rPr/>
          </w:pPr>
          <w:hyperlink w:anchor="__RefHeading___Toc683_1089147156">
            <w:r>
              <w:rPr>
                <w:rStyle w:val="IndexLink"/>
              </w:rPr>
              <w:t>5.1 Packs</w:t>
              <w:tab/>
              <w:t>9</w:t>
            </w:r>
          </w:hyperlink>
        </w:p>
        <w:p>
          <w:pPr>
            <w:pStyle w:val="TOC2"/>
            <w:tabs>
              <w:tab w:val="clear" w:pos="720"/>
              <w:tab w:val="right" w:pos="9637" w:leader="dot"/>
            </w:tabs>
            <w:rPr/>
          </w:pPr>
          <w:hyperlink w:anchor="__RefHeading___Toc685_1089147156">
            <w:r>
              <w:rPr>
                <w:rStyle w:val="IndexLink"/>
              </w:rPr>
              <w:t>5.2 Bundles et packs PME</w:t>
              <w:tab/>
              <w:t>10</w:t>
            </w:r>
          </w:hyperlink>
        </w:p>
        <w:p>
          <w:pPr>
            <w:pStyle w:val="TOC1"/>
            <w:tabs>
              <w:tab w:val="clear" w:pos="720"/>
              <w:tab w:val="right" w:pos="9637" w:leader="dot"/>
            </w:tabs>
            <w:rPr/>
          </w:pPr>
          <w:hyperlink w:anchor="__RefHeading___Toc687_1089147156">
            <w:r>
              <w:rPr>
                <w:rStyle w:val="IndexLink"/>
              </w:rPr>
              <w:t>6. Les licences dans l’application</w:t>
              <w:tab/>
              <w:t>11</w:t>
            </w:r>
          </w:hyperlink>
        </w:p>
        <w:p>
          <w:pPr>
            <w:pStyle w:val="TOC1"/>
            <w:tabs>
              <w:tab w:val="clear" w:pos="720"/>
              <w:tab w:val="right" w:pos="9637" w:leader="dot"/>
            </w:tabs>
            <w:rPr/>
          </w:pPr>
          <w:hyperlink w:anchor="__RefHeading___Toc689_1089147156">
            <w:r>
              <w:rPr>
                <w:rStyle w:val="IndexLink"/>
              </w:rPr>
              <w:t>7. Conduire un projet avec un client</w:t>
              <w:tab/>
              <w:t>12</w:t>
            </w:r>
          </w:hyperlink>
        </w:p>
        <w:p>
          <w:pPr>
            <w:pStyle w:val="TOC2"/>
            <w:tabs>
              <w:tab w:val="clear" w:pos="720"/>
              <w:tab w:val="right" w:pos="9637" w:leader="dot"/>
            </w:tabs>
            <w:rPr/>
          </w:pPr>
          <w:hyperlink w:anchor="__RefHeading___Toc691_1089147156">
            <w:r>
              <w:rPr>
                <w:rStyle w:val="IndexLink"/>
              </w:rPr>
              <w:t>7.1 Les modèles de projet</w:t>
              <w:tab/>
              <w:t>12</w:t>
            </w:r>
          </w:hyperlink>
        </w:p>
        <w:p>
          <w:pPr>
            <w:pStyle w:val="TOC1"/>
            <w:tabs>
              <w:tab w:val="clear" w:pos="720"/>
              <w:tab w:val="right" w:pos="9637" w:leader="dot"/>
            </w:tabs>
            <w:rPr/>
          </w:pPr>
          <w:hyperlink w:anchor="__RefHeading___Toc693_1089147156">
            <w:r>
              <w:rPr>
                <w:rStyle w:val="IndexLink"/>
              </w:rPr>
              <w:t>8. Réglages de la plateforme</w:t>
              <w:tab/>
              <w:t>14</w:t>
            </w:r>
          </w:hyperlink>
        </w:p>
        <w:p>
          <w:pPr>
            <w:pStyle w:val="TOC2"/>
            <w:tabs>
              <w:tab w:val="clear" w:pos="720"/>
              <w:tab w:val="right" w:pos="9637" w:leader="dot"/>
            </w:tabs>
            <w:rPr/>
          </w:pPr>
          <w:hyperlink w:anchor="__RefHeading___Toc695_1089147156">
            <w:r>
              <w:rPr>
                <w:rStyle w:val="IndexLink"/>
              </w:rPr>
              <w:t>8.1 Canaux : e-mail et WhatsApp</w:t>
              <w:tab/>
              <w:t>14</w:t>
            </w:r>
          </w:hyperlink>
        </w:p>
        <w:p>
          <w:pPr>
            <w:pStyle w:val="TOC2"/>
            <w:tabs>
              <w:tab w:val="clear" w:pos="720"/>
              <w:tab w:val="right" w:pos="9637" w:leader="dot"/>
            </w:tabs>
            <w:rPr/>
          </w:pPr>
          <w:hyperlink w:anchor="__RefHeading___Toc697_1089147156">
            <w:r>
              <w:rPr>
                <w:rStyle w:val="IndexLink"/>
              </w:rPr>
              <w:t>8.2 IA</w:t>
              <w:tab/>
              <w:t>14</w:t>
            </w:r>
          </w:hyperlink>
        </w:p>
        <w:p>
          <w:pPr>
            <w:pStyle w:val="TOC2"/>
            <w:tabs>
              <w:tab w:val="clear" w:pos="720"/>
              <w:tab w:val="right" w:pos="9637" w:leader="dot"/>
            </w:tabs>
            <w:rPr/>
          </w:pPr>
          <w:hyperlink w:anchor="__RefHeading___Toc699_1089147156">
            <w:r>
              <w:rPr>
                <w:rStyle w:val="IndexLink"/>
              </w:rPr>
              <w:t>8.3 Modèles de documents</w:t>
              <w:tab/>
              <w:t>15</w:t>
            </w:r>
          </w:hyperlink>
        </w:p>
        <w:p>
          <w:pPr>
            <w:pStyle w:val="TOC1"/>
            <w:tabs>
              <w:tab w:val="clear" w:pos="720"/>
              <w:tab w:val="right" w:pos="9637" w:leader="dot"/>
            </w:tabs>
            <w:rPr/>
          </w:pPr>
          <w:hyperlink w:anchor="__RefHeading___Toc701_1089147156">
            <w:r>
              <w:rPr>
                <w:rStyle w:val="IndexLink"/>
              </w:rPr>
              <w:t>9. Audit, traçabilité et sauvegardes</w:t>
              <w:tab/>
              <w:t>16</w:t>
            </w:r>
          </w:hyperlink>
        </w:p>
        <w:p>
          <w:pPr>
            <w:pStyle w:val="TOC1"/>
            <w:tabs>
              <w:tab w:val="clear" w:pos="720"/>
              <w:tab w:val="right" w:pos="9637" w:leader="dot"/>
            </w:tabs>
            <w:rPr/>
          </w:pPr>
          <w:hyperlink w:anchor="__RefHeading___Toc703_1089147156">
            <w:r>
              <w:rPr>
                <w:rStyle w:val="IndexLink"/>
              </w:rPr>
              <w:t>10. Bonnes pratiques</w:t>
              <w:tab/>
              <w:t>17</w:t>
            </w:r>
          </w:hyperlink>
        </w:p>
        <w:p>
          <w:pPr>
            <w:pStyle w:val="TOC1"/>
            <w:tabs>
              <w:tab w:val="clear" w:pos="720"/>
              <w:tab w:val="right" w:pos="9637" w:leader="dot"/>
            </w:tabs>
            <w:rPr/>
          </w:pPr>
          <w:hyperlink w:anchor="__RefHeading___Toc705_1089147156">
            <w:r>
              <w:rPr>
                <w:rStyle w:val="IndexLink"/>
              </w:rPr>
              <w:t>11. Dépannage</w:t>
              <w:tab/>
              <w:t>18</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667_1089147156"/>
      <w:bookmarkEnd w:id="0"/>
      <w:r>
        <w:rPr>
          <w:rFonts w:eastAsia="Montserrat" w:cs="Montserrat"/>
          <w:b/>
          <w:bCs/>
          <w:color w:val="123A5F"/>
          <w:sz w:val="40"/>
          <w:szCs w:val="40"/>
        </w:rPr>
        <w:t>1. À propos de ce guide</w:t>
      </w:r>
    </w:p>
    <w:p>
      <w:pPr>
        <w:pStyle w:val="Normal"/>
        <w:spacing w:lineRule="auto" w:line="288" w:before="0" w:after="160"/>
        <w:jc w:val="left"/>
        <w:rPr/>
      </w:pPr>
      <w:r>
        <w:rPr>
          <w:rFonts w:eastAsia="Open Sans" w:cs="Open Sans"/>
          <w:color w:val="2C3E50"/>
          <w:sz w:val="22"/>
          <w:szCs w:val="22"/>
        </w:rPr>
        <w:t>Ce guide s’adresse aux équipes d’AI Value qui utilisent CortexSkills sur leurs propres installations (scénario a : cloud privé ou sur site ; scénario b : localhost sous Windows) : l’administrateur de la plateforme, les consultants qui conduisent les projets avec les clients et les commerciaux qui préparent les offres. L’installation elle-même et la signature des licences sont décrites dans le guide d’installation 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Document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Guide_Installation_Runtime_Editor_Linux_Windows_CortexSkills_FR</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Installer l’exécutable éditeur (Linux, Windows), le poste de signature et la gestion des licences (cslic).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 guide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Utiliser l’application en version 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Guide_Utilisateur_Customer_CortexSkills_FR</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déroulé complet d’un projet sur un cas réel (clinique privée), étape par étape ; il vaut aussi pour vos installations.</w:t>
            </w:r>
          </w:p>
        </w:tc>
      </w:tr>
    </w:tbl>
    <w:p>
      <w:pPr>
        <w:pStyle w:val="Heading2"/>
        <w:keepNext w:val="true"/>
        <w:spacing w:before="320" w:after="120"/>
        <w:rPr/>
      </w:pPr>
      <w:bookmarkStart w:id="1" w:name="__RefHeading___Toc669_1089147156"/>
      <w:bookmarkEnd w:id="1"/>
      <w:r>
        <w:rPr>
          <w:rFonts w:eastAsia="Montserrat" w:cs="Montserrat"/>
          <w:b/>
          <w:bCs/>
          <w:color w:val="123A5F"/>
          <w:sz w:val="32"/>
          <w:szCs w:val="32"/>
        </w:rPr>
        <w:t>1.1 Version éditeur et version client</w:t>
      </w:r>
    </w:p>
    <w:tbl>
      <w:tblPr>
        <w:tblW w:w="9638" w:type="dxa"/>
        <w:jc w:val="left"/>
        <w:tblInd w:w="0" w:type="dxa"/>
        <w:tblLayout w:type="fixed"/>
        <w:tblCellMar>
          <w:top w:w="70" w:type="dxa"/>
          <w:left w:w="110" w:type="dxa"/>
          <w:bottom w:w="70" w:type="dxa"/>
          <w:right w:w="110" w:type="dxa"/>
        </w:tblCellMar>
      </w:tblPr>
      <w:tblGrid>
        <w:gridCol w:w="3596"/>
        <w:gridCol w:w="2998"/>
        <w:gridCol w:w="30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Version éditeur (ce guide)</w:t>
            </w:r>
          </w:p>
        </w:tc>
        <w:tc>
          <w:tcPr>
            <w:tcW w:w="3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Version client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Écran Offres et tarifs, calculateur de prix</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Non (page indisponible)</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Prix dans le catalogue, règles de packaging</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Retirés jusque dans la base</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 licences (cslic)</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sur le poste de signature</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Non</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 signée obligatoire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Données de référence (61 organisations)</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Processus, tâches, étapes, IA, documents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Identiques</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Identiques</w:t>
            </w:r>
          </w:p>
        </w:tc>
      </w:tr>
    </w:tbl>
    <w:p>
      <w:pPr>
        <w:pStyle w:val="Heading1"/>
        <w:pBdr>
          <w:bottom w:val="single" w:sz="6" w:space="6" w:color="E1E8F0"/>
        </w:pBdr>
        <w:spacing w:before="0" w:after="240"/>
        <w:rPr/>
      </w:pPr>
      <w:r>
        <w:br w:type="page"/>
      </w:r>
      <w:bookmarkStart w:id="2" w:name="__RefHeading___Toc671_1089147156"/>
      <w:bookmarkEnd w:id="2"/>
      <w:r>
        <w:rPr>
          <w:rFonts w:eastAsia="Montserrat" w:cs="Montserrat"/>
          <w:b/>
          <w:bCs/>
          <w:color w:val="123A5F"/>
          <w:sz w:val="40"/>
          <w:szCs w:val="40"/>
        </w:rPr>
        <w:t>2. Se connecter et se repérer</w:t>
      </w:r>
    </w:p>
    <w:p>
      <w:pPr>
        <w:pStyle w:val="Normal"/>
        <w:spacing w:lineRule="auto" w:line="288" w:before="0" w:after="160"/>
        <w:jc w:val="left"/>
        <w:rPr/>
      </w:pPr>
      <w:r>
        <w:rPr>
          <w:rFonts w:eastAsia="Open Sans" w:cs="Open Sans"/>
          <w:color w:val="2C3E50"/>
          <w:sz w:val="22"/>
          <w:szCs w:val="22"/>
        </w:rPr>
        <w:t>Ouvrez l’adresse de l’installation (https://competences.mondomaine.ma en scénario a, http://localhost:4000 en scénario b). La page de connexion ne mentionne aucun compte : il n’existe aucun compte de démonstration. Au départ, seul l’administrateur de la plateforme (ADMIN_EMAIL du fichier .env) peut se connecter.</w:t>
      </w:r>
    </w:p>
    <w:p>
      <w:pPr>
        <w:pStyle w:val="Normal"/>
        <w:keepNext w:val="true"/>
        <w:spacing w:before="120" w:after="60"/>
        <w:jc w:val="center"/>
        <w:rPr/>
      </w:pPr>
      <w:r>
        <w:rPr/>
        <w:drawing>
          <wp:inline distT="0" distB="0" distL="0" distR="0">
            <wp:extent cx="4381500" cy="2771775"/>
            <wp:effectExtent l="0" t="0" r="0" b="0"/>
            <wp:docPr id="2" name="e01_signin.png" descr="La page de connexion&#10;La 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01_signin.png" descr="La page de connexion&#10;La page de connexion"/>
                    <pic:cNvPicPr>
                      <a:picLocks noChangeAspect="1" noChangeArrowheads="1"/>
                    </pic:cNvPicPr>
                  </pic:nvPicPr>
                  <pic:blipFill>
                    <a:blip r:embed="rId3"/>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de connexion</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Zone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Usage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Barre du haut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Recherche globale (Ctrl K), langue (EN · FR · AR), alertes, assistant IA, votre compte (mot de passe, déconnexion).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Sélecteurs de contexte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groupe ou l’organisation, puis le projet sur lesquels portent les écrans. L’administrateur de la plateforme passe d’une organisation à l’autre.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Menu de gauche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Favoris, Accueil, Portefeuille, Conception des processus, Gouvernance, IA et connaissances, Documents, Administration. Le filtre en haut du menu retrouve une entrée.</w:t>
            </w:r>
          </w:p>
        </w:tc>
      </w:tr>
    </w:tbl>
    <w:p>
      <w:pPr>
        <w:pStyle w:val="Normal"/>
        <w:keepNext w:val="true"/>
        <w:spacing w:before="120" w:after="60"/>
        <w:jc w:val="center"/>
        <w:rPr/>
      </w:pPr>
      <w:r>
        <w:rPr/>
        <w:drawing>
          <wp:inline distT="0" distB="0" distL="0" distR="0">
            <wp:extent cx="4953000" cy="3133725"/>
            <wp:effectExtent l="0" t="0" r="0" b="0"/>
            <wp:docPr id="3" name="e02_home.png" descr="Le tableau de bord de l’organisation choisie&#10;Le tableau de bord de l’organisation cho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02_home.png" descr="Le tableau de bord de l’organisation choisie&#10;Le tableau de bord de l’organisation choisie"/>
                    <pic:cNvPicPr>
                      <a:picLocks noChangeAspect="1" noChangeArrowheads="1"/>
                    </pic:cNvPicPr>
                  </pic:nvPicPr>
                  <pic:blipFill>
                    <a:blip r:embed="rId4"/>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tableau de bord de l’organisation choisie</w:t>
      </w:r>
      <w:r>
        <w:br w:type="page"/>
      </w:r>
    </w:p>
    <w:p>
      <w:pPr>
        <w:pStyle w:val="Heading1"/>
        <w:pBdr>
          <w:bottom w:val="single" w:sz="6" w:space="6" w:color="E1E8F0"/>
        </w:pBdr>
        <w:spacing w:before="0" w:after="240"/>
        <w:rPr/>
      </w:pPr>
      <w:bookmarkStart w:id="3" w:name="__RefHeading___Toc673_1089147156"/>
      <w:bookmarkEnd w:id="3"/>
      <w:r>
        <w:rPr>
          <w:rFonts w:eastAsia="Montserrat" w:cs="Montserrat"/>
          <w:b/>
          <w:bCs/>
          <w:color w:val="123A5F"/>
          <w:sz w:val="40"/>
          <w:szCs w:val="40"/>
        </w:rPr>
        <w:t>3. Les organisations de référence</w:t>
      </w:r>
    </w:p>
    <w:p>
      <w:pPr>
        <w:pStyle w:val="Normal"/>
        <w:spacing w:lineRule="auto" w:line="288" w:before="0" w:after="160"/>
        <w:jc w:val="left"/>
        <w:rPr/>
      </w:pPr>
      <w:r>
        <w:rPr>
          <w:rFonts w:eastAsia="Open Sans" w:cs="Open Sans"/>
          <w:color w:val="2C3E50"/>
          <w:sz w:val="22"/>
          <w:szCs w:val="22"/>
        </w:rPr>
        <w:t>L’installation contient 61 organisations de référence : une grande entreprise et une PME pour chacun des secteurs, plus des groupes multisectoriels. Chacune a deux projets complets (Numérique et IA), avec tous leurs processus, tâches, étapes, questionnaires, plans, documents et indicateurs, en anglais, français et arabe. Elles servent de vitrine et de modèle : démonstrations, formation de vos consultants, exemples de livrables.</w:t>
      </w:r>
    </w:p>
    <w:p>
      <w:pPr>
        <w:pStyle w:val="ListParagraph"/>
        <w:numPr>
          <w:ilvl w:val="0"/>
          <w:numId w:val="0"/>
        </w:numPr>
        <w:spacing w:lineRule="auto" w:line="288" w:before="0" w:after="80"/>
        <w:ind w:hanging="0" w:left="0"/>
        <w:rPr/>
      </w:pPr>
      <w:r>
        <w:rPr>
          <w:rFonts w:eastAsia="Open Sans" w:cs="Open Sans"/>
          <w:color w:val="2C3E50"/>
          <w:sz w:val="22"/>
          <w:szCs w:val="22"/>
        </w:rPr>
        <w:t>Portefeuille › Groupes et organisations : l’arbre des groupes, de leurs organisations et de leurs projets (vue Arbre ou Tableau).</w:t>
      </w:r>
    </w:p>
    <w:p>
      <w:pPr>
        <w:pStyle w:val="ListParagraph"/>
        <w:numPr>
          <w:ilvl w:val="0"/>
          <w:numId w:val="0"/>
        </w:numPr>
        <w:spacing w:lineRule="auto" w:line="288" w:before="0" w:after="80"/>
        <w:ind w:hanging="0" w:left="0"/>
        <w:rPr/>
      </w:pPr>
      <w:r>
        <w:rPr>
          <w:rFonts w:eastAsia="Open Sans" w:cs="Open Sans"/>
          <w:color w:val="2C3E50"/>
          <w:sz w:val="22"/>
          <w:szCs w:val="22"/>
        </w:rPr>
        <w:t>Cliquez sur « Ouvrir » à côté d’une organisation, puis sur un projet : le projet s’ouvre sur sa progression par phase.</w:t>
      </w:r>
    </w:p>
    <w:p>
      <w:pPr>
        <w:pStyle w:val="ListParagraph"/>
        <w:numPr>
          <w:ilvl w:val="0"/>
          <w:numId w:val="0"/>
        </w:numPr>
        <w:spacing w:lineRule="auto" w:line="288" w:before="0" w:after="80"/>
        <w:ind w:hanging="0" w:left="0"/>
        <w:rPr/>
      </w:pPr>
      <w:r>
        <w:rPr>
          <w:rFonts w:eastAsia="Open Sans" w:cs="Open Sans"/>
          <w:color w:val="2C3E50"/>
          <w:sz w:val="22"/>
          <w:szCs w:val="22"/>
        </w:rPr>
        <w:t>Dans un projet, ouvrez un processus puis une tâche : ses étapes, leurs saisies, « Votre résultat » et l’onglet Documents montrent ce qu’un projet terminé contient.</w:t>
      </w:r>
    </w:p>
    <w:p>
      <w:pPr>
        <w:pStyle w:val="Normal"/>
        <w:keepNext w:val="true"/>
        <w:spacing w:before="120" w:after="60"/>
        <w:jc w:val="center"/>
        <w:rPr/>
      </w:pPr>
      <w:r>
        <w:rPr/>
        <w:drawing>
          <wp:inline distT="0" distB="0" distL="0" distR="0">
            <wp:extent cx="4953000" cy="3133725"/>
            <wp:effectExtent l="0" t="0" r="0" b="0"/>
            <wp:docPr id="4" name="e03_reference_orgs.png" descr="Portefeuille › Groupes et organisations&#10;Portefeuille › Groupes et organi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03_reference_orgs.png" descr="Portefeuille › Groupes et organisations&#10;Portefeuille › Groupes et organisations"/>
                    <pic:cNvPicPr>
                      <a:picLocks noChangeAspect="1" noChangeArrowheads="1"/>
                    </pic:cNvPicPr>
                  </pic:nvPicPr>
                  <pic:blipFill>
                    <a:blip r:embed="rId5"/>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Portefeuille › Groupes et organisations</w:t>
      </w:r>
    </w:p>
    <w:p>
      <w:pPr>
        <w:pStyle w:val="Normal"/>
        <w:keepNext w:val="true"/>
        <w:spacing w:before="120" w:after="60"/>
        <w:jc w:val="center"/>
        <w:rPr/>
      </w:pPr>
      <w:r>
        <w:rPr/>
        <w:drawing>
          <wp:inline distT="0" distB="0" distL="0" distR="0">
            <wp:extent cx="4953000" cy="3133725"/>
            <wp:effectExtent l="0" t="0" r="0" b="0"/>
            <wp:docPr id="5" name="e04_reference_project.png" descr="Un projet de référence terminé&#10;Un projet de référence term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04_reference_project.png" descr="Un projet de référence terminé&#10;Un projet de référence terminé"/>
                    <pic:cNvPicPr>
                      <a:picLocks noChangeAspect="1" noChangeArrowheads="1"/>
                    </pic:cNvPicPr>
                  </pic:nvPicPr>
                  <pic:blipFill>
                    <a:blip r:embed="rId6"/>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Un projet de référence terminé</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À retenir</w:t>
            </w:r>
          </w:p>
          <w:p>
            <w:pPr>
              <w:pStyle w:val="Normal"/>
              <w:spacing w:lineRule="auto" w:line="288" w:before="0" w:after="60"/>
              <w:jc w:val="left"/>
              <w:rPr/>
            </w:pPr>
            <w:r>
              <w:rPr>
                <w:rFonts w:eastAsia="Open Sans" w:cs="Open Sans"/>
                <w:color w:val="2C3E50"/>
                <w:sz w:val="21"/>
                <w:szCs w:val="21"/>
              </w:rPr>
              <w:t>Les personnes des organisations de référence ne peuvent pas se connecter : leurs comptes sont désactivés.</w:t>
            </w:r>
          </w:p>
          <w:p>
            <w:pPr>
              <w:pStyle w:val="Normal"/>
              <w:spacing w:lineRule="auto" w:line="288" w:before="0" w:after="60"/>
              <w:jc w:val="left"/>
              <w:rPr/>
            </w:pPr>
            <w:r>
              <w:rPr>
                <w:rFonts w:eastAsia="Open Sans" w:cs="Open Sans"/>
                <w:color w:val="2C3E50"/>
                <w:sz w:val="21"/>
                <w:szCs w:val="21"/>
              </w:rPr>
              <w:t>Les organisations de référence n’ont pas de licence et ne comptent dans aucune licence.</w:t>
            </w:r>
          </w:p>
          <w:p>
            <w:pPr>
              <w:pStyle w:val="Normal"/>
              <w:spacing w:lineRule="auto" w:line="288" w:before="0" w:after="60"/>
              <w:jc w:val="left"/>
              <w:rPr/>
            </w:pPr>
            <w:r>
              <w:rPr>
                <w:rFonts w:eastAsia="Open Sans" w:cs="Open Sans"/>
                <w:color w:val="2C3E50"/>
                <w:sz w:val="21"/>
                <w:szCs w:val="21"/>
              </w:rPr>
              <w:t>Ne conduisez pas un vrai projet client dans une organisation de référence : créez l’organisation du client (chapitre 4).</w:t>
            </w:r>
          </w:p>
        </w:tc>
      </w:tr>
    </w:tbl>
    <w:p>
      <w:pPr>
        <w:pStyle w:val="Heading1"/>
        <w:pBdr>
          <w:bottom w:val="single" w:sz="6" w:space="6" w:color="E1E8F0"/>
        </w:pBdr>
        <w:spacing w:before="0" w:after="240"/>
        <w:rPr/>
      </w:pPr>
      <w:r>
        <w:br w:type="page"/>
      </w:r>
      <w:bookmarkStart w:id="4" w:name="__RefHeading___Toc675_1089147156"/>
      <w:bookmarkEnd w:id="4"/>
      <w:r>
        <w:rPr>
          <w:rFonts w:eastAsia="Montserrat" w:cs="Montserrat"/>
          <w:b/>
          <w:bCs/>
          <w:color w:val="123A5F"/>
          <w:sz w:val="40"/>
          <w:szCs w:val="40"/>
        </w:rPr>
        <w:t>4. Organisations clientes et utilisateurs</w:t>
      </w:r>
    </w:p>
    <w:p>
      <w:pPr>
        <w:pStyle w:val="Heading2"/>
        <w:keepNext w:val="true"/>
        <w:spacing w:before="320" w:after="120"/>
        <w:rPr/>
      </w:pPr>
      <w:bookmarkStart w:id="5" w:name="__RefHeading___Toc677_1089147156"/>
      <w:bookmarkEnd w:id="5"/>
      <w:r>
        <w:rPr>
          <w:rFonts w:eastAsia="Montserrat" w:cs="Montserrat"/>
          <w:b/>
          <w:bCs/>
          <w:color w:val="123A5F"/>
          <w:sz w:val="32"/>
          <w:szCs w:val="32"/>
        </w:rPr>
        <w:t>4.1 Créer l’organisation d’un client</w:t>
      </w:r>
    </w:p>
    <w:p>
      <w:pPr>
        <w:pStyle w:val="Normal"/>
        <w:spacing w:lineRule="auto" w:line="288" w:before="0" w:after="160"/>
        <w:jc w:val="left"/>
        <w:rPr/>
      </w:pPr>
      <w:r>
        <w:rPr>
          <w:rFonts w:eastAsia="Open Sans" w:cs="Open Sans"/>
          <w:color w:val="2C3E50"/>
          <w:sz w:val="22"/>
          <w:szCs w:val="22"/>
        </w:rPr>
        <w:t>Sur vos installations, l’organisation d’un client se crée avec la console d’installation, puis reçoit sa licence (chapitre 6). La commande crée aussi le premier administrateur de l’organisation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org-create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--lang fr --sector HCPR --segment SME --employees 95 --city Marrakech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licence-request --org clinique-exemple.ma</w:t>
      </w:r>
    </w:p>
    <w:p>
      <w:pPr>
        <w:pStyle w:val="Normal"/>
        <w:spacing w:lineRule="auto" w:line="288" w:before="0" w:after="160"/>
        <w:jc w:val="left"/>
        <w:rPr/>
      </w:pPr>
      <w:r>
        <w:rPr>
          <w:rFonts w:eastAsia="Open Sans" w:cs="Open Sans"/>
          <w:color w:val="5A6B7B"/>
          <w:sz w:val="20"/>
          <w:szCs w:val="20"/>
        </w:rPr>
        <w:t>Sur un serveur Linux, préfixez par sudo -u cortexskills ./ ; sous Windows, utilisez .\cortexskills.cmd. Le code secteur (--sector) relie l’organisation à sa verticale : modèles de projet, compétences, thèmes IA et questionnaires du secteur.</w:t>
      </w:r>
    </w:p>
    <w:p>
      <w:pPr>
        <w:pStyle w:val="Heading2"/>
        <w:keepNext w:val="true"/>
        <w:spacing w:before="320" w:after="120"/>
        <w:rPr/>
      </w:pPr>
      <w:bookmarkStart w:id="6" w:name="__RefHeading___Toc679_1089147156"/>
      <w:bookmarkEnd w:id="6"/>
      <w:r>
        <w:rPr>
          <w:rFonts w:eastAsia="Montserrat" w:cs="Montserrat"/>
          <w:b/>
          <w:bCs/>
          <w:color w:val="123A5F"/>
          <w:sz w:val="32"/>
          <w:szCs w:val="32"/>
        </w:rPr>
        <w:t>4.2 Utilisateurs et rôles</w:t>
      </w:r>
    </w:p>
    <w:p>
      <w:pPr>
        <w:pStyle w:val="Normal"/>
        <w:spacing w:lineRule="auto" w:line="288" w:before="0" w:after="160"/>
        <w:jc w:val="left"/>
        <w:rPr/>
      </w:pPr>
      <w:r>
        <w:rPr>
          <w:rFonts w:eastAsia="Open Sans" w:cs="Open Sans"/>
          <w:color w:val="2C3E50"/>
          <w:sz w:val="22"/>
          <w:szCs w:val="22"/>
        </w:rPr>
        <w:t>Administration › Utilisateurs : l’administrateur de l’organisation crée les comptes de ses équipes, leur attribue un ou plusieurs rôles (responsable formation, analyste, DRH, manager…) et les désactive à leur départ. Le nombre d’utilisateurs actifs est limité par la licence ; un utilisateur au-delà est refusé avec un message qui nomme la limite.</w:t>
      </w:r>
    </w:p>
    <w:p>
      <w:pPr>
        <w:pStyle w:val="Normal"/>
        <w:keepNext w:val="true"/>
        <w:spacing w:before="120" w:after="60"/>
        <w:jc w:val="center"/>
        <w:rPr/>
      </w:pPr>
      <w:r>
        <w:rPr/>
        <w:drawing>
          <wp:inline distT="0" distB="0" distL="0" distR="0">
            <wp:extent cx="4762500" cy="3009900"/>
            <wp:effectExtent l="0" t="0" r="0" b="0"/>
            <wp:docPr id="6" name="e06_users.png" descr="Administration › Utilisateurs&#10;Administration ›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06_users.png" descr="Administration › Utilisateurs&#10;Administration › Utilisateurs"/>
                    <pic:cNvPicPr>
                      <a:picLocks noChangeAspect="1" noChangeArrowheads="1"/>
                    </pic:cNvPicPr>
                  </pic:nvPicPr>
                  <pic:blipFill>
                    <a:blip r:embed="rId7"/>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Utilisateurs</w:t>
      </w:r>
    </w:p>
    <w:p>
      <w:pPr>
        <w:pStyle w:val="Normal"/>
        <w:spacing w:lineRule="auto" w:line="288" w:before="0" w:after="160"/>
        <w:jc w:val="left"/>
        <w:rPr/>
      </w:pPr>
      <w:r>
        <w:rPr>
          <w:rFonts w:eastAsia="Open Sans" w:cs="Open Sans"/>
          <w:color w:val="2C3E50"/>
          <w:sz w:val="20"/>
          <w:szCs w:val="20"/>
        </w:rPr>
        <w:t>Un mot de passe oublié se réinitialise depuis cet écran, ou par la console : cortexskills admin password --email … --password …. Administration › Permissions montre ce que chaque rôle peut voir et faire.</w:t>
      </w:r>
      <w:r>
        <w:br w:type="page"/>
      </w:r>
    </w:p>
    <w:p>
      <w:pPr>
        <w:pStyle w:val="Heading1"/>
        <w:pBdr>
          <w:bottom w:val="single" w:sz="6" w:space="6" w:color="E1E8F0"/>
        </w:pBdr>
        <w:spacing w:before="0" w:after="240"/>
        <w:rPr/>
      </w:pPr>
      <w:bookmarkStart w:id="7" w:name="__RefHeading___Toc681_1089147156"/>
      <w:bookmarkEnd w:id="7"/>
      <w:r>
        <w:rPr>
          <w:rFonts w:eastAsia="Montserrat" w:cs="Montserrat"/>
          <w:b/>
          <w:bCs/>
          <w:color w:val="123A5F"/>
          <w:sz w:val="40"/>
          <w:szCs w:val="40"/>
        </w:rPr>
        <w:t>5. Offres, tarifs et devis</w:t>
      </w:r>
    </w:p>
    <w:p>
      <w:pPr>
        <w:pStyle w:val="Normal"/>
        <w:spacing w:lineRule="auto" w:line="288" w:before="0" w:after="160"/>
        <w:jc w:val="left"/>
        <w:rPr/>
      </w:pPr>
      <w:r>
        <w:rPr>
          <w:rFonts w:eastAsia="Open Sans" w:cs="Open Sans"/>
          <w:color w:val="2C3E50"/>
          <w:sz w:val="22"/>
          <w:szCs w:val="22"/>
        </w:rPr>
        <w:t>Administration › Offres et tarifs n’existe que dans la version éditeur. Il présente les packs, les bundles, les packs PME et les add-ons avec leurs prix, et un calculateur : choisissez une offre et un nombre d’utilisateurs, l’écran donne le montant mensuel (prix de base + utilisateurs au-delà de l’inclus × prix du dépassement).</w:t>
      </w:r>
    </w:p>
    <w:p>
      <w:pPr>
        <w:pStyle w:val="Normal"/>
        <w:keepNext w:val="true"/>
        <w:spacing w:before="120" w:after="60"/>
        <w:jc w:val="center"/>
        <w:rPr/>
      </w:pPr>
      <w:r>
        <w:rPr/>
        <w:drawing>
          <wp:inline distT="0" distB="0" distL="0" distR="0">
            <wp:extent cx="4953000" cy="3133725"/>
            <wp:effectExtent l="0" t="0" r="0" b="0"/>
            <wp:docPr id="7" name="e05_pricing.png" descr="Administration › Offres et tarifs : le calculateur&#10;Administration › Offres et tarifs : le calcul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05_pricing.png" descr="Administration › Offres et tarifs : le calculateur&#10;Administration › Offres et tarifs : le calculateur"/>
                    <pic:cNvPicPr>
                      <a:picLocks noChangeAspect="1" noChangeArrowheads="1"/>
                    </pic:cNvPicPr>
                  </pic:nvPicPr>
                  <pic:blipFill>
                    <a:blip r:embed="rId8"/>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Offres et tarifs : le calculateur</w:t>
      </w:r>
    </w:p>
    <w:p>
      <w:pPr>
        <w:pStyle w:val="Heading2"/>
        <w:keepNext w:val="true"/>
        <w:spacing w:before="320" w:after="120"/>
        <w:rPr/>
      </w:pPr>
      <w:bookmarkStart w:id="8" w:name="__RefHeading___Toc683_1089147156"/>
      <w:bookmarkEnd w:id="8"/>
      <w:r>
        <w:rPr>
          <w:rFonts w:eastAsia="Montserrat" w:cs="Montserrat"/>
          <w:b/>
          <w:bCs/>
          <w:color w:val="123A5F"/>
          <w:sz w:val="32"/>
          <w:szCs w:val="32"/>
        </w:rPr>
        <w:t>5.1 Packs</w:t>
      </w:r>
    </w:p>
    <w:tbl>
      <w:tblPr>
        <w:tblW w:w="9638" w:type="dxa"/>
        <w:jc w:val="left"/>
        <w:tblInd w:w="0" w:type="dxa"/>
        <w:tblLayout w:type="fixed"/>
        <w:tblCellMar>
          <w:top w:w="70" w:type="dxa"/>
          <w:left w:w="110" w:type="dxa"/>
          <w:bottom w:w="70" w:type="dxa"/>
          <w:right w:w="110" w:type="dxa"/>
        </w:tblCellMar>
      </w:tblPr>
      <w:tblGrid>
        <w:gridCol w:w="1098"/>
        <w:gridCol w:w="4297"/>
        <w:gridCol w:w="1498"/>
        <w:gridCol w:w="1397"/>
        <w:gridCol w:w="1348"/>
      </w:tblGrid>
      <w:tr>
        <w:trPr>
          <w:tblHeader w:val="true"/>
          <w:cantSplit w:val="true"/>
        </w:trPr>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Pack</w:t>
            </w:r>
          </w:p>
        </w:tc>
        <w:tc>
          <w:tcPr>
            <w:tcW w:w="4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1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Prix / mois</w:t>
            </w:r>
          </w:p>
        </w:tc>
        <w:tc>
          <w:tcPr>
            <w:tcW w:w="1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Utilisateurs inclus</w:t>
            </w:r>
          </w:p>
        </w:tc>
        <w:tc>
          <w:tcPr>
            <w:tcW w:w="13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Dépassement / utilisateur</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99 $</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0,75 $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149 $</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129 $</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99 $</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0,55 $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119 $</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0,65 $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109 $</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249 $</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5 $</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199 $</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0,45 $</w:t>
            </w:r>
          </w:p>
        </w:tc>
      </w:tr>
    </w:tbl>
    <w:p>
      <w:pPr>
        <w:pStyle w:val="Heading2"/>
        <w:keepNext w:val="true"/>
        <w:spacing w:before="320" w:after="120"/>
        <w:rPr/>
      </w:pPr>
      <w:bookmarkStart w:id="9" w:name="__RefHeading___Toc685_1089147156"/>
      <w:bookmarkEnd w:id="9"/>
      <w:r>
        <w:rPr>
          <w:rFonts w:eastAsia="Montserrat" w:cs="Montserrat"/>
          <w:b/>
          <w:bCs/>
          <w:color w:val="123A5F"/>
          <w:sz w:val="32"/>
          <w:szCs w:val="32"/>
        </w:rPr>
        <w:t>5.2 Bundles et packs PME</w:t>
      </w:r>
    </w:p>
    <w:tbl>
      <w:tblPr>
        <w:tblW w:w="9638" w:type="dxa"/>
        <w:jc w:val="left"/>
        <w:tblInd w:w="0" w:type="dxa"/>
        <w:tblLayout w:type="fixed"/>
        <w:tblCellMar>
          <w:top w:w="70" w:type="dxa"/>
          <w:left w:w="110" w:type="dxa"/>
          <w:bottom w:w="70" w:type="dxa"/>
          <w:right w:w="110" w:type="dxa"/>
        </w:tblCellMar>
      </w:tblPr>
      <w:tblGrid>
        <w:gridCol w:w="2597"/>
        <w:gridCol w:w="3896"/>
        <w:gridCol w:w="1298"/>
        <w:gridCol w:w="1846"/>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Offre</w:t>
            </w:r>
          </w:p>
        </w:tc>
        <w:tc>
          <w:tcPr>
            <w:tcW w:w="3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Contenu</w:t>
            </w:r>
          </w:p>
        </w:tc>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Remise</w:t>
            </w:r>
          </w:p>
        </w:tc>
        <w:tc>
          <w:tcPr>
            <w:tcW w:w="1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Prix / mois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 PK-02</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10 %</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223,2 $</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 PK-02 + PK-03</w:t>
            </w:r>
          </w:p>
        </w:tc>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15 %</w:t>
            </w:r>
          </w:p>
        </w:tc>
        <w:tc>
          <w:tcPr>
            <w:tcW w:w="1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320,45 $</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PK-05</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20 %</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476 $</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to PK-06 + PK-08</w:t>
            </w:r>
          </w:p>
        </w:tc>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25 %</w:t>
            </w:r>
          </w:p>
        </w:tc>
        <w:tc>
          <w:tcPr>
            <w:tcW w:w="1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677,25 $</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PK-08</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30 %</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806,4 $</w:t>
            </w:r>
          </w:p>
        </w:tc>
      </w:tr>
    </w:tbl>
    <w:p>
      <w:pPr>
        <w:pStyle w:val="Normal"/>
        <w:spacing w:before="0" w:after="120"/>
        <w:rPr/>
      </w:pPr>
      <w:r>
        <w:rPr/>
      </w:r>
    </w:p>
    <w:tbl>
      <w:tblPr>
        <w:tblW w:w="9638" w:type="dxa"/>
        <w:jc w:val="left"/>
        <w:tblInd w:w="0" w:type="dxa"/>
        <w:tblLayout w:type="fixed"/>
        <w:tblCellMar>
          <w:top w:w="70" w:type="dxa"/>
          <w:left w:w="110" w:type="dxa"/>
          <w:bottom w:w="70" w:type="dxa"/>
          <w:right w:w="110" w:type="dxa"/>
        </w:tblCellMar>
      </w:tblPr>
      <w:tblGrid>
        <w:gridCol w:w="3995"/>
        <w:gridCol w:w="1799"/>
        <w:gridCol w:w="1898"/>
        <w:gridCol w:w="1945"/>
      </w:tblGrid>
      <w:tr>
        <w:trPr>
          <w:tblHeader w:val="true"/>
          <w:cantSplit w:val="true"/>
        </w:trPr>
        <w:tc>
          <w:tcPr>
            <w:tcW w:w="3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Pack PME</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Prix / mois</w:t>
            </w:r>
          </w:p>
        </w:tc>
        <w:tc>
          <w:tcPr>
            <w:tcW w:w="1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Utilisateurs inclus</w:t>
            </w:r>
          </w:p>
        </w:tc>
        <w:tc>
          <w:tcPr>
            <w:tcW w:w="1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Dépassement / utilisateur</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SME-ESS — Pack PME Essentiel</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49 $</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25</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1,2 $</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SME-GRO — Pack PME Croissance</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129 $</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50</w:t>
            </w:r>
          </w:p>
        </w:tc>
        <w:tc>
          <w:tcPr>
            <w:tcW w:w="1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SME-CMP — Pack PME Complet</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249 $</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0,9 $</w:t>
            </w:r>
          </w:p>
        </w:tc>
      </w:tr>
    </w:tbl>
    <w:p>
      <w:pPr>
        <w:pStyle w:val="Normal"/>
        <w:spacing w:lineRule="auto" w:line="288" w:before="0" w:after="160"/>
        <w:jc w:val="left"/>
        <w:rPr/>
      </w:pPr>
      <w:r>
        <w:rPr>
          <w:rFonts w:eastAsia="Open Sans" w:cs="Open Sans"/>
          <w:color w:val="2C3E50"/>
          <w:sz w:val="20"/>
          <w:szCs w:val="20"/>
        </w:rPr>
        <w:t>Chaque bundle inclut 500 utilisateurs. Add-ons : de 40 $ à 69 $ par mois (liste complète dans l’écran et au chapitre 8 du guide d’installation éditeur). Un minimum de 5 utilisateurs s’applique aux packs PME.</w:t>
      </w:r>
    </w:p>
    <w:p>
      <w:pPr>
        <w:pStyle w:val="Normal"/>
        <w:keepNext w:val="true"/>
        <w:spacing w:before="120" w:after="60"/>
        <w:jc w:val="center"/>
        <w:rPr/>
      </w:pPr>
      <w:r>
        <w:rPr/>
        <w:drawing>
          <wp:inline distT="0" distB="0" distL="0" distR="0">
            <wp:extent cx="4572000" cy="2895600"/>
            <wp:effectExtent l="0" t="0" r="0" b="0"/>
            <wp:docPr id="8" name="e05b_pricing_more.png" descr="Les bundles et le registre des offres, plus bas dans la même page&#10;Les bundles et le registre des offres, plus bas dans la mê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05b_pricing_more.png" descr="Les bundles et le registre des offres, plus bas dans la même page&#10;Les bundles et le registre des offres, plus bas dans la même page"/>
                    <pic:cNvPicPr>
                      <a:picLocks noChangeAspect="1" noChangeArrowheads="1"/>
                    </pic:cNvPicPr>
                  </pic:nvPicPr>
                  <pic:blipFill>
                    <a:blip r:embed="rId9"/>
                    <a:stretch>
                      <a:fillRect/>
                    </a:stretch>
                  </pic:blipFill>
                  <pic:spPr bwMode="auto">
                    <a:xfrm>
                      <a:off x="0" y="0"/>
                      <a:ext cx="4572000" cy="2895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bundles et le registre des offres, plus bas dans la même page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que voient les clients</w:t>
            </w:r>
          </w:p>
          <w:p>
            <w:pPr>
              <w:pStyle w:val="Normal"/>
              <w:spacing w:lineRule="auto" w:line="288" w:before="0" w:after="60"/>
              <w:jc w:val="left"/>
              <w:rPr/>
            </w:pPr>
            <w:r>
              <w:rPr>
                <w:rFonts w:eastAsia="Open Sans" w:cs="Open Sans"/>
                <w:color w:val="2C3E50"/>
                <w:sz w:val="21"/>
                <w:szCs w:val="21"/>
              </w:rPr>
              <w:t>Aucun prix, aucun devis et aucune règle commerciale n’apparaissent dans la version client : la page Offres et tarifs y est indisponible.</w:t>
            </w:r>
          </w:p>
          <w:p>
            <w:pPr>
              <w:pStyle w:val="Normal"/>
              <w:spacing w:lineRule="auto" w:line="288" w:before="0" w:after="60"/>
              <w:jc w:val="left"/>
              <w:rPr/>
            </w:pPr>
            <w:r>
              <w:rPr>
                <w:rFonts w:eastAsia="Open Sans" w:cs="Open Sans"/>
                <w:color w:val="2C3E50"/>
                <w:sz w:val="21"/>
                <w:szCs w:val="21"/>
              </w:rPr>
              <w:t>Le client voit son plan, ses utilisateurs, ses add-ons et sa date de fin dans Administration › Configuration et licence.</w:t>
            </w:r>
          </w:p>
        </w:tc>
      </w:tr>
    </w:tbl>
    <w:p>
      <w:pPr>
        <w:pStyle w:val="Heading1"/>
        <w:pBdr>
          <w:bottom w:val="single" w:sz="6" w:space="6" w:color="E1E8F0"/>
        </w:pBdr>
        <w:spacing w:before="0" w:after="240"/>
        <w:rPr/>
      </w:pPr>
      <w:r>
        <w:br w:type="page"/>
      </w:r>
      <w:bookmarkStart w:id="10" w:name="__RefHeading___Toc687_1089147156"/>
      <w:bookmarkEnd w:id="10"/>
      <w:r>
        <w:rPr>
          <w:rFonts w:eastAsia="Montserrat" w:cs="Montserrat"/>
          <w:b/>
          <w:bCs/>
          <w:color w:val="123A5F"/>
          <w:sz w:val="40"/>
          <w:szCs w:val="40"/>
        </w:rPr>
        <w:t>6. Les licences dans l’application</w:t>
      </w:r>
    </w:p>
    <w:p>
      <w:pPr>
        <w:pStyle w:val="Normal"/>
        <w:spacing w:lineRule="auto" w:line="288" w:before="0" w:after="160"/>
        <w:jc w:val="left"/>
        <w:rPr/>
      </w:pPr>
      <w:r>
        <w:rPr>
          <w:rFonts w:eastAsia="Open Sans" w:cs="Open Sans"/>
          <w:color w:val="2C3E50"/>
          <w:sz w:val="22"/>
          <w:szCs w:val="22"/>
        </w:rPr>
        <w:t>Une licence est signée sur votre poste de signature (cslic, guide d’installation éditeur, chapitre 6) pour l’Organization ID d’une organisation. Elle s’installe sur l’installation concernée de deux façons :</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Console : </w:t>
      </w:r>
      <w:r>
        <w:rPr>
          <w:rFonts w:eastAsia="Open Sans" w:cs="Open Sans"/>
          <w:color w:val="2C3E50"/>
          <w:sz w:val="22"/>
          <w:szCs w:val="22"/>
        </w:rPr>
        <w:t>cortexskills admin licence-install --file licence/&lt;fichier&gt;.lic (sans redémarrage).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Écran : </w:t>
      </w:r>
      <w:r>
        <w:rPr>
          <w:rFonts w:eastAsia="Open Sans" w:cs="Open Sans"/>
          <w:color w:val="2C3E50"/>
          <w:sz w:val="22"/>
          <w:szCs w:val="22"/>
        </w:rPr>
        <w:t>l’administrateur de l’organisation ouvre Administration › Configuration et licence, puis « Téléverser le fichier de licence ».</w:t>
      </w:r>
    </w:p>
    <w:p>
      <w:pPr>
        <w:pStyle w:val="Normal"/>
        <w:keepNext w:val="true"/>
        <w:spacing w:before="120" w:after="60"/>
        <w:jc w:val="center"/>
        <w:rPr/>
      </w:pPr>
      <w:r>
        <w:rPr/>
        <w:drawing>
          <wp:inline distT="0" distB="0" distL="0" distR="0">
            <wp:extent cx="4953000" cy="3133725"/>
            <wp:effectExtent l="0" t="0" r="0" b="0"/>
            <wp:docPr id="9" name="e07_licence.png" descr="Administration › Configuration et licence d’une organisation cliente sous licence&#10;Administration › Configuration et licence d’une organisation cliente sous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07_licence.png" descr="Administration › Configuration et licence d’une organisation cliente sous licence&#10;Administration › Configuration et licence d’une organisation cliente sous licence"/>
                    <pic:cNvPicPr>
                      <a:picLocks noChangeAspect="1" noChangeArrowheads="1"/>
                    </pic:cNvPicPr>
                  </pic:nvPicPr>
                  <pic:blipFill>
                    <a:blip r:embed="rId10"/>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et licence d’une organisation cliente sous licence</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Zone de l’écran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qu’elle montre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 · Modules · Niveau IA · Licence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plan de la licence, le nombre de modules ouverts, le niveau d’IA (Assistif, ou Assistif et Augmenté) et l’état de la licence avec les jours restants.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Utilisation des quotas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Projets, nœuds d’organigramme, cas d’usage IA personnalisés, questionnaires du mois : utilisé et limite de l’offre.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Déploiement, statut, plan, utilisateurs maximum, expiration, add-ons actifs.</w:t>
            </w:r>
          </w:p>
        </w:tc>
      </w:tr>
    </w:tbl>
    <w:p>
      <w:pPr>
        <w:pStyle w:val="Normal"/>
        <w:spacing w:lineRule="auto" w:line="288" w:before="0" w:after="160"/>
        <w:jc w:val="left"/>
        <w:rPr/>
      </w:pPr>
      <w:r>
        <w:rPr>
          <w:rFonts w:eastAsia="Open Sans" w:cs="Open Sans"/>
          <w:color w:val="2C3E50"/>
          <w:sz w:val="20"/>
          <w:szCs w:val="20"/>
        </w:rPr>
        <w:t>Le plan, les utilisateurs et les add-ons ne se modifient pas dans l’écran : un changement est une nouvelle version de la licence (cslic modifier ou renouveler), installée de la même façon. Trente jours avant la fin, les administrateurs sont prévenus ; après la fin, l’organisation passe en lecture seule.</w:t>
      </w:r>
      <w:r>
        <w:br w:type="page"/>
      </w:r>
    </w:p>
    <w:p>
      <w:pPr>
        <w:pStyle w:val="Heading1"/>
        <w:pBdr>
          <w:bottom w:val="single" w:sz="6" w:space="6" w:color="E1E8F0"/>
        </w:pBdr>
        <w:spacing w:before="0" w:after="240"/>
        <w:rPr/>
      </w:pPr>
      <w:bookmarkStart w:id="11" w:name="__RefHeading___Toc689_1089147156"/>
      <w:bookmarkEnd w:id="11"/>
      <w:r>
        <w:rPr>
          <w:rFonts w:eastAsia="Montserrat" w:cs="Montserrat"/>
          <w:b/>
          <w:bCs/>
          <w:color w:val="123A5F"/>
          <w:sz w:val="40"/>
          <w:szCs w:val="40"/>
        </w:rPr>
        <w:t>7. Conduire un projet avec un client</w:t>
      </w:r>
    </w:p>
    <w:p>
      <w:pPr>
        <w:pStyle w:val="Normal"/>
        <w:spacing w:lineRule="auto" w:line="288" w:before="0" w:after="160"/>
        <w:jc w:val="left"/>
        <w:rPr/>
      </w:pPr>
      <w:r>
        <w:rPr>
          <w:rFonts w:eastAsia="Open Sans" w:cs="Open Sans"/>
          <w:color w:val="2C3E50"/>
          <w:sz w:val="22"/>
          <w:szCs w:val="22"/>
        </w:rPr>
        <w:t>Les projets se conduisent de la même façon dans la version éditeur et dans la version client. Le déroulé complet, avec chaque étape et ce qu’il faut saisir, est dans le guide utilisateur client (cas réel d’une clinique privée). Les points essentiels :</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le projet : </w:t>
      </w:r>
      <w:r>
        <w:rPr>
          <w:rFonts w:eastAsia="Open Sans" w:cs="Open Sans"/>
          <w:color w:val="2C3E50"/>
          <w:sz w:val="22"/>
          <w:szCs w:val="22"/>
        </w:rPr>
        <w:t>Portefeuille › Nouveau projet, onglet « Depuis le catalogue » : Nom, Focus (Numérique, IA), Description, puis Modèle. La liste des modèles contient ceux de l’organisation, de son secteur, les modèles universels et ceux des autres secteurs.</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Suivre les phases : </w:t>
      </w:r>
      <w:r>
        <w:rPr>
          <w:rFonts w:eastAsia="Open Sans" w:cs="Open Sans"/>
          <w:color w:val="2C3E50"/>
          <w:sz w:val="22"/>
          <w:szCs w:val="22"/>
        </w:rPr>
        <w:t>chaque processus de bout en bout (E2E) a ses tâches et ses étapes ; les jalons (G1 à G5) se décident « Go » par le président du comité de pilotage.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Remplir une étape de trois façons : </w:t>
      </w:r>
      <w:r>
        <w:rPr>
          <w:rFonts w:eastAsia="Open Sans" w:cs="Open Sans"/>
          <w:color w:val="2C3E50"/>
          <w:sz w:val="22"/>
          <w:szCs w:val="22"/>
        </w:rPr>
        <w:t>saisie manuelle ou collage d’un tableau, « Depuis le modèle », ou « Proposer des lignes avec l’IA » ; chaque proposition est relue et validée par une personne.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Produire les documents : </w:t>
      </w:r>
      <w:r>
        <w:rPr>
          <w:rFonts w:eastAsia="Open Sans" w:cs="Open Sans"/>
          <w:color w:val="2C3E50"/>
          <w:sz w:val="22"/>
          <w:szCs w:val="22"/>
        </w:rPr>
        <w:t>chaque processus génère ses documents (DOCX, PDF, XLSX) depuis les données saisies, en version datée.</w:t>
      </w:r>
    </w:p>
    <w:p>
      <w:pPr>
        <w:pStyle w:val="Normal"/>
        <w:keepNext w:val="true"/>
        <w:spacing w:before="120" w:after="60"/>
        <w:jc w:val="center"/>
        <w:rPr/>
      </w:pPr>
      <w:r>
        <w:rPr/>
        <w:drawing>
          <wp:inline distT="0" distB="0" distL="0" distR="0">
            <wp:extent cx="4762500" cy="3009900"/>
            <wp:effectExtent l="0" t="0" r="0" b="0"/>
            <wp:docPr id="10" name="e08_new_project.png" descr="Nouveau projet, dans l’organisation cliente&#10;Nouveau projet, dans l’organisatio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08_new_project.png" descr="Nouveau projet, dans l’organisation cliente&#10;Nouveau projet, dans l’organisation cliente"/>
                    <pic:cNvPicPr>
                      <a:picLocks noChangeAspect="1" noChangeArrowheads="1"/>
                    </pic:cNvPicPr>
                  </pic:nvPicPr>
                  <pic:blipFill>
                    <a:blip r:embed="rId11"/>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Nouveau projet, dans l’organisation cliente</w:t>
      </w:r>
    </w:p>
    <w:p>
      <w:pPr>
        <w:pStyle w:val="Heading2"/>
        <w:keepNext w:val="true"/>
        <w:spacing w:before="320" w:after="120"/>
        <w:rPr/>
      </w:pPr>
      <w:bookmarkStart w:id="12" w:name="__RefHeading___Toc691_1089147156"/>
      <w:bookmarkEnd w:id="12"/>
      <w:r>
        <w:rPr>
          <w:rFonts w:eastAsia="Montserrat" w:cs="Montserrat"/>
          <w:b/>
          <w:bCs/>
          <w:color w:val="123A5F"/>
          <w:sz w:val="32"/>
          <w:szCs w:val="32"/>
        </w:rPr>
        <w:t>7.1 Les modèles de projet</w:t>
      </w:r>
    </w:p>
    <w:p>
      <w:pPr>
        <w:pStyle w:val="Normal"/>
        <w:spacing w:lineRule="auto" w:line="288" w:before="0" w:after="160"/>
        <w:jc w:val="left"/>
        <w:rPr/>
      </w:pPr>
      <w:r>
        <w:rPr>
          <w:rFonts w:eastAsia="Open Sans" w:cs="Open Sans"/>
          <w:color w:val="2C3E50"/>
          <w:sz w:val="20"/>
          <w:szCs w:val="20"/>
        </w:rPr>
        <w:t>Conception des processus › Modèles de projet : les modèles publiés (universels ou par secteur, parcours complet ou PME). « Enregistrer comme modèle » sur un projet terminé en crée un nouveau, à publier pour le proposer à la création.</w:t>
      </w:r>
    </w:p>
    <w:p>
      <w:pPr>
        <w:pStyle w:val="Normal"/>
        <w:keepNext w:val="true"/>
        <w:spacing w:before="120" w:after="60"/>
        <w:jc w:val="center"/>
        <w:rPr/>
      </w:pPr>
      <w:r>
        <w:rPr/>
        <w:drawing>
          <wp:inline distT="0" distB="0" distL="0" distR="0">
            <wp:extent cx="4381500" cy="2771775"/>
            <wp:effectExtent l="0" t="0" r="0" b="0"/>
            <wp:docPr id="11" name="e09_project_templates.png" descr="Conception des processus › Modèles de projet&#10;Conception des processus › Modèles d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09_project_templates.png" descr="Conception des processus › Modèles de projet&#10;Conception des processus › Modèles de projet"/>
                    <pic:cNvPicPr>
                      <a:picLocks noChangeAspect="1" noChangeArrowheads="1"/>
                    </pic:cNvPicPr>
                  </pic:nvPicPr>
                  <pic:blipFill>
                    <a:blip r:embed="rId12"/>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Conception des processus › Modèles de projet</w:t>
      </w:r>
      <w:r>
        <w:br w:type="page"/>
      </w:r>
    </w:p>
    <w:p>
      <w:pPr>
        <w:pStyle w:val="Heading1"/>
        <w:pBdr>
          <w:bottom w:val="single" w:sz="6" w:space="6" w:color="E1E8F0"/>
        </w:pBdr>
        <w:spacing w:before="0" w:after="240"/>
        <w:rPr/>
      </w:pPr>
      <w:bookmarkStart w:id="13" w:name="__RefHeading___Toc693_1089147156"/>
      <w:bookmarkEnd w:id="13"/>
      <w:r>
        <w:rPr>
          <w:rFonts w:eastAsia="Montserrat" w:cs="Montserrat"/>
          <w:b/>
          <w:bCs/>
          <w:color w:val="123A5F"/>
          <w:sz w:val="40"/>
          <w:szCs w:val="40"/>
        </w:rPr>
        <w:t>8. Réglages de la plateforme</w:t>
      </w:r>
    </w:p>
    <w:p>
      <w:pPr>
        <w:pStyle w:val="Heading2"/>
        <w:keepNext w:val="true"/>
        <w:spacing w:before="320" w:after="120"/>
        <w:rPr/>
      </w:pPr>
      <w:bookmarkStart w:id="14" w:name="__RefHeading___Toc695_1089147156"/>
      <w:bookmarkEnd w:id="14"/>
      <w:r>
        <w:rPr>
          <w:rFonts w:eastAsia="Montserrat" w:cs="Montserrat"/>
          <w:b/>
          <w:bCs/>
          <w:color w:val="123A5F"/>
          <w:sz w:val="32"/>
          <w:szCs w:val="32"/>
        </w:rPr>
        <w:t>8.1 Canaux : e-mail et WhatsApp</w:t>
      </w:r>
    </w:p>
    <w:p>
      <w:pPr>
        <w:pStyle w:val="Normal"/>
        <w:spacing w:lineRule="auto" w:line="288" w:before="0" w:after="160"/>
        <w:jc w:val="left"/>
        <w:rPr/>
      </w:pPr>
      <w:r>
        <w:rPr>
          <w:rFonts w:eastAsia="Open Sans" w:cs="Open Sans"/>
          <w:color w:val="2C3E50"/>
          <w:sz w:val="22"/>
          <w:szCs w:val="22"/>
        </w:rPr>
        <w:t>Administration › Canaux : le serveur d’e-mail (SMTP) et le compte WhatsApp Business de l’organisation, chacun en « Bac à sable » (messages conservés sans partir, pour répéter une démonstration) ou « En production ». « Envoyer un test » confirme que le fournisseur accepte les messages. Les valeurs SMTP_* et WHATSAPP_* du fichier .env servent par défaut aux organisations qui n’ont pas leur propre réglage.</w:t>
      </w:r>
    </w:p>
    <w:p>
      <w:pPr>
        <w:pStyle w:val="Normal"/>
        <w:keepNext w:val="true"/>
        <w:spacing w:before="120" w:after="60"/>
        <w:jc w:val="center"/>
        <w:rPr/>
      </w:pPr>
      <w:r>
        <w:rPr/>
        <w:drawing>
          <wp:inline distT="0" distB="0" distL="0" distR="0">
            <wp:extent cx="4572000" cy="2895600"/>
            <wp:effectExtent l="0" t="0" r="0" b="0"/>
            <wp:docPr id="12" name="e10_channels.png" descr="Administration › Canaux&#10;Administration ›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10_channels.png" descr="Administration › Canaux&#10;Administration › Canaux"/>
                    <pic:cNvPicPr>
                      <a:picLocks noChangeAspect="1" noChangeArrowheads="1"/>
                    </pic:cNvPicPr>
                  </pic:nvPicPr>
                  <pic:blipFill>
                    <a:blip r:embed="rId13"/>
                    <a:stretch>
                      <a:fillRect/>
                    </a:stretch>
                  </pic:blipFill>
                  <pic:spPr bwMode="auto">
                    <a:xfrm>
                      <a:off x="0" y="0"/>
                      <a:ext cx="4572000" cy="2895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Canaux</w:t>
      </w:r>
    </w:p>
    <w:p>
      <w:pPr>
        <w:pStyle w:val="Heading2"/>
        <w:keepNext w:val="true"/>
        <w:spacing w:before="320" w:after="120"/>
        <w:rPr/>
      </w:pPr>
      <w:bookmarkStart w:id="15" w:name="__RefHeading___Toc697_1089147156"/>
      <w:bookmarkEnd w:id="15"/>
      <w:r>
        <w:rPr>
          <w:rFonts w:eastAsia="Montserrat" w:cs="Montserrat"/>
          <w:b/>
          <w:bCs/>
          <w:color w:val="123A5F"/>
          <w:sz w:val="32"/>
          <w:szCs w:val="32"/>
        </w:rPr>
        <w:t>8.2 IA</w:t>
      </w:r>
    </w:p>
    <w:p>
      <w:pPr>
        <w:pStyle w:val="Normal"/>
        <w:spacing w:lineRule="auto" w:line="288" w:before="0" w:after="160"/>
        <w:jc w:val="left"/>
        <w:rPr/>
      </w:pPr>
      <w:r>
        <w:rPr>
          <w:rFonts w:eastAsia="Open Sans" w:cs="Open Sans"/>
          <w:color w:val="2C3E50"/>
          <w:sz w:val="22"/>
          <w:szCs w:val="22"/>
        </w:rPr>
        <w:t>IA et connaissances › Réglages IA : le fournisseur et le modèle utilisés par les cas d’usage IA de l’organisation, avec une clé d’API chiffrée. Sans modèle activé, le moteur intégré produit les propositions. Les données personnelles des répondants ne sont jamais envoyées au fournisseur ; chaque proposition est validée par une personne et journalisée (IA et connaissances › Utilisation).</w:t>
      </w:r>
    </w:p>
    <w:p>
      <w:pPr>
        <w:pStyle w:val="Normal"/>
        <w:keepNext w:val="true"/>
        <w:spacing w:before="120" w:after="60"/>
        <w:jc w:val="center"/>
        <w:rPr/>
      </w:pPr>
      <w:r>
        <w:rPr/>
        <w:drawing>
          <wp:inline distT="0" distB="0" distL="0" distR="0">
            <wp:extent cx="4381500" cy="2771775"/>
            <wp:effectExtent l="0" t="0" r="0" b="0"/>
            <wp:docPr id="13" name="e11_ai_settings.png" descr="IA et connaissances › Réglages IA&#10;IA et connaissances › Réglages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11_ai_settings.png" descr="IA et connaissances › Réglages IA&#10;IA et connaissances › Réglages IA"/>
                    <pic:cNvPicPr>
                      <a:picLocks noChangeAspect="1" noChangeArrowheads="1"/>
                    </pic:cNvPicPr>
                  </pic:nvPicPr>
                  <pic:blipFill>
                    <a:blip r:embed="rId14"/>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IA et connaissances › Réglages IA</w:t>
      </w:r>
    </w:p>
    <w:p>
      <w:pPr>
        <w:pStyle w:val="Heading2"/>
        <w:keepNext w:val="true"/>
        <w:spacing w:before="320" w:after="120"/>
        <w:rPr/>
      </w:pPr>
      <w:bookmarkStart w:id="16" w:name="__RefHeading___Toc699_1089147156"/>
      <w:bookmarkEnd w:id="16"/>
      <w:r>
        <w:rPr>
          <w:rFonts w:eastAsia="Montserrat" w:cs="Montserrat"/>
          <w:b/>
          <w:bCs/>
          <w:color w:val="123A5F"/>
          <w:sz w:val="32"/>
          <w:szCs w:val="32"/>
        </w:rPr>
        <w:t>8.3 Modèles de documents</w:t>
      </w:r>
    </w:p>
    <w:p>
      <w:pPr>
        <w:pStyle w:val="Normal"/>
        <w:spacing w:lineRule="auto" w:line="288" w:before="0" w:after="160"/>
        <w:jc w:val="left"/>
        <w:rPr/>
      </w:pPr>
      <w:r>
        <w:rPr>
          <w:rFonts w:eastAsia="Open Sans" w:cs="Open Sans"/>
          <w:color w:val="2C3E50"/>
          <w:sz w:val="22"/>
          <w:szCs w:val="22"/>
        </w:rPr>
        <w:t>Documents › Modèles : la bibliothèque des modèles de documents (cahier des charges, rapports de campagne, plan de formation, évaluation…). Documents › Mise en page applique la charte de l’organisation (logo, couleurs, polices) à tous les documents générés.</w:t>
      </w:r>
    </w:p>
    <w:p>
      <w:pPr>
        <w:pStyle w:val="Normal"/>
        <w:keepNext w:val="true"/>
        <w:spacing w:before="120" w:after="60"/>
        <w:jc w:val="center"/>
        <w:rPr/>
      </w:pPr>
      <w:r>
        <w:rPr/>
        <w:drawing>
          <wp:inline distT="0" distB="0" distL="0" distR="0">
            <wp:extent cx="4381500" cy="2771775"/>
            <wp:effectExtent l="0" t="0" r="0" b="0"/>
            <wp:docPr id="14" name="e12_document_templates.png" descr="Documents › Modèles&#10;Documents › Modè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12_document_templates.png" descr="Documents › Modèles&#10;Documents › Modèles"/>
                    <pic:cNvPicPr>
                      <a:picLocks noChangeAspect="1" noChangeArrowheads="1"/>
                    </pic:cNvPicPr>
                  </pic:nvPicPr>
                  <pic:blipFill>
                    <a:blip r:embed="rId15"/>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Documents › Modèles</w:t>
      </w:r>
      <w:r>
        <w:br w:type="page"/>
      </w:r>
    </w:p>
    <w:p>
      <w:pPr>
        <w:pStyle w:val="Heading1"/>
        <w:pBdr>
          <w:bottom w:val="single" w:sz="6" w:space="6" w:color="E1E8F0"/>
        </w:pBdr>
        <w:spacing w:before="0" w:after="240"/>
        <w:rPr/>
      </w:pPr>
      <w:bookmarkStart w:id="17" w:name="__RefHeading___Toc701_1089147156"/>
      <w:bookmarkEnd w:id="17"/>
      <w:r>
        <w:rPr>
          <w:rFonts w:eastAsia="Montserrat" w:cs="Montserrat"/>
          <w:b/>
          <w:bCs/>
          <w:color w:val="123A5F"/>
          <w:sz w:val="40"/>
          <w:szCs w:val="40"/>
        </w:rPr>
        <w:t>9. Audit, traçabilité et sauvegardes</w:t>
      </w:r>
    </w:p>
    <w:p>
      <w:pPr>
        <w:pStyle w:val="Normal"/>
        <w:spacing w:lineRule="auto" w:line="288" w:before="0" w:after="160"/>
        <w:jc w:val="left"/>
        <w:rPr/>
      </w:pPr>
      <w:r>
        <w:rPr>
          <w:rFonts w:eastAsia="Open Sans" w:cs="Open Sans"/>
          <w:color w:val="2C3E50"/>
          <w:sz w:val="22"/>
          <w:szCs w:val="22"/>
        </w:rPr>
        <w:t>Administration › Journal d’audit : chaque action d’administration et chaque décision (création d’utilisateur, licence installée, jalon décidé, document publié) avec sa date, son auteur et ses valeurs avant et après. Administration › Traçabilité relie les exigences, les processus et les enregistrements.</w:t>
      </w:r>
    </w:p>
    <w:p>
      <w:pPr>
        <w:pStyle w:val="Normal"/>
        <w:keepNext w:val="true"/>
        <w:spacing w:before="120" w:after="60"/>
        <w:jc w:val="center"/>
        <w:rPr/>
      </w:pPr>
      <w:r>
        <w:rPr/>
        <w:drawing>
          <wp:inline distT="0" distB="0" distL="0" distR="0">
            <wp:extent cx="4381500" cy="2771775"/>
            <wp:effectExtent l="0" t="0" r="0" b="0"/>
            <wp:docPr id="15" name="e13_audit_log.png" descr="Administration › Journal d’audit&#10;Administration ›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13_audit_log.png" descr="Administration › Journal d’audit&#10;Administration › Journal d’audit"/>
                    <pic:cNvPicPr>
                      <a:picLocks noChangeAspect="1" noChangeArrowheads="1"/>
                    </pic:cNvPicPr>
                  </pic:nvPicPr>
                  <pic:blipFill>
                    <a:blip r:embed="rId16"/>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Journal d’audit</w:t>
      </w:r>
    </w:p>
    <w:p>
      <w:pPr>
        <w:pStyle w:val="Normal"/>
        <w:spacing w:lineRule="auto" w:line="288" w:before="0" w:after="160"/>
        <w:jc w:val="left"/>
        <w:rPr/>
      </w:pPr>
      <w:r>
        <w:rPr>
          <w:rFonts w:eastAsia="Open Sans" w:cs="Open Sans"/>
          <w:color w:val="2C3E50"/>
          <w:sz w:val="22"/>
          <w:szCs w:val="22"/>
        </w:rPr>
        <w:t>Administration › Sauvegardes et santé : l’état du service, les sauvegardes quotidiennes et à la demande (« Sauvegarder maintenant ») et la procédure de restauration. Copiez les sauvegardes hors du serveur chaque jour (guide d’installation éditeur, 4.4).</w:t>
      </w:r>
    </w:p>
    <w:p>
      <w:pPr>
        <w:pStyle w:val="Normal"/>
        <w:keepNext w:val="true"/>
        <w:spacing w:before="120" w:after="60"/>
        <w:jc w:val="center"/>
        <w:rPr/>
      </w:pPr>
      <w:r>
        <w:rPr/>
        <w:drawing>
          <wp:inline distT="0" distB="0" distL="0" distR="0">
            <wp:extent cx="4381500" cy="2771775"/>
            <wp:effectExtent l="0" t="0" r="0" b="0"/>
            <wp:docPr id="16" name="e14_backups.png" descr="Administration › Sauvegardes et santé&#10;Administration › Sauvegardes et san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14_backups.png" descr="Administration › Sauvegardes et santé&#10;Administration › Sauvegardes et santé"/>
                    <pic:cNvPicPr>
                      <a:picLocks noChangeAspect="1" noChangeArrowheads="1"/>
                    </pic:cNvPicPr>
                  </pic:nvPicPr>
                  <pic:blipFill>
                    <a:blip r:embed="rId17"/>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Sauvegardes et santé</w:t>
      </w:r>
      <w:r>
        <w:br w:type="page"/>
      </w:r>
    </w:p>
    <w:p>
      <w:pPr>
        <w:pStyle w:val="Heading1"/>
        <w:pBdr>
          <w:bottom w:val="single" w:sz="6" w:space="6" w:color="E1E8F0"/>
        </w:pBdr>
        <w:spacing w:before="0" w:after="240"/>
        <w:rPr/>
      </w:pPr>
      <w:bookmarkStart w:id="18" w:name="__RefHeading___Toc703_1089147156"/>
      <w:bookmarkEnd w:id="18"/>
      <w:r>
        <w:rPr>
          <w:rFonts w:eastAsia="Montserrat" w:cs="Montserrat"/>
          <w:b/>
          <w:bCs/>
          <w:color w:val="123A5F"/>
          <w:sz w:val="40"/>
          <w:szCs w:val="40"/>
        </w:rPr>
        <w:t>10. Bonnes pratiques</w:t>
      </w:r>
    </w:p>
    <w:p>
      <w:pPr>
        <w:pStyle w:val="ListParagraph"/>
        <w:numPr>
          <w:ilvl w:val="0"/>
          <w:numId w:val="3"/>
        </w:numPr>
        <w:spacing w:lineRule="auto" w:line="288" w:before="0" w:after="80"/>
        <w:rPr/>
      </w:pPr>
      <w:r>
        <w:rPr>
          <w:rFonts w:eastAsia="Open Sans" w:cs="Open Sans"/>
          <w:color w:val="2C3E50"/>
          <w:sz w:val="22"/>
          <w:szCs w:val="22"/>
        </w:rPr>
        <w:t>Une organisation par client, une licence par organisation ; ne mélangez jamais les données de deux clients dans une organisation.</w:t>
      </w:r>
    </w:p>
    <w:p>
      <w:pPr>
        <w:pStyle w:val="ListParagraph"/>
        <w:numPr>
          <w:ilvl w:val="0"/>
          <w:numId w:val="1"/>
        </w:numPr>
        <w:spacing w:lineRule="auto" w:line="288" w:before="0" w:after="80"/>
        <w:rPr/>
      </w:pPr>
      <w:r>
        <w:rPr>
          <w:rFonts w:eastAsia="Open Sans" w:cs="Open Sans"/>
          <w:color w:val="2C3E50"/>
          <w:sz w:val="22"/>
          <w:szCs w:val="22"/>
        </w:rPr>
        <w:t>Démonstrations : utilisez les organisations de référence, ou une organisation de démonstration sous licence courte, avec les canaux en « Bac à sable ».</w:t>
      </w:r>
    </w:p>
    <w:p>
      <w:pPr>
        <w:pStyle w:val="ListParagraph"/>
        <w:numPr>
          <w:ilvl w:val="0"/>
          <w:numId w:val="1"/>
        </w:numPr>
        <w:spacing w:lineRule="auto" w:line="288" w:before="0" w:after="80"/>
        <w:rPr/>
      </w:pPr>
      <w:r>
        <w:rPr>
          <w:rFonts w:eastAsia="Open Sans" w:cs="Open Sans"/>
          <w:color w:val="2C3E50"/>
          <w:sz w:val="22"/>
          <w:szCs w:val="22"/>
        </w:rPr>
        <w:t>Avant un pilote : réglez les canaux en « Production », vérifiez PUBLIC_URL (les liens envoyés doivent s’ouvrir sur un téléphone) et testez un envoi.</w:t>
      </w:r>
    </w:p>
    <w:p>
      <w:pPr>
        <w:pStyle w:val="ListParagraph"/>
        <w:numPr>
          <w:ilvl w:val="0"/>
          <w:numId w:val="1"/>
        </w:numPr>
        <w:spacing w:lineRule="auto" w:line="288" w:before="0" w:after="80"/>
        <w:rPr/>
      </w:pPr>
      <w:r>
        <w:rPr>
          <w:rFonts w:eastAsia="Open Sans" w:cs="Open Sans"/>
          <w:color w:val="2C3E50"/>
          <w:sz w:val="22"/>
          <w:szCs w:val="22"/>
        </w:rPr>
        <w:t>Ne communiquez jamais un prix depuis une installation client : les prix n’y existent pas ; préparez le devis sur votre installation éditeur.</w:t>
      </w:r>
    </w:p>
    <w:p>
      <w:pPr>
        <w:pStyle w:val="ListParagraph"/>
        <w:numPr>
          <w:ilvl w:val="0"/>
          <w:numId w:val="1"/>
        </w:numPr>
        <w:spacing w:lineRule="auto" w:line="288" w:before="0" w:after="80"/>
        <w:rPr/>
      </w:pPr>
      <w:r>
        <w:rPr>
          <w:rFonts w:eastAsia="Open Sans" w:cs="Open Sans"/>
          <w:color w:val="2C3E50"/>
          <w:sz w:val="22"/>
          <w:szCs w:val="22"/>
        </w:rPr>
        <w:t>Changez de mot de passe à la première connexion et gardez au moins deux administrateurs par organisation (règle des deux personnes pour publier).</w:t>
      </w:r>
      <w:r>
        <w:br w:type="page"/>
      </w:r>
    </w:p>
    <w:p>
      <w:pPr>
        <w:pStyle w:val="Heading1"/>
        <w:pBdr>
          <w:bottom w:val="single" w:sz="6" w:space="6" w:color="E1E8F0"/>
        </w:pBdr>
        <w:spacing w:before="0" w:after="240"/>
        <w:rPr/>
      </w:pPr>
      <w:bookmarkStart w:id="19" w:name="__RefHeading___Toc705_1089147156"/>
      <w:bookmarkEnd w:id="19"/>
      <w:r>
        <w:rPr>
          <w:rFonts w:eastAsia="Montserrat" w:cs="Montserrat"/>
          <w:b/>
          <w:bCs/>
          <w:color w:val="123A5F"/>
          <w:sz w:val="40"/>
          <w:szCs w:val="40"/>
        </w:rPr>
        <w:t>11.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The licence of this Organization is not active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Licence non installée, expirée ou retirée.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Installez la licence (chapitre 6) ; vérifiez sa date de fin.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création d’un utilisateur est refusée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Nombre maximal d’utilisateurs de la licence atteint.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Désactivez un compte inutile ou émettez une nouvelle version de la licence (plus d’utilisateurs).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module n’apparaît pas dans le menu</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plan de la licence ne l’inclut pas.</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Changez de plan ou ajoutez l’add-on par une nouvelle version de la licence.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compte d’une organisation de référence est refusé</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Ces comptes ne peuvent pas se connecter.</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Connectez-vous comme administrateur de la plateforme.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 page Offres et tarifs est indisponible</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Vous êtes sur une installation client.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Utilisez votre installation éditeur.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messages ne partent pas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Canal en « Bac à sable » ou non activé.</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Administration › Canaux : « Activé », « En production », puis « Envoyer un test ».</w:t>
            </w:r>
          </w:p>
        </w:tc>
      </w:tr>
    </w:tbl>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utilisateur, côté éditeur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18</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17"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Guide utilisateur — éditeur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2026-10-16T18:42:52Z</dcterms:created>
  <dc:creator>AI Value</dc:creator>
  <dc:description>CortexSkills — Guide utilisateur, côté éditeur</dc:description>
  <dc:language>en-US</dc:language>
  <cp:lastModifiedBy/>
  <dcterms:modified xsi:type="dcterms:W3CDTF">2026-10-16T18:42:55Z</dcterms:modified>
  <cp:revision>2</cp:revision>
  <dc:subject/>
  <dc:title>CortexSkills — Guide utilisateur, côté éditeur</dc:title>
</cp:coreProperties>
</file>