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USER GUIDE — EDITOR SIDE</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Using CortexSkills on your installations: reference organizations, customer organizations and users, offers, prices and quotations, licences, running projects, platform settings, audit and backups</w:t>
      </w:r>
    </w:p>
    <w:p>
      <w:pPr>
        <w:pStyle w:val="Normal"/>
        <w:spacing w:before="0" w:after="60"/>
        <w:jc w:val="center"/>
        <w:rPr/>
      </w:pPr>
      <w:r>
        <w:rPr>
          <w:rFonts w:eastAsia="Open Sans" w:cs="Open Sans"/>
          <w:color w:val="5A6B7B"/>
          <w:sz w:val="20"/>
          <w:szCs w:val="20"/>
        </w:rPr>
        <w:t>Version 1.15.1 · 2026-10-16</w:t>
      </w:r>
    </w:p>
    <w:p>
      <w:pPr>
        <w:pStyle w:val="Normal"/>
        <w:spacing w:before="0" w:after="60"/>
        <w:jc w:val="center"/>
        <w:rPr/>
      </w:pPr>
      <w:r>
        <w:rPr>
          <w:rFonts w:eastAsia="Open Sans" w:cs="Open Sans"/>
          <w:color w:val="5A6B7B"/>
          <w:sz w:val="20"/>
          <w:szCs w:val="20"/>
        </w:rPr>
        <w:t>Internal —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of Contents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373_1089147156">
            <w:r>
              <w:rPr>
                <w:rStyle w:val="IndexLink"/>
              </w:rPr>
              <w:t>1. About this guide</w:t>
              <w:tab/>
              <w:t>3</w:t>
            </w:r>
          </w:hyperlink>
        </w:p>
        <w:p>
          <w:pPr>
            <w:pStyle w:val="TOC2"/>
            <w:tabs>
              <w:tab w:val="clear" w:pos="720"/>
              <w:tab w:val="right" w:pos="9637" w:leader="dot"/>
            </w:tabs>
            <w:rPr/>
          </w:pPr>
          <w:hyperlink w:anchor="__RefHeading___Toc1375_1089147156">
            <w:r>
              <w:rPr>
                <w:rStyle w:val="IndexLink"/>
              </w:rPr>
              <w:t>1.1 Editor edition and customer edition</w:t>
              <w:tab/>
              <w:t>3</w:t>
            </w:r>
          </w:hyperlink>
        </w:p>
        <w:p>
          <w:pPr>
            <w:pStyle w:val="TOC1"/>
            <w:tabs>
              <w:tab w:val="clear" w:pos="720"/>
              <w:tab w:val="right" w:pos="9637" w:leader="dot"/>
            </w:tabs>
            <w:rPr/>
          </w:pPr>
          <w:hyperlink w:anchor="__RefHeading___Toc1377_1089147156">
            <w:r>
              <w:rPr>
                <w:rStyle w:val="IndexLink"/>
              </w:rPr>
              <w:t>2. Sign in and find your way</w:t>
              <w:tab/>
              <w:t>4</w:t>
            </w:r>
          </w:hyperlink>
        </w:p>
        <w:p>
          <w:pPr>
            <w:pStyle w:val="TOC1"/>
            <w:tabs>
              <w:tab w:val="clear" w:pos="720"/>
              <w:tab w:val="right" w:pos="9637" w:leader="dot"/>
            </w:tabs>
            <w:rPr/>
          </w:pPr>
          <w:hyperlink w:anchor="__RefHeading___Toc1379_1089147156">
            <w:r>
              <w:rPr>
                <w:rStyle w:val="IndexLink"/>
              </w:rPr>
              <w:t>3. The reference organizations</w:t>
              <w:tab/>
              <w:t>6</w:t>
            </w:r>
          </w:hyperlink>
        </w:p>
        <w:p>
          <w:pPr>
            <w:pStyle w:val="TOC1"/>
            <w:tabs>
              <w:tab w:val="clear" w:pos="720"/>
              <w:tab w:val="right" w:pos="9637" w:leader="dot"/>
            </w:tabs>
            <w:rPr/>
          </w:pPr>
          <w:hyperlink w:anchor="__RefHeading___Toc1381_1089147156">
            <w:r>
              <w:rPr>
                <w:rStyle w:val="IndexLink"/>
              </w:rPr>
              <w:t>4. Customer organizations and users</w:t>
              <w:tab/>
              <w:t>8</w:t>
            </w:r>
          </w:hyperlink>
        </w:p>
        <w:p>
          <w:pPr>
            <w:pStyle w:val="TOC2"/>
            <w:tabs>
              <w:tab w:val="clear" w:pos="720"/>
              <w:tab w:val="right" w:pos="9637" w:leader="dot"/>
            </w:tabs>
            <w:rPr/>
          </w:pPr>
          <w:hyperlink w:anchor="__RefHeading___Toc1383_1089147156">
            <w:r>
              <w:rPr>
                <w:rStyle w:val="IndexLink"/>
              </w:rPr>
              <w:t>4.1 Create a customer’s organization</w:t>
              <w:tab/>
              <w:t>8</w:t>
            </w:r>
          </w:hyperlink>
        </w:p>
        <w:p>
          <w:pPr>
            <w:pStyle w:val="TOC2"/>
            <w:tabs>
              <w:tab w:val="clear" w:pos="720"/>
              <w:tab w:val="right" w:pos="9637" w:leader="dot"/>
            </w:tabs>
            <w:rPr/>
          </w:pPr>
          <w:hyperlink w:anchor="__RefHeading___Toc1385_1089147156">
            <w:r>
              <w:rPr>
                <w:rStyle w:val="IndexLink"/>
              </w:rPr>
              <w:t>4.2 Users and roles</w:t>
              <w:tab/>
              <w:t>8</w:t>
            </w:r>
          </w:hyperlink>
        </w:p>
        <w:p>
          <w:pPr>
            <w:pStyle w:val="TOC1"/>
            <w:tabs>
              <w:tab w:val="clear" w:pos="720"/>
              <w:tab w:val="right" w:pos="9637" w:leader="dot"/>
            </w:tabs>
            <w:rPr/>
          </w:pPr>
          <w:hyperlink w:anchor="__RefHeading___Toc1387_1089147156">
            <w:r>
              <w:rPr>
                <w:rStyle w:val="IndexLink"/>
              </w:rPr>
              <w:t>5. Offers, prices and quotations</w:t>
              <w:tab/>
              <w:t>9</w:t>
            </w:r>
          </w:hyperlink>
        </w:p>
        <w:p>
          <w:pPr>
            <w:pStyle w:val="TOC2"/>
            <w:tabs>
              <w:tab w:val="clear" w:pos="720"/>
              <w:tab w:val="right" w:pos="9637" w:leader="dot"/>
            </w:tabs>
            <w:rPr/>
          </w:pPr>
          <w:hyperlink w:anchor="__RefHeading___Toc1389_1089147156">
            <w:r>
              <w:rPr>
                <w:rStyle w:val="IndexLink"/>
              </w:rPr>
              <w:t>5.1 Packs</w:t>
              <w:tab/>
              <w:t>9</w:t>
            </w:r>
          </w:hyperlink>
        </w:p>
        <w:p>
          <w:pPr>
            <w:pStyle w:val="TOC2"/>
            <w:tabs>
              <w:tab w:val="clear" w:pos="720"/>
              <w:tab w:val="right" w:pos="9637" w:leader="dot"/>
            </w:tabs>
            <w:rPr/>
          </w:pPr>
          <w:hyperlink w:anchor="__RefHeading___Toc1391_1089147156">
            <w:r>
              <w:rPr>
                <w:rStyle w:val="IndexLink"/>
              </w:rPr>
              <w:t>5.2 Bundles and SME packs</w:t>
              <w:tab/>
              <w:t>10</w:t>
            </w:r>
          </w:hyperlink>
        </w:p>
        <w:p>
          <w:pPr>
            <w:pStyle w:val="TOC1"/>
            <w:tabs>
              <w:tab w:val="clear" w:pos="720"/>
              <w:tab w:val="right" w:pos="9637" w:leader="dot"/>
            </w:tabs>
            <w:rPr/>
          </w:pPr>
          <w:hyperlink w:anchor="__RefHeading___Toc1393_1089147156">
            <w:r>
              <w:rPr>
                <w:rStyle w:val="IndexLink"/>
              </w:rPr>
              <w:t>6. Licences in the application</w:t>
              <w:tab/>
              <w:t>11</w:t>
            </w:r>
          </w:hyperlink>
        </w:p>
        <w:p>
          <w:pPr>
            <w:pStyle w:val="TOC1"/>
            <w:tabs>
              <w:tab w:val="clear" w:pos="720"/>
              <w:tab w:val="right" w:pos="9637" w:leader="dot"/>
            </w:tabs>
            <w:rPr/>
          </w:pPr>
          <w:hyperlink w:anchor="__RefHeading___Toc1395_1089147156">
            <w:r>
              <w:rPr>
                <w:rStyle w:val="IndexLink"/>
              </w:rPr>
              <w:t>7. Run a project with a customer</w:t>
              <w:tab/>
              <w:t>12</w:t>
            </w:r>
          </w:hyperlink>
        </w:p>
        <w:p>
          <w:pPr>
            <w:pStyle w:val="TOC2"/>
            <w:tabs>
              <w:tab w:val="clear" w:pos="720"/>
              <w:tab w:val="right" w:pos="9637" w:leader="dot"/>
            </w:tabs>
            <w:rPr/>
          </w:pPr>
          <w:hyperlink w:anchor="__RefHeading___Toc1397_1089147156">
            <w:r>
              <w:rPr>
                <w:rStyle w:val="IndexLink"/>
              </w:rPr>
              <w:t>7.1 Project templates</w:t>
              <w:tab/>
              <w:t>12</w:t>
            </w:r>
          </w:hyperlink>
        </w:p>
        <w:p>
          <w:pPr>
            <w:pStyle w:val="TOC1"/>
            <w:tabs>
              <w:tab w:val="clear" w:pos="720"/>
              <w:tab w:val="right" w:pos="9637" w:leader="dot"/>
            </w:tabs>
            <w:rPr/>
          </w:pPr>
          <w:hyperlink w:anchor="__RefHeading___Toc1399_1089147156">
            <w:r>
              <w:rPr>
                <w:rStyle w:val="IndexLink"/>
              </w:rPr>
              <w:t>8. Platform settings</w:t>
              <w:tab/>
              <w:t>14</w:t>
            </w:r>
          </w:hyperlink>
        </w:p>
        <w:p>
          <w:pPr>
            <w:pStyle w:val="TOC2"/>
            <w:tabs>
              <w:tab w:val="clear" w:pos="720"/>
              <w:tab w:val="right" w:pos="9637" w:leader="dot"/>
            </w:tabs>
            <w:rPr/>
          </w:pPr>
          <w:hyperlink w:anchor="__RefHeading___Toc1401_1089147156">
            <w:r>
              <w:rPr>
                <w:rStyle w:val="IndexLink"/>
              </w:rPr>
              <w:t>8.1 Channels: e-mail and WhatsApp</w:t>
              <w:tab/>
              <w:t>14</w:t>
            </w:r>
          </w:hyperlink>
        </w:p>
        <w:p>
          <w:pPr>
            <w:pStyle w:val="TOC2"/>
            <w:tabs>
              <w:tab w:val="clear" w:pos="720"/>
              <w:tab w:val="right" w:pos="9637" w:leader="dot"/>
            </w:tabs>
            <w:rPr/>
          </w:pPr>
          <w:hyperlink w:anchor="__RefHeading___Toc1403_1089147156">
            <w:r>
              <w:rPr>
                <w:rStyle w:val="IndexLink"/>
              </w:rPr>
              <w:t>8.2 AI</w:t>
              <w:tab/>
              <w:t>14</w:t>
            </w:r>
          </w:hyperlink>
        </w:p>
        <w:p>
          <w:pPr>
            <w:pStyle w:val="TOC2"/>
            <w:tabs>
              <w:tab w:val="clear" w:pos="720"/>
              <w:tab w:val="right" w:pos="9637" w:leader="dot"/>
            </w:tabs>
            <w:rPr/>
          </w:pPr>
          <w:hyperlink w:anchor="__RefHeading___Toc1405_1089147156">
            <w:r>
              <w:rPr>
                <w:rStyle w:val="IndexLink"/>
              </w:rPr>
              <w:t>8.3 Document templates</w:t>
              <w:tab/>
              <w:t>15</w:t>
            </w:r>
          </w:hyperlink>
        </w:p>
        <w:p>
          <w:pPr>
            <w:pStyle w:val="TOC1"/>
            <w:tabs>
              <w:tab w:val="clear" w:pos="720"/>
              <w:tab w:val="right" w:pos="9637" w:leader="dot"/>
            </w:tabs>
            <w:rPr/>
          </w:pPr>
          <w:hyperlink w:anchor="__RefHeading___Toc1407_1089147156">
            <w:r>
              <w:rPr>
                <w:rStyle w:val="IndexLink"/>
              </w:rPr>
              <w:t>9. Audit, traceability and backups</w:t>
              <w:tab/>
              <w:t>16</w:t>
            </w:r>
          </w:hyperlink>
        </w:p>
        <w:p>
          <w:pPr>
            <w:pStyle w:val="TOC1"/>
            <w:tabs>
              <w:tab w:val="clear" w:pos="720"/>
              <w:tab w:val="right" w:pos="9637" w:leader="dot"/>
            </w:tabs>
            <w:rPr/>
          </w:pPr>
          <w:hyperlink w:anchor="__RefHeading___Toc1409_1089147156">
            <w:r>
              <w:rPr>
                <w:rStyle w:val="IndexLink"/>
              </w:rPr>
              <w:t>10. Good practices</w:t>
              <w:tab/>
              <w:t>17</w:t>
            </w:r>
          </w:hyperlink>
        </w:p>
        <w:p>
          <w:pPr>
            <w:pStyle w:val="TOC1"/>
            <w:tabs>
              <w:tab w:val="clear" w:pos="720"/>
              <w:tab w:val="right" w:pos="9637" w:leader="dot"/>
            </w:tabs>
            <w:rPr/>
          </w:pPr>
          <w:hyperlink w:anchor="__RefHeading___Toc1411_1089147156">
            <w:r>
              <w:rPr>
                <w:rStyle w:val="IndexLink"/>
              </w:rPr>
              <w:t>11. Troubleshooting</w:t>
              <w:tab/>
              <w:t>18</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1373_1089147156"/>
      <w:bookmarkEnd w:id="0"/>
      <w:r>
        <w:rPr>
          <w:rFonts w:eastAsia="Montserrat" w:cs="Montserrat"/>
          <w:b/>
          <w:bCs/>
          <w:color w:val="123A5F"/>
          <w:sz w:val="40"/>
          <w:szCs w:val="40"/>
        </w:rPr>
        <w:t>1. About this guide</w:t>
      </w:r>
    </w:p>
    <w:p>
      <w:pPr>
        <w:pStyle w:val="Normal"/>
        <w:spacing w:lineRule="auto" w:line="288" w:before="0" w:after="160"/>
        <w:jc w:val="left"/>
        <w:rPr/>
      </w:pPr>
      <w:r>
        <w:rPr>
          <w:rFonts w:eastAsia="Open Sans" w:cs="Open Sans"/>
          <w:color w:val="2C3E50"/>
          <w:sz w:val="22"/>
          <w:szCs w:val="22"/>
        </w:rPr>
        <w:t>This guide is for the AI Value teams who use CortexSkills on their own installations (scenario a: private cloud or on-premises; scenario b: localhost on Windows): the platform administrator, the consultants who run projects with customers and the sales people who prepare offers. The installation itself and licence signing are described in the editor installation guide.</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Document</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Installation_Guide_Runtime_Editor_Linux_Windows_CortexSkills_EN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Install the editor runtime (Linux, Windows), the signing workstation and licence management (cslic).</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This guide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Use the application in the editor edition.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User_Guide_Customer_CortexSkills_EN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complete run of a project on a real case (private clinic), step by step; it also applies to your installations.</w:t>
            </w:r>
          </w:p>
        </w:tc>
      </w:tr>
    </w:tbl>
    <w:p>
      <w:pPr>
        <w:pStyle w:val="Heading2"/>
        <w:keepNext w:val="true"/>
        <w:spacing w:before="320" w:after="120"/>
        <w:rPr/>
      </w:pPr>
      <w:bookmarkStart w:id="1" w:name="__RefHeading___Toc1375_1089147156"/>
      <w:bookmarkEnd w:id="1"/>
      <w:r>
        <w:rPr>
          <w:rFonts w:eastAsia="Montserrat" w:cs="Montserrat"/>
          <w:b/>
          <w:bCs/>
          <w:color w:val="123A5F"/>
          <w:sz w:val="32"/>
          <w:szCs w:val="32"/>
        </w:rPr>
        <w:t>1.1 Editor edition and customer edition</w:t>
      </w:r>
    </w:p>
    <w:tbl>
      <w:tblPr>
        <w:tblW w:w="9638" w:type="dxa"/>
        <w:jc w:val="left"/>
        <w:tblInd w:w="0" w:type="dxa"/>
        <w:tblLayout w:type="fixed"/>
        <w:tblCellMar>
          <w:top w:w="70" w:type="dxa"/>
          <w:left w:w="110" w:type="dxa"/>
          <w:bottom w:w="70" w:type="dxa"/>
          <w:right w:w="110" w:type="dxa"/>
        </w:tblCellMar>
      </w:tblPr>
      <w:tblGrid>
        <w:gridCol w:w="3596"/>
        <w:gridCol w:w="2998"/>
        <w:gridCol w:w="3044"/>
      </w:tblGrid>
      <w:tr>
        <w:trPr>
          <w:tblHeader w:val="true"/>
          <w:cantSplit w:val="true"/>
        </w:trPr>
        <w:tc>
          <w:tcPr>
            <w:tcW w:w="3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2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Editor edition (this guide)</w:t>
            </w:r>
          </w:p>
        </w:tc>
        <w:tc>
          <w:tcPr>
            <w:tcW w:w="30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Customer edition</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Packs &amp; pricing screen, price calculator</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Yes</w:t>
            </w:r>
          </w:p>
        </w:tc>
        <w:tc>
          <w:tcPr>
            <w:tcW w:w="3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 (page unavailable)</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Prices in the catalog, packaging rules</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Yes</w:t>
            </w:r>
          </w:p>
        </w:tc>
        <w:tc>
          <w:tcPr>
            <w:tcW w:w="3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Removed down to the database</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Licence manager (cslic)</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Yes, on the signing workstation</w:t>
            </w:r>
          </w:p>
        </w:tc>
        <w:tc>
          <w:tcPr>
            <w:tcW w:w="3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Signed licence required</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Yes</w:t>
            </w:r>
          </w:p>
        </w:tc>
        <w:tc>
          <w:tcPr>
            <w:tcW w:w="3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Yes</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Reference data (61 organizations)</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Yes</w:t>
            </w:r>
          </w:p>
        </w:tc>
        <w:tc>
          <w:tcPr>
            <w:tcW w:w="3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Yes</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Processes, tasks, steps, AI, documents</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Identical</w:t>
            </w:r>
          </w:p>
        </w:tc>
        <w:tc>
          <w:tcPr>
            <w:tcW w:w="3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Identical</w:t>
            </w:r>
          </w:p>
        </w:tc>
      </w:tr>
    </w:tbl>
    <w:p>
      <w:pPr>
        <w:pStyle w:val="Heading1"/>
        <w:pBdr>
          <w:bottom w:val="single" w:sz="6" w:space="6" w:color="E1E8F0"/>
        </w:pBdr>
        <w:spacing w:before="0" w:after="240"/>
        <w:rPr/>
      </w:pPr>
      <w:r>
        <w:br w:type="page"/>
      </w:r>
      <w:bookmarkStart w:id="2" w:name="__RefHeading___Toc1377_1089147156"/>
      <w:bookmarkEnd w:id="2"/>
      <w:r>
        <w:rPr>
          <w:rFonts w:eastAsia="Montserrat" w:cs="Montserrat"/>
          <w:b/>
          <w:bCs/>
          <w:color w:val="123A5F"/>
          <w:sz w:val="40"/>
          <w:szCs w:val="40"/>
        </w:rPr>
        <w:t>2. Sign in and find your way</w:t>
      </w:r>
    </w:p>
    <w:p>
      <w:pPr>
        <w:pStyle w:val="Normal"/>
        <w:spacing w:lineRule="auto" w:line="288" w:before="0" w:after="160"/>
        <w:jc w:val="left"/>
        <w:rPr/>
      </w:pPr>
      <w:r>
        <w:rPr>
          <w:rFonts w:eastAsia="Open Sans" w:cs="Open Sans"/>
          <w:color w:val="2C3E50"/>
          <w:sz w:val="22"/>
          <w:szCs w:val="22"/>
        </w:rPr>
        <w:t>Open the address of the installation (https://skills.mydomain.com in scenario a, http://localhost:4000 in scenario b). The sign-in page names no account: no demonstration account exists. At first, only the platform administrator (ADMIN_EMAIL of the .env file) can sign in.</w:t>
      </w:r>
    </w:p>
    <w:p>
      <w:pPr>
        <w:pStyle w:val="Normal"/>
        <w:keepNext w:val="true"/>
        <w:spacing w:before="120" w:after="60"/>
        <w:jc w:val="center"/>
        <w:rPr/>
      </w:pPr>
      <w:r>
        <w:rPr/>
        <w:drawing>
          <wp:inline distT="0" distB="0" distL="0" distR="0">
            <wp:extent cx="4381500" cy="2771775"/>
            <wp:effectExtent l="0" t="0" r="0" b="0"/>
            <wp:docPr id="2" name="e01_signin.png" descr="The sign-in page&#10;The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01_signin.png" descr="The sign-in page&#10;The sign-in page"/>
                    <pic:cNvPicPr>
                      <a:picLocks noChangeAspect="1" noChangeArrowheads="1"/>
                    </pic:cNvPicPr>
                  </pic:nvPicPr>
                  <pic:blipFill>
                    <a:blip r:embed="rId3"/>
                    <a:stretch>
                      <a:fillRect/>
                    </a:stretch>
                  </pic:blipFill>
                  <pic:spPr bwMode="auto">
                    <a:xfrm>
                      <a:off x="0" y="0"/>
                      <a:ext cx="4381500" cy="27717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The sign-in page</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Area</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Use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Top bar</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Global search (Ctrl K), language (EN · FR · AR), alerts, AI assistant, your account (password, sign out).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Context selectors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group or organization, then the project the screens apply to. The platform administrator moves from one organization to another.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Left menu</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Favorites, Home, Portfolio, Process design, Governance, AI &amp; knowledge, Documents, Administration. The filter at the top of the menu finds an entry.</w:t>
            </w:r>
          </w:p>
        </w:tc>
      </w:tr>
    </w:tbl>
    <w:p>
      <w:pPr>
        <w:pStyle w:val="Normal"/>
        <w:keepNext w:val="true"/>
        <w:spacing w:before="120" w:after="60"/>
        <w:jc w:val="center"/>
        <w:rPr/>
      </w:pPr>
      <w:r>
        <w:rPr/>
        <w:drawing>
          <wp:inline distT="0" distB="0" distL="0" distR="0">
            <wp:extent cx="4953000" cy="3133725"/>
            <wp:effectExtent l="0" t="0" r="0" b="0"/>
            <wp:docPr id="3" name="e02_home.png" descr="The dashboard of the organization chosen&#10;The dashboard of the organization cho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02_home.png" descr="The dashboard of the organization chosen&#10;The dashboard of the organization chosen"/>
                    <pic:cNvPicPr>
                      <a:picLocks noChangeAspect="1" noChangeArrowheads="1"/>
                    </pic:cNvPicPr>
                  </pic:nvPicPr>
                  <pic:blipFill>
                    <a:blip r:embed="rId4"/>
                    <a:stretch>
                      <a:fillRect/>
                    </a:stretch>
                  </pic:blipFill>
                  <pic:spPr bwMode="auto">
                    <a:xfrm>
                      <a:off x="0" y="0"/>
                      <a:ext cx="4953000" cy="31337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The dashboard of the organization chosen</w:t>
      </w:r>
      <w:r>
        <w:br w:type="page"/>
      </w:r>
    </w:p>
    <w:p>
      <w:pPr>
        <w:pStyle w:val="Heading1"/>
        <w:pBdr>
          <w:bottom w:val="single" w:sz="6" w:space="6" w:color="E1E8F0"/>
        </w:pBdr>
        <w:spacing w:before="0" w:after="240"/>
        <w:rPr/>
      </w:pPr>
      <w:bookmarkStart w:id="3" w:name="__RefHeading___Toc1379_1089147156"/>
      <w:bookmarkEnd w:id="3"/>
      <w:r>
        <w:rPr>
          <w:rFonts w:eastAsia="Montserrat" w:cs="Montserrat"/>
          <w:b/>
          <w:bCs/>
          <w:color w:val="123A5F"/>
          <w:sz w:val="40"/>
          <w:szCs w:val="40"/>
        </w:rPr>
        <w:t>3. The reference organizations</w:t>
      </w:r>
    </w:p>
    <w:p>
      <w:pPr>
        <w:pStyle w:val="Normal"/>
        <w:spacing w:lineRule="auto" w:line="288" w:before="0" w:after="160"/>
        <w:jc w:val="left"/>
        <w:rPr/>
      </w:pPr>
      <w:r>
        <w:rPr>
          <w:rFonts w:eastAsia="Open Sans" w:cs="Open Sans"/>
          <w:color w:val="2C3E50"/>
          <w:sz w:val="22"/>
          <w:szCs w:val="22"/>
        </w:rPr>
        <w:t>The installation holds 61 reference organizations: a large company and an SME for each sector, plus multi-sector groups. Each has two complete projects (Digital and AI), with all their processes, tasks, steps, questionnaires, plans, documents and indicators, in English, French and Arabic. They are a showcase and a model: demonstrations, training of your consultants, sample deliverables.</w:t>
      </w:r>
    </w:p>
    <w:p>
      <w:pPr>
        <w:pStyle w:val="ListParagraph"/>
        <w:numPr>
          <w:ilvl w:val="0"/>
          <w:numId w:val="0"/>
        </w:numPr>
        <w:spacing w:lineRule="auto" w:line="288" w:before="0" w:after="80"/>
        <w:ind w:hanging="0" w:left="0"/>
        <w:rPr/>
      </w:pPr>
      <w:r>
        <w:rPr>
          <w:rFonts w:eastAsia="Open Sans" w:cs="Open Sans"/>
          <w:color w:val="2C3E50"/>
          <w:sz w:val="22"/>
          <w:szCs w:val="22"/>
        </w:rPr>
        <w:t>Portfolio › Groups and organizations: the tree of the groups, their organizations and their projects (Tree or Table view).</w:t>
      </w:r>
    </w:p>
    <w:p>
      <w:pPr>
        <w:pStyle w:val="ListParagraph"/>
        <w:numPr>
          <w:ilvl w:val="0"/>
          <w:numId w:val="0"/>
        </w:numPr>
        <w:spacing w:lineRule="auto" w:line="288" w:before="0" w:after="80"/>
        <w:ind w:hanging="0" w:left="0"/>
        <w:rPr/>
      </w:pPr>
      <w:r>
        <w:rPr>
          <w:rFonts w:eastAsia="Open Sans" w:cs="Open Sans"/>
          <w:color w:val="2C3E50"/>
          <w:sz w:val="22"/>
          <w:szCs w:val="22"/>
        </w:rPr>
        <w:t>Click “Open” next to an organization, then a project: the project opens on its progress by phase.</w:t>
      </w:r>
    </w:p>
    <w:p>
      <w:pPr>
        <w:pStyle w:val="ListParagraph"/>
        <w:numPr>
          <w:ilvl w:val="0"/>
          <w:numId w:val="0"/>
        </w:numPr>
        <w:spacing w:lineRule="auto" w:line="288" w:before="0" w:after="80"/>
        <w:ind w:hanging="0" w:left="0"/>
        <w:rPr/>
      </w:pPr>
      <w:r>
        <w:rPr>
          <w:rFonts w:eastAsia="Open Sans" w:cs="Open Sans"/>
          <w:color w:val="2C3E50"/>
          <w:sz w:val="22"/>
          <w:szCs w:val="22"/>
        </w:rPr>
        <w:t>In a project, open a process then a task: its steps, their entries, “Your result” and the Documents tab show what a completed project contains.</w:t>
      </w:r>
    </w:p>
    <w:p>
      <w:pPr>
        <w:pStyle w:val="Normal"/>
        <w:keepNext w:val="true"/>
        <w:spacing w:before="120" w:after="60"/>
        <w:jc w:val="center"/>
        <w:rPr/>
      </w:pPr>
      <w:r>
        <w:rPr/>
        <w:drawing>
          <wp:inline distT="0" distB="0" distL="0" distR="0">
            <wp:extent cx="4953000" cy="3133725"/>
            <wp:effectExtent l="0" t="0" r="0" b="0"/>
            <wp:docPr id="4" name="e03_reference_orgs.png" descr="Portfolio › Groups and organizations&#10;Portfolio › Groups and organ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03_reference_orgs.png" descr="Portfolio › Groups and organizations&#10;Portfolio › Groups and organizations"/>
                    <pic:cNvPicPr>
                      <a:picLocks noChangeAspect="1" noChangeArrowheads="1"/>
                    </pic:cNvPicPr>
                  </pic:nvPicPr>
                  <pic:blipFill>
                    <a:blip r:embed="rId5"/>
                    <a:stretch>
                      <a:fillRect/>
                    </a:stretch>
                  </pic:blipFill>
                  <pic:spPr bwMode="auto">
                    <a:xfrm>
                      <a:off x="0" y="0"/>
                      <a:ext cx="4953000" cy="31337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Portfolio › Groups and organizations</w:t>
      </w:r>
    </w:p>
    <w:p>
      <w:pPr>
        <w:pStyle w:val="Normal"/>
        <w:keepNext w:val="true"/>
        <w:spacing w:before="120" w:after="60"/>
        <w:jc w:val="center"/>
        <w:rPr/>
      </w:pPr>
      <w:r>
        <w:rPr/>
        <w:drawing>
          <wp:inline distT="0" distB="0" distL="0" distR="0">
            <wp:extent cx="4953000" cy="3133725"/>
            <wp:effectExtent l="0" t="0" r="0" b="0"/>
            <wp:docPr id="5" name="e04_reference_project.png" descr="A completed reference project&#10;A completed referenc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04_reference_project.png" descr="A completed reference project&#10;A completed reference project"/>
                    <pic:cNvPicPr>
                      <a:picLocks noChangeAspect="1" noChangeArrowheads="1"/>
                    </pic:cNvPicPr>
                  </pic:nvPicPr>
                  <pic:blipFill>
                    <a:blip r:embed="rId6"/>
                    <a:stretch>
                      <a:fillRect/>
                    </a:stretch>
                  </pic:blipFill>
                  <pic:spPr bwMode="auto">
                    <a:xfrm>
                      <a:off x="0" y="0"/>
                      <a:ext cx="4953000" cy="31337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 completed reference project</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Keep in mind</w:t>
            </w:r>
          </w:p>
          <w:p>
            <w:pPr>
              <w:pStyle w:val="Normal"/>
              <w:spacing w:lineRule="auto" w:line="288" w:before="0" w:after="60"/>
              <w:jc w:val="left"/>
              <w:rPr/>
            </w:pPr>
            <w:r>
              <w:rPr>
                <w:rFonts w:eastAsia="Open Sans" w:cs="Open Sans"/>
                <w:color w:val="2C3E50"/>
                <w:sz w:val="21"/>
                <w:szCs w:val="21"/>
              </w:rPr>
              <w:t>The people of the reference organizations cannot sign in: their accounts are disabled.</w:t>
            </w:r>
          </w:p>
          <w:p>
            <w:pPr>
              <w:pStyle w:val="Normal"/>
              <w:spacing w:lineRule="auto" w:line="288" w:before="0" w:after="60"/>
              <w:jc w:val="left"/>
              <w:rPr/>
            </w:pPr>
            <w:r>
              <w:rPr>
                <w:rFonts w:eastAsia="Open Sans" w:cs="Open Sans"/>
                <w:color w:val="2C3E50"/>
                <w:sz w:val="21"/>
                <w:szCs w:val="21"/>
              </w:rPr>
              <w:t>The reference organizations have no licence and count in no licence.</w:t>
            </w:r>
          </w:p>
          <w:p>
            <w:pPr>
              <w:pStyle w:val="Normal"/>
              <w:spacing w:lineRule="auto" w:line="288" w:before="0" w:after="60"/>
              <w:jc w:val="left"/>
              <w:rPr/>
            </w:pPr>
            <w:r>
              <w:rPr>
                <w:rFonts w:eastAsia="Open Sans" w:cs="Open Sans"/>
                <w:color w:val="2C3E50"/>
                <w:sz w:val="21"/>
                <w:szCs w:val="21"/>
              </w:rPr>
              <w:t>Do not run a real customer project in a reference organization: create the customer’s organization (chapter 4).</w:t>
            </w:r>
          </w:p>
        </w:tc>
      </w:tr>
    </w:tbl>
    <w:p>
      <w:pPr>
        <w:pStyle w:val="Heading1"/>
        <w:pBdr>
          <w:bottom w:val="single" w:sz="6" w:space="6" w:color="E1E8F0"/>
        </w:pBdr>
        <w:spacing w:before="0" w:after="240"/>
        <w:rPr/>
      </w:pPr>
      <w:r>
        <w:br w:type="page"/>
      </w:r>
      <w:bookmarkStart w:id="4" w:name="__RefHeading___Toc1381_1089147156"/>
      <w:bookmarkEnd w:id="4"/>
      <w:r>
        <w:rPr>
          <w:rFonts w:eastAsia="Montserrat" w:cs="Montserrat"/>
          <w:b/>
          <w:bCs/>
          <w:color w:val="123A5F"/>
          <w:sz w:val="40"/>
          <w:szCs w:val="40"/>
        </w:rPr>
        <w:t>4. Customer organizations and users</w:t>
      </w:r>
    </w:p>
    <w:p>
      <w:pPr>
        <w:pStyle w:val="Heading2"/>
        <w:keepNext w:val="true"/>
        <w:spacing w:before="320" w:after="120"/>
        <w:rPr/>
      </w:pPr>
      <w:bookmarkStart w:id="5" w:name="__RefHeading___Toc1383_1089147156"/>
      <w:bookmarkEnd w:id="5"/>
      <w:r>
        <w:rPr>
          <w:rFonts w:eastAsia="Montserrat" w:cs="Montserrat"/>
          <w:b/>
          <w:bCs/>
          <w:color w:val="123A5F"/>
          <w:sz w:val="32"/>
          <w:szCs w:val="32"/>
        </w:rPr>
        <w:t>4.1 Create a customer’s organization</w:t>
      </w:r>
    </w:p>
    <w:p>
      <w:pPr>
        <w:pStyle w:val="Normal"/>
        <w:spacing w:lineRule="auto" w:line="288" w:before="0" w:after="160"/>
        <w:jc w:val="left"/>
        <w:rPr/>
      </w:pPr>
      <w:r>
        <w:rPr>
          <w:rFonts w:eastAsia="Open Sans" w:cs="Open Sans"/>
          <w:color w:val="2C3E50"/>
          <w:sz w:val="22"/>
          <w:szCs w:val="22"/>
        </w:rPr>
        <w:t>On your installations, a customer’s organization is created with the installation console, then receives its licence (chapter 6). The command also creates the organization’s first administrator: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admin org-create --name "Example Clinic" --domain example-clinic.com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admin@example-clinic.com --admin-name "Clinic Admin" --admin-password 'Str0ng#Passw0rd2026'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--lang en --sector HCPR --segment SME --employees 95 --city Marrakech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admin licence-request --org example-clinic.com</w:t>
      </w:r>
    </w:p>
    <w:p>
      <w:pPr>
        <w:pStyle w:val="Normal"/>
        <w:spacing w:lineRule="auto" w:line="288" w:before="0" w:after="160"/>
        <w:jc w:val="left"/>
        <w:rPr/>
      </w:pPr>
      <w:r>
        <w:rPr>
          <w:rFonts w:eastAsia="Open Sans" w:cs="Open Sans"/>
          <w:color w:val="5A6B7B"/>
          <w:sz w:val="20"/>
          <w:szCs w:val="20"/>
        </w:rPr>
        <w:t>On a Linux server, prefix with sudo -u cortexskills ./; on Windows, use .\cortexskills.cmd. The sector code (--sector) links the organization to its vertical: the sector’s project templates, competencies, AI themes and questionnaires.</w:t>
      </w:r>
    </w:p>
    <w:p>
      <w:pPr>
        <w:pStyle w:val="Heading2"/>
        <w:keepNext w:val="true"/>
        <w:spacing w:before="320" w:after="120"/>
        <w:rPr/>
      </w:pPr>
      <w:bookmarkStart w:id="6" w:name="__RefHeading___Toc1385_1089147156"/>
      <w:bookmarkEnd w:id="6"/>
      <w:r>
        <w:rPr>
          <w:rFonts w:eastAsia="Montserrat" w:cs="Montserrat"/>
          <w:b/>
          <w:bCs/>
          <w:color w:val="123A5F"/>
          <w:sz w:val="32"/>
          <w:szCs w:val="32"/>
        </w:rPr>
        <w:t>4.2 Users and roles</w:t>
      </w:r>
    </w:p>
    <w:p>
      <w:pPr>
        <w:pStyle w:val="Normal"/>
        <w:spacing w:lineRule="auto" w:line="288" w:before="0" w:after="160"/>
        <w:jc w:val="left"/>
        <w:rPr/>
      </w:pPr>
      <w:r>
        <w:rPr>
          <w:rFonts w:eastAsia="Open Sans" w:cs="Open Sans"/>
          <w:color w:val="2C3E50"/>
          <w:sz w:val="22"/>
          <w:szCs w:val="22"/>
        </w:rPr>
        <w:t>Administration › Users: the organization administrator creates the accounts of their teams, gives them one or more roles (head of L&amp;D, analyst, HR director, manager…) and disables them when they leave. The number of active users is limited by the licence; a user beyond it is refused with a message naming the limit.</w:t>
      </w:r>
    </w:p>
    <w:p>
      <w:pPr>
        <w:pStyle w:val="Normal"/>
        <w:keepNext w:val="true"/>
        <w:spacing w:before="120" w:after="60"/>
        <w:jc w:val="center"/>
        <w:rPr/>
      </w:pPr>
      <w:r>
        <w:rPr/>
        <w:drawing>
          <wp:inline distT="0" distB="0" distL="0" distR="0">
            <wp:extent cx="4762500" cy="3009900"/>
            <wp:effectExtent l="0" t="0" r="0" b="0"/>
            <wp:docPr id="6" name="e06_users.png" descr="Administration › Users&#10;Administration ›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06_users.png" descr="Administration › Users&#10;Administration › Users"/>
                    <pic:cNvPicPr>
                      <a:picLocks noChangeAspect="1" noChangeArrowheads="1"/>
                    </pic:cNvPicPr>
                  </pic:nvPicPr>
                  <pic:blipFill>
                    <a:blip r:embed="rId7"/>
                    <a:stretch>
                      <a:fillRect/>
                    </a:stretch>
                  </pic:blipFill>
                  <pic:spPr bwMode="auto">
                    <a:xfrm>
                      <a:off x="0" y="0"/>
                      <a:ext cx="4762500" cy="30099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Users</w:t>
      </w:r>
    </w:p>
    <w:p>
      <w:pPr>
        <w:pStyle w:val="Normal"/>
        <w:spacing w:lineRule="auto" w:line="288" w:before="0" w:after="160"/>
        <w:jc w:val="left"/>
        <w:rPr/>
      </w:pPr>
      <w:r>
        <w:rPr>
          <w:rFonts w:eastAsia="Open Sans" w:cs="Open Sans"/>
          <w:color w:val="2C3E50"/>
          <w:sz w:val="20"/>
          <w:szCs w:val="20"/>
        </w:rPr>
        <w:t>A forgotten password is reset from this screen, or with the console: cortexskills admin password --email … --password …. Administration › Permissions shows what each role can see and do.</w:t>
      </w:r>
      <w:r>
        <w:br w:type="page"/>
      </w:r>
    </w:p>
    <w:p>
      <w:pPr>
        <w:pStyle w:val="Heading1"/>
        <w:pBdr>
          <w:bottom w:val="single" w:sz="6" w:space="6" w:color="E1E8F0"/>
        </w:pBdr>
        <w:spacing w:before="0" w:after="240"/>
        <w:rPr/>
      </w:pPr>
      <w:bookmarkStart w:id="7" w:name="__RefHeading___Toc1387_1089147156"/>
      <w:bookmarkEnd w:id="7"/>
      <w:r>
        <w:rPr>
          <w:rFonts w:eastAsia="Montserrat" w:cs="Montserrat"/>
          <w:b/>
          <w:bCs/>
          <w:color w:val="123A5F"/>
          <w:sz w:val="40"/>
          <w:szCs w:val="40"/>
        </w:rPr>
        <w:t>5. Offers, prices and quotations</w:t>
      </w:r>
    </w:p>
    <w:p>
      <w:pPr>
        <w:pStyle w:val="Normal"/>
        <w:spacing w:lineRule="auto" w:line="288" w:before="0" w:after="160"/>
        <w:jc w:val="left"/>
        <w:rPr/>
      </w:pPr>
      <w:r>
        <w:rPr>
          <w:rFonts w:eastAsia="Open Sans" w:cs="Open Sans"/>
          <w:color w:val="2C3E50"/>
          <w:sz w:val="22"/>
          <w:szCs w:val="22"/>
        </w:rPr>
        <w:t>Administration › Packs &amp; pricing exists only in the editor edition. It shows the packs, bundles, SME packs and add-ons with their prices, and a calculator: choose an offer and a number of users, the screen gives the monthly amount (base price + users beyond those included × overage price).</w:t>
      </w:r>
    </w:p>
    <w:p>
      <w:pPr>
        <w:pStyle w:val="Normal"/>
        <w:keepNext w:val="true"/>
        <w:spacing w:before="120" w:after="60"/>
        <w:jc w:val="center"/>
        <w:rPr/>
      </w:pPr>
      <w:r>
        <w:rPr/>
        <w:drawing>
          <wp:inline distT="0" distB="0" distL="0" distR="0">
            <wp:extent cx="4953000" cy="3133725"/>
            <wp:effectExtent l="0" t="0" r="0" b="0"/>
            <wp:docPr id="7" name="e05_pricing.png" descr="Administration › Packs &amp; pricing: the calculator&#10;Administration › Packs &amp; pricing: the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05_pricing.png" descr="Administration › Packs &amp; pricing: the calculator&#10;Administration › Packs &amp; pricing: the calculator"/>
                    <pic:cNvPicPr>
                      <a:picLocks noChangeAspect="1" noChangeArrowheads="1"/>
                    </pic:cNvPicPr>
                  </pic:nvPicPr>
                  <pic:blipFill>
                    <a:blip r:embed="rId8"/>
                    <a:stretch>
                      <a:fillRect/>
                    </a:stretch>
                  </pic:blipFill>
                  <pic:spPr bwMode="auto">
                    <a:xfrm>
                      <a:off x="0" y="0"/>
                      <a:ext cx="4953000" cy="31337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Packs &amp; pricing: the calculator</w:t>
      </w:r>
    </w:p>
    <w:p>
      <w:pPr>
        <w:pStyle w:val="Heading2"/>
        <w:keepNext w:val="true"/>
        <w:spacing w:before="320" w:after="120"/>
        <w:rPr/>
      </w:pPr>
      <w:bookmarkStart w:id="8" w:name="__RefHeading___Toc1389_1089147156"/>
      <w:bookmarkEnd w:id="8"/>
      <w:r>
        <w:rPr>
          <w:rFonts w:eastAsia="Montserrat" w:cs="Montserrat"/>
          <w:b/>
          <w:bCs/>
          <w:color w:val="123A5F"/>
          <w:sz w:val="32"/>
          <w:szCs w:val="32"/>
        </w:rPr>
        <w:t>5.1 Packs</w:t>
      </w:r>
    </w:p>
    <w:tbl>
      <w:tblPr>
        <w:tblW w:w="9638" w:type="dxa"/>
        <w:jc w:val="left"/>
        <w:tblInd w:w="0" w:type="dxa"/>
        <w:tblLayout w:type="fixed"/>
        <w:tblCellMar>
          <w:top w:w="70" w:type="dxa"/>
          <w:left w:w="110" w:type="dxa"/>
          <w:bottom w:w="70" w:type="dxa"/>
          <w:right w:w="110" w:type="dxa"/>
        </w:tblCellMar>
      </w:tblPr>
      <w:tblGrid>
        <w:gridCol w:w="1098"/>
        <w:gridCol w:w="4297"/>
        <w:gridCol w:w="1498"/>
        <w:gridCol w:w="1397"/>
        <w:gridCol w:w="1348"/>
      </w:tblGrid>
      <w:tr>
        <w:trPr>
          <w:tblHeader w:val="true"/>
          <w:cantSplit w:val="true"/>
        </w:trPr>
        <w:tc>
          <w:tcPr>
            <w:tcW w:w="10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Pack</w:t>
            </w:r>
          </w:p>
        </w:tc>
        <w:tc>
          <w:tcPr>
            <w:tcW w:w="42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Name</w:t>
            </w:r>
          </w:p>
        </w:tc>
        <w:tc>
          <w:tcPr>
            <w:tcW w:w="14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Price / month</w:t>
            </w:r>
          </w:p>
        </w:tc>
        <w:tc>
          <w:tcPr>
            <w:tcW w:w="1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Users included</w:t>
            </w:r>
          </w:p>
        </w:tc>
        <w:tc>
          <w:tcPr>
            <w:tcW w:w="13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Overage / user</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c>
          <w:tcPr>
            <w:tcW w:w="4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Core Training Engineering Pack</w:t>
            </w:r>
          </w:p>
        </w:tc>
        <w:tc>
          <w:tcPr>
            <w:tcW w:w="1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$99</w:t>
            </w:r>
          </w:p>
        </w:tc>
        <w:tc>
          <w:tcPr>
            <w:tcW w:w="1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100</w:t>
            </w:r>
          </w:p>
        </w:tc>
        <w:tc>
          <w:tcPr>
            <w:tcW w:w="13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$0.75</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c>
          <w:tcPr>
            <w:tcW w:w="4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Learning Delivery &amp; Experience Pack</w:t>
            </w:r>
          </w:p>
        </w:tc>
        <w:tc>
          <w:tcPr>
            <w:tcW w:w="1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$149</w:t>
            </w:r>
          </w:p>
        </w:tc>
        <w:tc>
          <w:tcPr>
            <w:tcW w:w="1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250</w:t>
            </w:r>
          </w:p>
        </w:tc>
        <w:tc>
          <w:tcPr>
            <w:tcW w:w="13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$0.6</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c>
          <w:tcPr>
            <w:tcW w:w="4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Assessment, Analytics &amp; ROI Pack</w:t>
            </w:r>
          </w:p>
        </w:tc>
        <w:tc>
          <w:tcPr>
            <w:tcW w:w="1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$129</w:t>
            </w:r>
          </w:p>
        </w:tc>
        <w:tc>
          <w:tcPr>
            <w:tcW w:w="1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500</w:t>
            </w:r>
          </w:p>
        </w:tc>
        <w:tc>
          <w:tcPr>
            <w:tcW w:w="13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$0.5</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c>
          <w:tcPr>
            <w:tcW w:w="4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Compliance &amp; Certification Pack</w:t>
            </w:r>
          </w:p>
        </w:tc>
        <w:tc>
          <w:tcPr>
            <w:tcW w:w="1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$99</w:t>
            </w:r>
          </w:p>
        </w:tc>
        <w:tc>
          <w:tcPr>
            <w:tcW w:w="1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300</w:t>
            </w:r>
          </w:p>
        </w:tc>
        <w:tc>
          <w:tcPr>
            <w:tcW w:w="13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$0.55</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c>
          <w:tcPr>
            <w:tcW w:w="4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Talent &amp; Mobility Pack</w:t>
            </w:r>
          </w:p>
        </w:tc>
        <w:tc>
          <w:tcPr>
            <w:tcW w:w="1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$119</w:t>
            </w:r>
          </w:p>
        </w:tc>
        <w:tc>
          <w:tcPr>
            <w:tcW w:w="1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w:t>
            </w:r>
          </w:p>
        </w:tc>
        <w:tc>
          <w:tcPr>
            <w:tcW w:w="13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$0.65</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c>
          <w:tcPr>
            <w:tcW w:w="4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Extended Enterprise Pack</w:t>
            </w:r>
          </w:p>
        </w:tc>
        <w:tc>
          <w:tcPr>
            <w:tcW w:w="1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$109</w:t>
            </w:r>
          </w:p>
        </w:tc>
        <w:tc>
          <w:tcPr>
            <w:tcW w:w="1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200</w:t>
            </w:r>
          </w:p>
        </w:tc>
        <w:tc>
          <w:tcPr>
            <w:tcW w:w="13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$0.8</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c>
          <w:tcPr>
            <w:tcW w:w="4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Consulting &amp; Diagnostic Pack</w:t>
            </w:r>
          </w:p>
        </w:tc>
        <w:tc>
          <w:tcPr>
            <w:tcW w:w="1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$249</w:t>
            </w:r>
          </w:p>
        </w:tc>
        <w:tc>
          <w:tcPr>
            <w:tcW w:w="1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50</w:t>
            </w:r>
          </w:p>
        </w:tc>
        <w:tc>
          <w:tcPr>
            <w:tcW w:w="13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c>
          <w:tcPr>
            <w:tcW w:w="4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Strategic Workforce &amp; Governance Pack</w:t>
            </w:r>
          </w:p>
        </w:tc>
        <w:tc>
          <w:tcPr>
            <w:tcW w:w="1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$199</w:t>
            </w:r>
          </w:p>
        </w:tc>
        <w:tc>
          <w:tcPr>
            <w:tcW w:w="1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500</w:t>
            </w:r>
          </w:p>
        </w:tc>
        <w:tc>
          <w:tcPr>
            <w:tcW w:w="13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$0.45</w:t>
            </w:r>
          </w:p>
        </w:tc>
      </w:tr>
    </w:tbl>
    <w:p>
      <w:pPr>
        <w:pStyle w:val="Heading2"/>
        <w:keepNext w:val="true"/>
        <w:spacing w:before="320" w:after="120"/>
        <w:rPr/>
      </w:pPr>
      <w:bookmarkStart w:id="9" w:name="__RefHeading___Toc1391_1089147156"/>
      <w:bookmarkEnd w:id="9"/>
      <w:r>
        <w:rPr>
          <w:rFonts w:eastAsia="Montserrat" w:cs="Montserrat"/>
          <w:b/>
          <w:bCs/>
          <w:color w:val="123A5F"/>
          <w:sz w:val="32"/>
          <w:szCs w:val="32"/>
        </w:rPr>
        <w:t>5.2 Bundles and SME packs</w:t>
      </w:r>
    </w:p>
    <w:tbl>
      <w:tblPr>
        <w:tblW w:w="9638" w:type="dxa"/>
        <w:jc w:val="left"/>
        <w:tblInd w:w="0" w:type="dxa"/>
        <w:tblLayout w:type="fixed"/>
        <w:tblCellMar>
          <w:top w:w="70" w:type="dxa"/>
          <w:left w:w="110" w:type="dxa"/>
          <w:bottom w:w="70" w:type="dxa"/>
          <w:right w:w="110" w:type="dxa"/>
        </w:tblCellMar>
      </w:tblPr>
      <w:tblGrid>
        <w:gridCol w:w="2597"/>
        <w:gridCol w:w="3896"/>
        <w:gridCol w:w="1298"/>
        <w:gridCol w:w="1846"/>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Offer</w:t>
            </w:r>
          </w:p>
        </w:tc>
        <w:tc>
          <w:tcPr>
            <w:tcW w:w="38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Content</w:t>
            </w:r>
          </w:p>
        </w:tc>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Discount</w:t>
            </w:r>
          </w:p>
        </w:tc>
        <w:tc>
          <w:tcPr>
            <w:tcW w:w="18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Price / month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Starter Bundle</w:t>
            </w:r>
          </w:p>
        </w:tc>
        <w:tc>
          <w:tcPr>
            <w:tcW w:w="3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 PK-02</w:t>
            </w:r>
          </w:p>
        </w:tc>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10%</w:t>
            </w:r>
          </w:p>
        </w:tc>
        <w:tc>
          <w:tcPr>
            <w:tcW w:w="1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$223.2</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Growth Bundle</w:t>
            </w:r>
          </w:p>
        </w:tc>
        <w:tc>
          <w:tcPr>
            <w:tcW w:w="3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 PK-02 + PK-03</w:t>
            </w:r>
          </w:p>
        </w:tc>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w:t>
            </w:r>
          </w:p>
        </w:tc>
        <w:tc>
          <w:tcPr>
            <w:tcW w:w="1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$320.45</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Enterprise Bundle</w:t>
            </w:r>
          </w:p>
        </w:tc>
        <w:tc>
          <w:tcPr>
            <w:tcW w:w="3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to PK-05</w:t>
            </w:r>
          </w:p>
        </w:tc>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w:t>
            </w:r>
          </w:p>
        </w:tc>
        <w:tc>
          <w:tcPr>
            <w:tcW w:w="1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$476</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Strategic Bundle</w:t>
            </w:r>
          </w:p>
        </w:tc>
        <w:tc>
          <w:tcPr>
            <w:tcW w:w="3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to PK-06 + PK-08</w:t>
            </w:r>
          </w:p>
        </w:tc>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25%</w:t>
            </w:r>
          </w:p>
        </w:tc>
        <w:tc>
          <w:tcPr>
            <w:tcW w:w="1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$677.25</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Full Suite</w:t>
            </w:r>
          </w:p>
        </w:tc>
        <w:tc>
          <w:tcPr>
            <w:tcW w:w="3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to PK-08</w:t>
            </w:r>
          </w:p>
        </w:tc>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w:t>
            </w:r>
          </w:p>
        </w:tc>
        <w:tc>
          <w:tcPr>
            <w:tcW w:w="1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$806.4</w:t>
            </w:r>
          </w:p>
        </w:tc>
      </w:tr>
    </w:tbl>
    <w:p>
      <w:pPr>
        <w:pStyle w:val="Normal"/>
        <w:spacing w:before="0" w:after="120"/>
        <w:rPr/>
      </w:pPr>
      <w:r>
        <w:rPr/>
      </w:r>
    </w:p>
    <w:tbl>
      <w:tblPr>
        <w:tblW w:w="9638" w:type="dxa"/>
        <w:jc w:val="left"/>
        <w:tblInd w:w="0" w:type="dxa"/>
        <w:tblLayout w:type="fixed"/>
        <w:tblCellMar>
          <w:top w:w="70" w:type="dxa"/>
          <w:left w:w="110" w:type="dxa"/>
          <w:bottom w:w="70" w:type="dxa"/>
          <w:right w:w="110" w:type="dxa"/>
        </w:tblCellMar>
      </w:tblPr>
      <w:tblGrid>
        <w:gridCol w:w="3995"/>
        <w:gridCol w:w="1799"/>
        <w:gridCol w:w="1898"/>
        <w:gridCol w:w="1945"/>
      </w:tblGrid>
      <w:tr>
        <w:trPr>
          <w:tblHeader w:val="true"/>
          <w:cantSplit w:val="true"/>
        </w:trPr>
        <w:tc>
          <w:tcPr>
            <w:tcW w:w="3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SME pack</w:t>
            </w:r>
          </w:p>
        </w:tc>
        <w:tc>
          <w:tcPr>
            <w:tcW w:w="17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Price / month</w:t>
            </w:r>
          </w:p>
        </w:tc>
        <w:tc>
          <w:tcPr>
            <w:tcW w:w="18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Users included</w:t>
            </w:r>
          </w:p>
        </w:tc>
        <w:tc>
          <w:tcPr>
            <w:tcW w:w="1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Overage / user</w:t>
            </w:r>
          </w:p>
        </w:tc>
      </w:tr>
      <w:tr>
        <w:trPr>
          <w:cantSplit w:val="true"/>
        </w:trPr>
        <w:tc>
          <w:tcPr>
            <w:tcW w:w="3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SME-ESS — SME Essentials Pack</w:t>
            </w:r>
          </w:p>
        </w:tc>
        <w:tc>
          <w:tcPr>
            <w:tcW w:w="1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$49</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25</w:t>
            </w:r>
          </w:p>
        </w:tc>
        <w:tc>
          <w:tcPr>
            <w:tcW w:w="1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$1.2</w:t>
            </w:r>
          </w:p>
        </w:tc>
      </w:tr>
      <w:tr>
        <w:trPr>
          <w:cantSplit w:val="true"/>
        </w:trPr>
        <w:tc>
          <w:tcPr>
            <w:tcW w:w="3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SME-GRO — SME Growth Pack</w:t>
            </w:r>
          </w:p>
        </w:tc>
        <w:tc>
          <w:tcPr>
            <w:tcW w:w="17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$129</w:t>
            </w:r>
          </w:p>
        </w:tc>
        <w:tc>
          <w:tcPr>
            <w:tcW w:w="1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50</w:t>
            </w:r>
          </w:p>
        </w:tc>
        <w:tc>
          <w:tcPr>
            <w:tcW w:w="1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r>
      <w:tr>
        <w:trPr>
          <w:cantSplit w:val="true"/>
        </w:trPr>
        <w:tc>
          <w:tcPr>
            <w:tcW w:w="3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SME-CMP — SME Complete Pack</w:t>
            </w:r>
          </w:p>
        </w:tc>
        <w:tc>
          <w:tcPr>
            <w:tcW w:w="1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$249</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100</w:t>
            </w:r>
          </w:p>
        </w:tc>
        <w:tc>
          <w:tcPr>
            <w:tcW w:w="1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$0.9</w:t>
            </w:r>
          </w:p>
        </w:tc>
      </w:tr>
    </w:tbl>
    <w:p>
      <w:pPr>
        <w:pStyle w:val="Normal"/>
        <w:spacing w:lineRule="auto" w:line="288" w:before="0" w:after="160"/>
        <w:jc w:val="left"/>
        <w:rPr/>
      </w:pPr>
      <w:r>
        <w:rPr>
          <w:rFonts w:eastAsia="Open Sans" w:cs="Open Sans"/>
          <w:color w:val="2C3E50"/>
          <w:sz w:val="20"/>
          <w:szCs w:val="20"/>
        </w:rPr>
        <w:t>Each bundle includes 500 users. Add-ons: from $40 to $69 per month (full list on the screen and in chapter 8 of the editor installation guide). A minimum of 5 users applies to SME packs.</w:t>
      </w:r>
    </w:p>
    <w:p>
      <w:pPr>
        <w:pStyle w:val="Normal"/>
        <w:keepNext w:val="true"/>
        <w:spacing w:before="120" w:after="60"/>
        <w:jc w:val="center"/>
        <w:rPr/>
      </w:pPr>
      <w:r>
        <w:rPr/>
        <w:drawing>
          <wp:inline distT="0" distB="0" distL="0" distR="0">
            <wp:extent cx="4572000" cy="2895600"/>
            <wp:effectExtent l="0" t="0" r="0" b="0"/>
            <wp:docPr id="8" name="e05b_pricing_more.png" descr="The bundles and the offer records, further down the same page&#10;The bundles and the offer records, further down the sa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05b_pricing_more.png" descr="The bundles and the offer records, further down the same page&#10;The bundles and the offer records, further down the same page"/>
                    <pic:cNvPicPr>
                      <a:picLocks noChangeAspect="1" noChangeArrowheads="1"/>
                    </pic:cNvPicPr>
                  </pic:nvPicPr>
                  <pic:blipFill>
                    <a:blip r:embed="rId9"/>
                    <a:stretch>
                      <a:fillRect/>
                    </a:stretch>
                  </pic:blipFill>
                  <pic:spPr bwMode="auto">
                    <a:xfrm>
                      <a:off x="0" y="0"/>
                      <a:ext cx="4572000" cy="2895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The bundles and the offer records, further down the same page</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What customers see</w:t>
            </w:r>
          </w:p>
          <w:p>
            <w:pPr>
              <w:pStyle w:val="Normal"/>
              <w:spacing w:lineRule="auto" w:line="288" w:before="0" w:after="60"/>
              <w:jc w:val="left"/>
              <w:rPr/>
            </w:pPr>
            <w:r>
              <w:rPr>
                <w:rFonts w:eastAsia="Open Sans" w:cs="Open Sans"/>
                <w:color w:val="2C3E50"/>
                <w:sz w:val="21"/>
                <w:szCs w:val="21"/>
              </w:rPr>
              <w:t>No price, no quotation and no commercial rule appear in the customer edition: the Packs &amp; pricing page is unavailable there.</w:t>
            </w:r>
          </w:p>
          <w:p>
            <w:pPr>
              <w:pStyle w:val="Normal"/>
              <w:spacing w:lineRule="auto" w:line="288" w:before="0" w:after="60"/>
              <w:jc w:val="left"/>
              <w:rPr/>
            </w:pPr>
            <w:r>
              <w:rPr>
                <w:rFonts w:eastAsia="Open Sans" w:cs="Open Sans"/>
                <w:color w:val="2C3E50"/>
                <w:sz w:val="21"/>
                <w:szCs w:val="21"/>
              </w:rPr>
              <w:t>The customer sees their plan, users, add-ons and end date in Administration › Configuration and licence.</w:t>
            </w:r>
          </w:p>
        </w:tc>
      </w:tr>
    </w:tbl>
    <w:p>
      <w:pPr>
        <w:pStyle w:val="Heading1"/>
        <w:pBdr>
          <w:bottom w:val="single" w:sz="6" w:space="6" w:color="E1E8F0"/>
        </w:pBdr>
        <w:spacing w:before="0" w:after="240"/>
        <w:rPr/>
      </w:pPr>
      <w:r>
        <w:br w:type="page"/>
      </w:r>
      <w:bookmarkStart w:id="10" w:name="__RefHeading___Toc1393_1089147156"/>
      <w:bookmarkEnd w:id="10"/>
      <w:r>
        <w:rPr>
          <w:rFonts w:eastAsia="Montserrat" w:cs="Montserrat"/>
          <w:b/>
          <w:bCs/>
          <w:color w:val="123A5F"/>
          <w:sz w:val="40"/>
          <w:szCs w:val="40"/>
        </w:rPr>
        <w:t>6. Licences in the application</w:t>
      </w:r>
    </w:p>
    <w:p>
      <w:pPr>
        <w:pStyle w:val="Normal"/>
        <w:spacing w:lineRule="auto" w:line="288" w:before="0" w:after="160"/>
        <w:jc w:val="left"/>
        <w:rPr/>
      </w:pPr>
      <w:r>
        <w:rPr>
          <w:rFonts w:eastAsia="Open Sans" w:cs="Open Sans"/>
          <w:color w:val="2C3E50"/>
          <w:sz w:val="22"/>
          <w:szCs w:val="22"/>
        </w:rPr>
        <w:t>A licence is signed on your signing workstation (cslic, editor installation guide, chapter 6) for an organization’s Organization ID. It is installed on the installation concerned in two ways:</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Console: </w:t>
      </w:r>
      <w:r>
        <w:rPr>
          <w:rFonts w:eastAsia="Open Sans" w:cs="Open Sans"/>
          <w:color w:val="2C3E50"/>
          <w:sz w:val="22"/>
          <w:szCs w:val="22"/>
        </w:rPr>
        <w:t>cortexskills admin licence-install --file licence/&lt;file&gt;.lic (no restart).</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Screen: </w:t>
      </w:r>
      <w:r>
        <w:rPr>
          <w:rFonts w:eastAsia="Open Sans" w:cs="Open Sans"/>
          <w:color w:val="2C3E50"/>
          <w:sz w:val="22"/>
          <w:szCs w:val="22"/>
        </w:rPr>
        <w:t>the organization administrator opens Administration › Configuration and licence, then “Upload licence file”.</w:t>
      </w:r>
    </w:p>
    <w:p>
      <w:pPr>
        <w:pStyle w:val="Normal"/>
        <w:keepNext w:val="true"/>
        <w:spacing w:before="120" w:after="60"/>
        <w:jc w:val="center"/>
        <w:rPr/>
      </w:pPr>
      <w:r>
        <w:rPr/>
        <w:drawing>
          <wp:inline distT="0" distB="0" distL="0" distR="0">
            <wp:extent cx="4953000" cy="3133725"/>
            <wp:effectExtent l="0" t="0" r="0" b="0"/>
            <wp:docPr id="9" name="e07_licence.png" descr="Administration › Configuration and licence of a licensed customer organization&#10;Administration › Configuration and licence of a licensed customer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07_licence.png" descr="Administration › Configuration and licence of a licensed customer organization&#10;Administration › Configuration and licence of a licensed customer organization"/>
                    <pic:cNvPicPr>
                      <a:picLocks noChangeAspect="1" noChangeArrowheads="1"/>
                    </pic:cNvPicPr>
                  </pic:nvPicPr>
                  <pic:blipFill>
                    <a:blip r:embed="rId10"/>
                    <a:stretch>
                      <a:fillRect/>
                    </a:stretch>
                  </pic:blipFill>
                  <pic:spPr bwMode="auto">
                    <a:xfrm>
                      <a:off x="0" y="0"/>
                      <a:ext cx="4953000" cy="31337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Configuration and licence of a licensed customer organization</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Screen area</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What it shows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Pack · Modules · AI tier · Licence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licence’s plan, the number of modules opened, the AI tier (Assistive, or Assistive and Augmented) and the state of the licence with the days left.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Usage against quotas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Projects, OBS nodes, custom AI use cases, questionnaires this month: used and limit of the offer.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Licence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Deployment, status, plan, maximum users, expiry, active add-ons.</w:t>
            </w:r>
          </w:p>
        </w:tc>
      </w:tr>
    </w:tbl>
    <w:p>
      <w:pPr>
        <w:pStyle w:val="Normal"/>
        <w:spacing w:lineRule="auto" w:line="288" w:before="0" w:after="160"/>
        <w:jc w:val="left"/>
        <w:rPr/>
      </w:pPr>
      <w:r>
        <w:rPr>
          <w:rFonts w:eastAsia="Open Sans" w:cs="Open Sans"/>
          <w:color w:val="2C3E50"/>
          <w:sz w:val="20"/>
          <w:szCs w:val="20"/>
        </w:rPr>
        <w:t>The plan, users and add-ons are not changed on screen: a change is a new version of the licence (cslic update or renew), installed the same way. Thirty days before the end, the administrators are warned; after the end, the organization becomes read-only.</w:t>
      </w:r>
      <w:r>
        <w:br w:type="page"/>
      </w:r>
    </w:p>
    <w:p>
      <w:pPr>
        <w:pStyle w:val="Heading1"/>
        <w:pBdr>
          <w:bottom w:val="single" w:sz="6" w:space="6" w:color="E1E8F0"/>
        </w:pBdr>
        <w:spacing w:before="0" w:after="240"/>
        <w:rPr/>
      </w:pPr>
      <w:bookmarkStart w:id="11" w:name="__RefHeading___Toc1395_1089147156"/>
      <w:bookmarkEnd w:id="11"/>
      <w:r>
        <w:rPr>
          <w:rFonts w:eastAsia="Montserrat" w:cs="Montserrat"/>
          <w:b/>
          <w:bCs/>
          <w:color w:val="123A5F"/>
          <w:sz w:val="40"/>
          <w:szCs w:val="40"/>
        </w:rPr>
        <w:t>7. Run a project with a customer</w:t>
      </w:r>
    </w:p>
    <w:p>
      <w:pPr>
        <w:pStyle w:val="Normal"/>
        <w:spacing w:lineRule="auto" w:line="288" w:before="0" w:after="160"/>
        <w:jc w:val="left"/>
        <w:rPr/>
      </w:pPr>
      <w:r>
        <w:rPr>
          <w:rFonts w:eastAsia="Open Sans" w:cs="Open Sans"/>
          <w:color w:val="2C3E50"/>
          <w:sz w:val="22"/>
          <w:szCs w:val="22"/>
        </w:rPr>
        <w:t>Projects are run the same way in the editor and customer editions. The complete run, with each step and what to type, is in the customer user guide (real case of a private clinic). The essentials:</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Create the project: </w:t>
      </w:r>
      <w:r>
        <w:rPr>
          <w:rFonts w:eastAsia="Open Sans" w:cs="Open Sans"/>
          <w:color w:val="2C3E50"/>
          <w:sz w:val="22"/>
          <w:szCs w:val="22"/>
        </w:rPr>
        <w:t>Portfolio › New project, “From the catalog” tab: Name, Focus (Digital, AI), Description, then Template. The template list holds those of the organization, of its sector, the universal templates and those of the other sectors.</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Follow the phases: </w:t>
      </w:r>
      <w:r>
        <w:rPr>
          <w:rFonts w:eastAsia="Open Sans" w:cs="Open Sans"/>
          <w:color w:val="2C3E50"/>
          <w:sz w:val="22"/>
          <w:szCs w:val="22"/>
        </w:rPr>
        <w:t>each end-to-end (E2E) process has its tasks and steps; the gates (G1 to G5) are decided “Go” by the steering committee chair.</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Fill a step in three ways: </w:t>
      </w:r>
      <w:r>
        <w:rPr>
          <w:rFonts w:eastAsia="Open Sans" w:cs="Open Sans"/>
          <w:color w:val="2C3E50"/>
          <w:sz w:val="22"/>
          <w:szCs w:val="22"/>
        </w:rPr>
        <w:t>manual entry or pasting a table, “From the template”, or “Propose rows with AI”; each proposal is read and validated by a person.</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Produce the documents: </w:t>
      </w:r>
      <w:r>
        <w:rPr>
          <w:rFonts w:eastAsia="Open Sans" w:cs="Open Sans"/>
          <w:color w:val="2C3E50"/>
          <w:sz w:val="22"/>
          <w:szCs w:val="22"/>
        </w:rPr>
        <w:t>each process generates its documents (DOCX, PDF, XLSX) from the data entered, as a dated version.</w:t>
      </w:r>
    </w:p>
    <w:p>
      <w:pPr>
        <w:pStyle w:val="Normal"/>
        <w:keepNext w:val="true"/>
        <w:spacing w:before="120" w:after="60"/>
        <w:jc w:val="center"/>
        <w:rPr/>
      </w:pPr>
      <w:r>
        <w:rPr/>
        <w:drawing>
          <wp:inline distT="0" distB="0" distL="0" distR="0">
            <wp:extent cx="4762500" cy="3009900"/>
            <wp:effectExtent l="0" t="0" r="0" b="0"/>
            <wp:docPr id="10" name="e08_new_project.png" descr="New project, in the customer organization&#10;New project, in the customer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08_new_project.png" descr="New project, in the customer organization&#10;New project, in the customer organization"/>
                    <pic:cNvPicPr>
                      <a:picLocks noChangeAspect="1" noChangeArrowheads="1"/>
                    </pic:cNvPicPr>
                  </pic:nvPicPr>
                  <pic:blipFill>
                    <a:blip r:embed="rId11"/>
                    <a:stretch>
                      <a:fillRect/>
                    </a:stretch>
                  </pic:blipFill>
                  <pic:spPr bwMode="auto">
                    <a:xfrm>
                      <a:off x="0" y="0"/>
                      <a:ext cx="4762500" cy="30099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New project, in the customer organization</w:t>
      </w:r>
    </w:p>
    <w:p>
      <w:pPr>
        <w:pStyle w:val="Heading2"/>
        <w:keepNext w:val="true"/>
        <w:spacing w:before="320" w:after="120"/>
        <w:rPr/>
      </w:pPr>
      <w:bookmarkStart w:id="12" w:name="__RefHeading___Toc1397_1089147156"/>
      <w:bookmarkEnd w:id="12"/>
      <w:r>
        <w:rPr>
          <w:rFonts w:eastAsia="Montserrat" w:cs="Montserrat"/>
          <w:b/>
          <w:bCs/>
          <w:color w:val="123A5F"/>
          <w:sz w:val="32"/>
          <w:szCs w:val="32"/>
        </w:rPr>
        <w:t>7.1 Project templates</w:t>
      </w:r>
    </w:p>
    <w:p>
      <w:pPr>
        <w:pStyle w:val="Normal"/>
        <w:spacing w:lineRule="auto" w:line="288" w:before="0" w:after="160"/>
        <w:jc w:val="left"/>
        <w:rPr/>
      </w:pPr>
      <w:r>
        <w:rPr>
          <w:rFonts w:eastAsia="Open Sans" w:cs="Open Sans"/>
          <w:color w:val="2C3E50"/>
          <w:sz w:val="20"/>
          <w:szCs w:val="20"/>
        </w:rPr>
        <w:t>Process design › Project templates: the published templates (universal or per sector, full or SME track). “Save as template” on a completed project creates a new one, to publish so it is offered at creation.</w:t>
      </w:r>
    </w:p>
    <w:p>
      <w:pPr>
        <w:pStyle w:val="Normal"/>
        <w:keepNext w:val="true"/>
        <w:spacing w:before="120" w:after="60"/>
        <w:jc w:val="center"/>
        <w:rPr/>
      </w:pPr>
      <w:r>
        <w:rPr/>
        <w:drawing>
          <wp:inline distT="0" distB="0" distL="0" distR="0">
            <wp:extent cx="4381500" cy="2771775"/>
            <wp:effectExtent l="0" t="0" r="0" b="0"/>
            <wp:docPr id="11" name="e09_project_templates.png" descr="Process design › Project templates&#10;Process design › Projec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09_project_templates.png" descr="Process design › Project templates&#10;Process design › Project templates"/>
                    <pic:cNvPicPr>
                      <a:picLocks noChangeAspect="1" noChangeArrowheads="1"/>
                    </pic:cNvPicPr>
                  </pic:nvPicPr>
                  <pic:blipFill>
                    <a:blip r:embed="rId12"/>
                    <a:stretch>
                      <a:fillRect/>
                    </a:stretch>
                  </pic:blipFill>
                  <pic:spPr bwMode="auto">
                    <a:xfrm>
                      <a:off x="0" y="0"/>
                      <a:ext cx="4381500" cy="27717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Process design › Project templates</w:t>
      </w:r>
      <w:r>
        <w:br w:type="page"/>
      </w:r>
    </w:p>
    <w:p>
      <w:pPr>
        <w:pStyle w:val="Heading1"/>
        <w:pBdr>
          <w:bottom w:val="single" w:sz="6" w:space="6" w:color="E1E8F0"/>
        </w:pBdr>
        <w:spacing w:before="0" w:after="240"/>
        <w:rPr/>
      </w:pPr>
      <w:bookmarkStart w:id="13" w:name="__RefHeading___Toc1399_1089147156"/>
      <w:bookmarkEnd w:id="13"/>
      <w:r>
        <w:rPr>
          <w:rFonts w:eastAsia="Montserrat" w:cs="Montserrat"/>
          <w:b/>
          <w:bCs/>
          <w:color w:val="123A5F"/>
          <w:sz w:val="40"/>
          <w:szCs w:val="40"/>
        </w:rPr>
        <w:t>8. Platform settings</w:t>
      </w:r>
    </w:p>
    <w:p>
      <w:pPr>
        <w:pStyle w:val="Heading2"/>
        <w:keepNext w:val="true"/>
        <w:spacing w:before="320" w:after="120"/>
        <w:rPr/>
      </w:pPr>
      <w:bookmarkStart w:id="14" w:name="__RefHeading___Toc1401_1089147156"/>
      <w:bookmarkEnd w:id="14"/>
      <w:r>
        <w:rPr>
          <w:rFonts w:eastAsia="Montserrat" w:cs="Montserrat"/>
          <w:b/>
          <w:bCs/>
          <w:color w:val="123A5F"/>
          <w:sz w:val="32"/>
          <w:szCs w:val="32"/>
        </w:rPr>
        <w:t>8.1 Channels: e-mail and WhatsApp</w:t>
      </w:r>
    </w:p>
    <w:p>
      <w:pPr>
        <w:pStyle w:val="Normal"/>
        <w:spacing w:lineRule="auto" w:line="288" w:before="0" w:after="160"/>
        <w:jc w:val="left"/>
        <w:rPr/>
      </w:pPr>
      <w:r>
        <w:rPr>
          <w:rFonts w:eastAsia="Open Sans" w:cs="Open Sans"/>
          <w:color w:val="2C3E50"/>
          <w:sz w:val="22"/>
          <w:szCs w:val="22"/>
        </w:rPr>
        <w:t>Administration › Channels: the organization’s mail server (SMTP) and WhatsApp Business account, each in “Sandbox” (messages kept without leaving, to rehearse a demonstration) or “Live”. “Send a test” confirms the provider accepts the messages. The SMTP_* and WHATSAPP_* values of the .env file are used by default for organizations without their own setting.</w:t>
      </w:r>
    </w:p>
    <w:p>
      <w:pPr>
        <w:pStyle w:val="Normal"/>
        <w:keepNext w:val="true"/>
        <w:spacing w:before="120" w:after="60"/>
        <w:jc w:val="center"/>
        <w:rPr/>
      </w:pPr>
      <w:r>
        <w:rPr/>
        <w:drawing>
          <wp:inline distT="0" distB="0" distL="0" distR="0">
            <wp:extent cx="4572000" cy="2895600"/>
            <wp:effectExtent l="0" t="0" r="0" b="0"/>
            <wp:docPr id="12" name="e10_channels.png" descr="Administration › Channels&#10;Administration ›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10_channels.png" descr="Administration › Channels&#10;Administration › Channels"/>
                    <pic:cNvPicPr>
                      <a:picLocks noChangeAspect="1" noChangeArrowheads="1"/>
                    </pic:cNvPicPr>
                  </pic:nvPicPr>
                  <pic:blipFill>
                    <a:blip r:embed="rId13"/>
                    <a:stretch>
                      <a:fillRect/>
                    </a:stretch>
                  </pic:blipFill>
                  <pic:spPr bwMode="auto">
                    <a:xfrm>
                      <a:off x="0" y="0"/>
                      <a:ext cx="4572000" cy="2895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Channels</w:t>
      </w:r>
    </w:p>
    <w:p>
      <w:pPr>
        <w:pStyle w:val="Heading2"/>
        <w:keepNext w:val="true"/>
        <w:spacing w:before="320" w:after="120"/>
        <w:rPr/>
      </w:pPr>
      <w:bookmarkStart w:id="15" w:name="__RefHeading___Toc1403_1089147156"/>
      <w:bookmarkEnd w:id="15"/>
      <w:r>
        <w:rPr>
          <w:rFonts w:eastAsia="Montserrat" w:cs="Montserrat"/>
          <w:b/>
          <w:bCs/>
          <w:color w:val="123A5F"/>
          <w:sz w:val="32"/>
          <w:szCs w:val="32"/>
        </w:rPr>
        <w:t>8.2 AI</w:t>
      </w:r>
    </w:p>
    <w:p>
      <w:pPr>
        <w:pStyle w:val="Normal"/>
        <w:spacing w:lineRule="auto" w:line="288" w:before="0" w:after="160"/>
        <w:jc w:val="left"/>
        <w:rPr/>
      </w:pPr>
      <w:r>
        <w:rPr>
          <w:rFonts w:eastAsia="Open Sans" w:cs="Open Sans"/>
          <w:color w:val="2C3E50"/>
          <w:sz w:val="22"/>
          <w:szCs w:val="22"/>
        </w:rPr>
        <w:t>AI &amp; knowledge › AI settings: the provider and model used by the organization’s AI use cases, with an encrypted API key. Without an enabled model, the built-in engine produces the proposals. The respondents’ personal data is never sent to the provider; each proposal is validated by a person and logged (AI &amp; knowledge › Usage).</w:t>
      </w:r>
    </w:p>
    <w:p>
      <w:pPr>
        <w:pStyle w:val="Normal"/>
        <w:keepNext w:val="true"/>
        <w:spacing w:before="120" w:after="60"/>
        <w:jc w:val="center"/>
        <w:rPr/>
      </w:pPr>
      <w:r>
        <w:rPr/>
        <w:drawing>
          <wp:inline distT="0" distB="0" distL="0" distR="0">
            <wp:extent cx="4381500" cy="2771775"/>
            <wp:effectExtent l="0" t="0" r="0" b="0"/>
            <wp:docPr id="13" name="e11_ai_settings.png" descr="AI &amp; knowledge › AI settings&#10;AI &amp; knowledge › AI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11_ai_settings.png" descr="AI &amp; knowledge › AI settings&#10;AI &amp; knowledge › AI settings"/>
                    <pic:cNvPicPr>
                      <a:picLocks noChangeAspect="1" noChangeArrowheads="1"/>
                    </pic:cNvPicPr>
                  </pic:nvPicPr>
                  <pic:blipFill>
                    <a:blip r:embed="rId14"/>
                    <a:stretch>
                      <a:fillRect/>
                    </a:stretch>
                  </pic:blipFill>
                  <pic:spPr bwMode="auto">
                    <a:xfrm>
                      <a:off x="0" y="0"/>
                      <a:ext cx="4381500" cy="27717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AI &amp; knowledge › AI settings</w:t>
      </w:r>
    </w:p>
    <w:p>
      <w:pPr>
        <w:pStyle w:val="Heading2"/>
        <w:keepNext w:val="true"/>
        <w:spacing w:before="320" w:after="120"/>
        <w:rPr/>
      </w:pPr>
      <w:bookmarkStart w:id="16" w:name="__RefHeading___Toc1405_1089147156"/>
      <w:bookmarkEnd w:id="16"/>
      <w:r>
        <w:rPr>
          <w:rFonts w:eastAsia="Montserrat" w:cs="Montserrat"/>
          <w:b/>
          <w:bCs/>
          <w:color w:val="123A5F"/>
          <w:sz w:val="32"/>
          <w:szCs w:val="32"/>
        </w:rPr>
        <w:t>8.3 Document templates</w:t>
      </w:r>
    </w:p>
    <w:p>
      <w:pPr>
        <w:pStyle w:val="Normal"/>
        <w:spacing w:lineRule="auto" w:line="288" w:before="0" w:after="160"/>
        <w:jc w:val="left"/>
        <w:rPr/>
      </w:pPr>
      <w:r>
        <w:rPr>
          <w:rFonts w:eastAsia="Open Sans" w:cs="Open Sans"/>
          <w:color w:val="2C3E50"/>
          <w:sz w:val="22"/>
          <w:szCs w:val="22"/>
        </w:rPr>
        <w:t>Documents › Templates: the library of document templates (scope of work, campaign reports, training plan, evaluation…). Documents › Layout applies the organization’s charter (logo, colours, fonts) to every generated document.</w:t>
      </w:r>
    </w:p>
    <w:p>
      <w:pPr>
        <w:pStyle w:val="Normal"/>
        <w:keepNext w:val="true"/>
        <w:spacing w:before="120" w:after="60"/>
        <w:jc w:val="center"/>
        <w:rPr/>
      </w:pPr>
      <w:r>
        <w:rPr/>
        <w:drawing>
          <wp:inline distT="0" distB="0" distL="0" distR="0">
            <wp:extent cx="4381500" cy="2771775"/>
            <wp:effectExtent l="0" t="0" r="0" b="0"/>
            <wp:docPr id="14" name="e12_document_templates.png" descr="Documents › Templates&#10;Documents ›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12_document_templates.png" descr="Documents › Templates&#10;Documents › Templates"/>
                    <pic:cNvPicPr>
                      <a:picLocks noChangeAspect="1" noChangeArrowheads="1"/>
                    </pic:cNvPicPr>
                  </pic:nvPicPr>
                  <pic:blipFill>
                    <a:blip r:embed="rId15"/>
                    <a:stretch>
                      <a:fillRect/>
                    </a:stretch>
                  </pic:blipFill>
                  <pic:spPr bwMode="auto">
                    <a:xfrm>
                      <a:off x="0" y="0"/>
                      <a:ext cx="4381500" cy="27717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Documents › Templates</w:t>
      </w:r>
      <w:r>
        <w:br w:type="page"/>
      </w:r>
    </w:p>
    <w:p>
      <w:pPr>
        <w:pStyle w:val="Heading1"/>
        <w:pBdr>
          <w:bottom w:val="single" w:sz="6" w:space="6" w:color="E1E8F0"/>
        </w:pBdr>
        <w:spacing w:before="0" w:after="240"/>
        <w:rPr/>
      </w:pPr>
      <w:bookmarkStart w:id="17" w:name="__RefHeading___Toc1407_1089147156"/>
      <w:bookmarkEnd w:id="17"/>
      <w:r>
        <w:rPr>
          <w:rFonts w:eastAsia="Montserrat" w:cs="Montserrat"/>
          <w:b/>
          <w:bCs/>
          <w:color w:val="123A5F"/>
          <w:sz w:val="40"/>
          <w:szCs w:val="40"/>
        </w:rPr>
        <w:t>9. Audit, traceability and backups</w:t>
      </w:r>
    </w:p>
    <w:p>
      <w:pPr>
        <w:pStyle w:val="Normal"/>
        <w:spacing w:lineRule="auto" w:line="288" w:before="0" w:after="160"/>
        <w:jc w:val="left"/>
        <w:rPr/>
      </w:pPr>
      <w:r>
        <w:rPr>
          <w:rFonts w:eastAsia="Open Sans" w:cs="Open Sans"/>
          <w:color w:val="2C3E50"/>
          <w:sz w:val="22"/>
          <w:szCs w:val="22"/>
        </w:rPr>
        <w:t>Administration › Audit log: every administration action and every decision (user created, licence installed, gate decided, document published) with its date, author and before and after values. Administration › Traceability links requirements, processes and records.</w:t>
      </w:r>
    </w:p>
    <w:p>
      <w:pPr>
        <w:pStyle w:val="Normal"/>
        <w:keepNext w:val="true"/>
        <w:spacing w:before="120" w:after="60"/>
        <w:jc w:val="center"/>
        <w:rPr/>
      </w:pPr>
      <w:r>
        <w:rPr/>
        <w:drawing>
          <wp:inline distT="0" distB="0" distL="0" distR="0">
            <wp:extent cx="4381500" cy="2771775"/>
            <wp:effectExtent l="0" t="0" r="0" b="0"/>
            <wp:docPr id="15" name="e13_audit_log.png" descr="Administration › Audit log&#10;Administration ›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13_audit_log.png" descr="Administration › Audit log&#10;Administration › Audit log"/>
                    <pic:cNvPicPr>
                      <a:picLocks noChangeAspect="1" noChangeArrowheads="1"/>
                    </pic:cNvPicPr>
                  </pic:nvPicPr>
                  <pic:blipFill>
                    <a:blip r:embed="rId16"/>
                    <a:stretch>
                      <a:fillRect/>
                    </a:stretch>
                  </pic:blipFill>
                  <pic:spPr bwMode="auto">
                    <a:xfrm>
                      <a:off x="0" y="0"/>
                      <a:ext cx="4381500" cy="27717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Audit log</w:t>
      </w:r>
    </w:p>
    <w:p>
      <w:pPr>
        <w:pStyle w:val="Normal"/>
        <w:spacing w:lineRule="auto" w:line="288" w:before="0" w:after="160"/>
        <w:jc w:val="left"/>
        <w:rPr/>
      </w:pPr>
      <w:r>
        <w:rPr>
          <w:rFonts w:eastAsia="Open Sans" w:cs="Open Sans"/>
          <w:color w:val="2C3E50"/>
          <w:sz w:val="22"/>
          <w:szCs w:val="22"/>
        </w:rPr>
        <w:t>Administration › Backups &amp; health: the state of the service, the daily and on-demand backups (“Back up now”) and the restore procedure. Copy the backups off the server every day (editor installation guide, 4.4).</w:t>
      </w:r>
    </w:p>
    <w:p>
      <w:pPr>
        <w:pStyle w:val="Normal"/>
        <w:keepNext w:val="true"/>
        <w:spacing w:before="120" w:after="60"/>
        <w:jc w:val="center"/>
        <w:rPr/>
      </w:pPr>
      <w:r>
        <w:rPr/>
        <w:drawing>
          <wp:inline distT="0" distB="0" distL="0" distR="0">
            <wp:extent cx="4381500" cy="2771775"/>
            <wp:effectExtent l="0" t="0" r="0" b="0"/>
            <wp:docPr id="16" name="e14_backups.png" descr="Administration › Backups &amp; health&#10;Administration › Backups &amp;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14_backups.png" descr="Administration › Backups &amp; health&#10;Administration › Backups &amp; health"/>
                    <pic:cNvPicPr>
                      <a:picLocks noChangeAspect="1" noChangeArrowheads="1"/>
                    </pic:cNvPicPr>
                  </pic:nvPicPr>
                  <pic:blipFill>
                    <a:blip r:embed="rId17"/>
                    <a:stretch>
                      <a:fillRect/>
                    </a:stretch>
                  </pic:blipFill>
                  <pic:spPr bwMode="auto">
                    <a:xfrm>
                      <a:off x="0" y="0"/>
                      <a:ext cx="4381500" cy="27717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Backups &amp; health</w:t>
      </w:r>
      <w:r>
        <w:br w:type="page"/>
      </w:r>
    </w:p>
    <w:p>
      <w:pPr>
        <w:pStyle w:val="Heading1"/>
        <w:pBdr>
          <w:bottom w:val="single" w:sz="6" w:space="6" w:color="E1E8F0"/>
        </w:pBdr>
        <w:spacing w:before="0" w:after="240"/>
        <w:rPr/>
      </w:pPr>
      <w:bookmarkStart w:id="18" w:name="__RefHeading___Toc1409_1089147156"/>
      <w:bookmarkEnd w:id="18"/>
      <w:r>
        <w:rPr>
          <w:rFonts w:eastAsia="Montserrat" w:cs="Montserrat"/>
          <w:b/>
          <w:bCs/>
          <w:color w:val="123A5F"/>
          <w:sz w:val="40"/>
          <w:szCs w:val="40"/>
        </w:rPr>
        <w:t>10. Good practices</w:t>
      </w:r>
    </w:p>
    <w:p>
      <w:pPr>
        <w:pStyle w:val="ListParagraph"/>
        <w:numPr>
          <w:ilvl w:val="0"/>
          <w:numId w:val="3"/>
        </w:numPr>
        <w:spacing w:lineRule="auto" w:line="288" w:before="0" w:after="80"/>
        <w:rPr/>
      </w:pPr>
      <w:r>
        <w:rPr>
          <w:rFonts w:eastAsia="Open Sans" w:cs="Open Sans"/>
          <w:color w:val="2C3E50"/>
          <w:sz w:val="22"/>
          <w:szCs w:val="22"/>
        </w:rPr>
        <w:t>One organization per customer, one licence per organization; never mix the data of two customers in one organization.</w:t>
      </w:r>
    </w:p>
    <w:p>
      <w:pPr>
        <w:pStyle w:val="ListParagraph"/>
        <w:numPr>
          <w:ilvl w:val="0"/>
          <w:numId w:val="1"/>
        </w:numPr>
        <w:spacing w:lineRule="auto" w:line="288" w:before="0" w:after="80"/>
        <w:rPr/>
      </w:pPr>
      <w:r>
        <w:rPr>
          <w:rFonts w:eastAsia="Open Sans" w:cs="Open Sans"/>
          <w:color w:val="2C3E50"/>
          <w:sz w:val="22"/>
          <w:szCs w:val="22"/>
        </w:rPr>
        <w:t>Demonstrations: use the reference organizations, or a demonstration organization under a short licence, with the channels in “Sandbox”.</w:t>
      </w:r>
    </w:p>
    <w:p>
      <w:pPr>
        <w:pStyle w:val="ListParagraph"/>
        <w:numPr>
          <w:ilvl w:val="0"/>
          <w:numId w:val="1"/>
        </w:numPr>
        <w:spacing w:lineRule="auto" w:line="288" w:before="0" w:after="80"/>
        <w:rPr/>
      </w:pPr>
      <w:r>
        <w:rPr>
          <w:rFonts w:eastAsia="Open Sans" w:cs="Open Sans"/>
          <w:color w:val="2C3E50"/>
          <w:sz w:val="22"/>
          <w:szCs w:val="22"/>
        </w:rPr>
        <w:t>Before a pilot: set the channels to “Live”, check PUBLIC_URL (the links sent must open on a phone) and test a send.</w:t>
      </w:r>
    </w:p>
    <w:p>
      <w:pPr>
        <w:pStyle w:val="ListParagraph"/>
        <w:numPr>
          <w:ilvl w:val="0"/>
          <w:numId w:val="1"/>
        </w:numPr>
        <w:spacing w:lineRule="auto" w:line="288" w:before="0" w:after="80"/>
        <w:rPr/>
      </w:pPr>
      <w:r>
        <w:rPr>
          <w:rFonts w:eastAsia="Open Sans" w:cs="Open Sans"/>
          <w:color w:val="2C3E50"/>
          <w:sz w:val="22"/>
          <w:szCs w:val="22"/>
        </w:rPr>
        <w:t>Never quote a price from a customer installation: prices do not exist there; prepare the quotation on your editor installation.</w:t>
      </w:r>
    </w:p>
    <w:p>
      <w:pPr>
        <w:pStyle w:val="ListParagraph"/>
        <w:numPr>
          <w:ilvl w:val="0"/>
          <w:numId w:val="1"/>
        </w:numPr>
        <w:spacing w:lineRule="auto" w:line="288" w:before="0" w:after="80"/>
        <w:rPr/>
      </w:pPr>
      <w:r>
        <w:rPr>
          <w:rFonts w:eastAsia="Open Sans" w:cs="Open Sans"/>
          <w:color w:val="2C3E50"/>
          <w:sz w:val="22"/>
          <w:szCs w:val="22"/>
        </w:rPr>
        <w:t>Change your password at first sign-in and keep at least two administrators per organization (two-person rule to publish).</w:t>
      </w:r>
      <w:r>
        <w:br w:type="page"/>
      </w:r>
    </w:p>
    <w:p>
      <w:pPr>
        <w:pStyle w:val="Heading1"/>
        <w:pBdr>
          <w:bottom w:val="single" w:sz="6" w:space="6" w:color="E1E8F0"/>
        </w:pBdr>
        <w:spacing w:before="0" w:after="240"/>
        <w:rPr/>
      </w:pPr>
      <w:bookmarkStart w:id="19" w:name="__RefHeading___Toc1411_1089147156"/>
      <w:bookmarkEnd w:id="19"/>
      <w:r>
        <w:rPr>
          <w:rFonts w:eastAsia="Montserrat" w:cs="Montserrat"/>
          <w:b/>
          <w:bCs/>
          <w:color w:val="123A5F"/>
          <w:sz w:val="40"/>
          <w:szCs w:val="40"/>
        </w:rPr>
        <w:t>11. Troubleshooting</w:t>
      </w:r>
    </w:p>
    <w:tbl>
      <w:tblPr>
        <w:tblW w:w="9638" w:type="dxa"/>
        <w:jc w:val="left"/>
        <w:tblInd w:w="0" w:type="dxa"/>
        <w:tblLayout w:type="fixed"/>
        <w:tblCellMar>
          <w:top w:w="70" w:type="dxa"/>
          <w:left w:w="110" w:type="dxa"/>
          <w:bottom w:w="70" w:type="dxa"/>
          <w:right w:w="110" w:type="dxa"/>
        </w:tblCellMar>
      </w:tblPr>
      <w:tblGrid>
        <w:gridCol w:w="3196"/>
        <w:gridCol w:w="2998"/>
        <w:gridCol w:w="3444"/>
      </w:tblGrid>
      <w:tr>
        <w:trPr>
          <w:tblHeader w:val="true"/>
          <w:cantSplit w:val="true"/>
        </w:trPr>
        <w:tc>
          <w:tcPr>
            <w:tcW w:w="3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What you see</w:t>
            </w:r>
          </w:p>
        </w:tc>
        <w:tc>
          <w:tcPr>
            <w:tcW w:w="2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Cause</w:t>
            </w:r>
          </w:p>
        </w:tc>
        <w:tc>
          <w:tcPr>
            <w:tcW w:w="3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What to do</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t>
            </w:r>
            <w:r>
              <w:rPr>
                <w:rFonts w:eastAsia="Open Sans" w:cs="Open Sans"/>
                <w:b w:val="false"/>
                <w:bCs w:val="false"/>
                <w:color w:val="2C3E50"/>
                <w:sz w:val="17"/>
                <w:szCs w:val="17"/>
              </w:rPr>
              <w:t>The licence of this Organization is not active”</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Licence not installed, expired or removed.</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Install the licence (chapter 6); check its end date.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Creating a user is refused</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Maximum number of users of the licence reached.</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Disable an unused account or issue a new version of the licence (more users).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 module does not appear in the menu</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licence’s plan does not include it.</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 the plan or add the add-on with a new version of the licence.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 account of a reference organization is refused</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These accounts cannot sign in.</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Sign in as platform administrator.</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Packs &amp; pricing page is unavailable</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 are on a customer installation.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Use your editor installation.</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Messages do not leave</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Channel in “Sandbox” or not enabled.</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Administration › Channels: “Enabled”, “Live”, then “Send a test”.</w:t>
            </w:r>
          </w:p>
        </w:tc>
      </w:tr>
    </w:tbl>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User Guide, editor side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18</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17"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User Guide — editor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en-GB"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en-GB"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2026-10-16T18:42:53Z</dcterms:created>
  <dc:creator>AI Value</dc:creator>
  <dc:description>CortexSkills — User Guide, editor side</dc:description>
  <dc:language>en-US</dc:language>
  <cp:lastModifiedBy/>
  <dcterms:modified xsi:type="dcterms:W3CDTF">2026-10-16T18:42:57Z</dcterms:modified>
  <cp:revision>2</cp:revision>
  <dc:subject/>
  <dc:title>CortexSkills — User Guide, editor side</dc:title>
</cp:coreProperties>
</file>