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/>
        <w:t>Guía del práctico — Docentes</w:t>
      </w:r>
    </w:p>
    <w:p>
      <w:pPr>
        <w:pStyle w:val="Heading2"/>
        <w:rPr/>
      </w:pPr>
      <w:r>
        <w:rPr/>
        <w:t>Predicción de localización subcelular de proteínas a partir de su secuencia</w:t>
      </w:r>
    </w:p>
    <w:p>
      <w:pPr>
        <w:pStyle w:val="Heading1"/>
        <w:rPr/>
      </w:pPr>
      <w:r>
        <w:rPr/>
        <w:t>Objetivo pedagógico</w:t>
      </w:r>
    </w:p>
    <w:p>
      <w:pPr>
        <w:pStyle w:val="Normal"/>
        <w:rPr/>
      </w:pPr>
      <w:r>
        <w:rPr/>
        <w:t>Recorrer el flujo completo de un problema de Machine Learning aplicado a un problema biológico real: datos → representación numérica → modelo → evaluación → discusión. La idea central que atraviesa todo el práctico es que el desempeño de un sistema de ML depende tanto de la representación elegida como del algoritmo — y, como van a ver, en este caso particular depende mucho más de lo primero que de lo segundo.</w:t>
      </w:r>
    </w:p>
    <w:p>
      <w:pPr>
        <w:pStyle w:val="Normal"/>
        <w:rPr/>
      </w:pPr>
      <w:r>
        <w:rPr/>
        <w:t>Clase teórica previa: 4 horas. Esta clase práctica: 4 horas.</w:t>
      </w:r>
    </w:p>
    <w:p>
      <w:pPr>
        <w:pStyle w:val="Heading1"/>
        <w:rPr/>
      </w:pPr>
      <w:r>
        <w:rPr/>
        <w:t>Preparación previa a la clase</w:t>
      </w:r>
    </w:p>
    <w:p>
      <w:pPr>
        <w:pStyle w:val="ListParagraph"/>
        <w:numPr>
          <w:ilvl w:val="0"/>
          <w:numId w:val="5"/>
        </w:numPr>
        <w:rPr/>
      </w:pPr>
      <w:r>
        <w:rPr/>
        <w:t>Instalar dependencias: pip3 install requests pandas biopython (agregar --break-system-packages si el sistema lo pide).</w:t>
      </w:r>
    </w:p>
    <w:p>
      <w:pPr>
        <w:pStyle w:val="ListParagraph"/>
        <w:numPr>
          <w:ilvl w:val="0"/>
          <w:numId w:val="1"/>
        </w:numPr>
        <w:rPr/>
      </w:pPr>
      <w:r>
        <w:rPr/>
        <w:t>Correr 01_construir_dataset.py (requiere internet). Genera features_composicion_fisicoquimicos.csv y features_dipeptidos_fisicoquimicos.csv. Tarda un par de minutos.</w:t>
      </w:r>
    </w:p>
    <w:p>
      <w:pPr>
        <w:pStyle w:val="ListParagraph"/>
        <w:numPr>
          <w:ilvl w:val="0"/>
          <w:numId w:val="1"/>
        </w:numPr>
        <w:rPr/>
      </w:pPr>
      <w:r>
        <w:rPr/>
        <w:t>Instalar Orange Data Mining (gratuito, https://orangedatamining.com/download/) si no está ya en las máquinas del laboratorio.</w:t>
      </w:r>
    </w:p>
    <w:p>
      <w:pPr>
        <w:pStyle w:val="ListParagraph"/>
        <w:numPr>
          <w:ilvl w:val="0"/>
          <w:numId w:val="1"/>
        </w:numPr>
        <w:rPr/>
      </w:pPr>
      <w:r>
        <w:rPr/>
        <w:t>Abrir exploracion_docentes_completa.ipynb y correr Kernel → Restart &amp; Run All. Importante: los gráficos que vienen en el notebook por defecto están hechos con datos sintéticos de prueba (para poder entregarlo ya armado); este paso los reemplaza por los gráficos reales.</w:t>
      </w:r>
    </w:p>
    <w:p>
      <w:pPr>
        <w:pStyle w:val="ListParagraph"/>
        <w:numPr>
          <w:ilvl w:val="0"/>
          <w:numId w:val="1"/>
        </w:numPr>
        <w:rPr/>
      </w:pPr>
      <w:r>
        <w:rPr/>
        <w:t>Abrir bag_of_aminoacidos.ows y dipeptidos.ows una vez para confirmar que todos los widgets cargan bien en la versión de Orange instalada (ver sección de Troubleshooting si falta alguno).</w:t>
      </w:r>
    </w:p>
    <w:p>
      <w:pPr>
        <w:pStyle w:val="ListParagraph"/>
        <w:numPr>
          <w:ilvl w:val="0"/>
          <w:numId w:val="1"/>
        </w:numPr>
        <w:rPr/>
      </w:pPr>
      <w:r>
        <w:rPr/>
        <w:t>Repartir a los alumnos: los 2 CSV, exploracion_alumnos.ipynb, bag_of_aminoacidos.ows, dipeptidos.ows, y la guía de alumnos.</w:t>
      </w:r>
    </w:p>
    <w:p>
      <w:pPr>
        <w:pStyle w:val="Heading1"/>
        <w:rPr/>
      </w:pPr>
      <w:r>
        <w:rPr/>
        <w:t>El dataset</w:t>
      </w:r>
    </w:p>
    <w:p>
      <w:pPr>
        <w:pStyle w:val="ListParagraph"/>
        <w:numPr>
          <w:ilvl w:val="0"/>
          <w:numId w:val="6"/>
        </w:numPr>
        <w:rPr/>
      </w:pPr>
      <w:r>
        <w:rPr/>
        <w:t>Fuente: UniProt (Swiss-Prot, entradas revisadas), proteínas humanas.</w:t>
      </w:r>
    </w:p>
    <w:p>
      <w:pPr>
        <w:pStyle w:val="ListParagraph"/>
        <w:numPr>
          <w:ilvl w:val="0"/>
          <w:numId w:val="2"/>
        </w:numPr>
        <w:rPr/>
      </w:pPr>
      <w:r>
        <w:rPr/>
        <w:t>3 clases mutuamente excluyentes: Nucleus (KW-0539), Cytoplasm (KW-0963), Membrane (KW-0472).</w:t>
      </w:r>
    </w:p>
    <w:p>
      <w:pPr>
        <w:pStyle w:val="ListParagraph"/>
        <w:numPr>
          <w:ilvl w:val="0"/>
          <w:numId w:val="2"/>
        </w:numPr>
        <w:rPr/>
      </w:pPr>
      <w:r>
        <w:rPr/>
        <w:t>~250 proteínas en total (84/83/83), longitud entre 50 y 500 aminoácidos.</w:t>
      </w:r>
    </w:p>
    <w:p>
      <w:pPr>
        <w:pStyle w:val="ListParagraph"/>
        <w:numPr>
          <w:ilvl w:val="0"/>
          <w:numId w:val="2"/>
        </w:numPr>
        <w:rPr/>
      </w:pPr>
      <w:r>
        <w:rPr/>
        <w:t>Cada CSV incluye accession y sequence al principio (para marcar como meta en Orange, no como features) y localization al final como target.</w:t>
      </w:r>
    </w:p>
    <w:p>
      <w:pPr>
        <w:pStyle w:val="Heading1"/>
        <w:rPr/>
      </w:pPr>
      <w:r>
        <w:rPr/>
        <w:t>Referencia: los 10 features fisicoquímicos</w:t>
      </w:r>
    </w:p>
    <w:p>
      <w:pPr>
        <w:pStyle w:val="Normal"/>
        <w:rPr/>
      </w:pPr>
      <w:r>
        <w:rPr/>
        <w:t>Ambos CSV incluyen, además de la composición/dipéptidos, estas 10 columnas calculadas a partir de la secuencia completa con Biopython (ProteinAnalysis). Son justamente los features que en una versión anterior del práctico se le pedían a un asistente de IA que calculara en vivo durante la clase; ahora vienen resueltos por el script, así que esa parte ya no depende de que la IA responda bien en el momento.</w:t>
      </w:r>
    </w:p>
    <w:tbl>
      <w:tblPr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400"/>
        <w:gridCol w:w="2850"/>
      </w:tblGrid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Columna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Qué mide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Relevancia esperada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longitud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Cantidad de aminoácidos de la proteína.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Puede variar entre clases, pero no es información específica de localización.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peso_molecular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Masa molecular total, en Da.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Correlacionado con longitud.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punto_isoelectrico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pH al cual la carga neta de la proteína es cero.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Proteínas nucleares suelen ser algo más básicas (más K/R) por la interacción con ADN.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hidrofobicidad_promedio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Promedio de la escala de Kyte-Doolittle (GRAVY) sobre toda la secuencia.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Candidato más fuerte para separar Membrana del resto.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aromaticidad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Proporción de aminoácidos aromáticos (F, W, Y).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Señal secundaria, poco discriminante en general.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indice_inestabilidad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Estimador de estabilidad in vitro (Guruprasad et al., 1990); &gt;40 sugiere inestable.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No tiene relación directa esperada con localización.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carga_neta_pH7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Carga eléctrica neta a pH fisiológico, según pKa de K, R, H, D, E.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Puede acompañar a punto_isoelectrico como señal de Núcleo.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fraccion_helice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Fracción de aminoácidos asociados a hélice alfa.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Las proteínas de membrana suelen tener tramos en hélice alfa transmembrana.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fraccion_turn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Fracción de aminoácidos asociados a giros (turns).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Señal débil en general.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fraccion_hoja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Fracción de aminoácidos asociados a hoja beta.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Señal débil en general, salvo en proteínas de membrana tipo barril beta.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Nota: la columna "Relevancia esperada" es una hipótesis razonada, no un resultado confirmado con este dataset — vale la pena contrastarla con lo que el widget Rank de Orange muestre en la práctica (ver Extensiones opcionales).</w:t>
      </w:r>
    </w:p>
    <w:p>
      <w:pPr>
        <w:pStyle w:val="Heading1"/>
        <w:rPr/>
      </w:pPr>
      <w:r>
        <w:rPr/>
        <w:t>Agenda de la clase (4 horas)</w:t>
      </w:r>
    </w:p>
    <w:tbl>
      <w:tblPr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000"/>
        <w:gridCol w:w="1600"/>
        <w:gridCol w:w="4549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Bloque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Contenido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 Introducción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-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Contexto del problema, dataset, y organización de la clase.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 Exploración de datos con IA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70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Python (notebook)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 gráficos exploratorios generados con ayuda de IA.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2. Clasificación: bag de aminoácidos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Orange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features_composicion_fisicoquimicos.csv, 3 modelos.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3. Clasificación: dipéptidos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Orange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features_dipeptidos_fisicoquimicos.csv, 3 modelos.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4. Comparación final y discusión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60 min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Informe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Tabla comparativa, análisis de errores, discusión.</w:t>
            </w:r>
          </w:p>
        </w:tc>
      </w:tr>
    </w:tbl>
    <w:p>
      <w:pPr>
        <w:pStyle w:val="Heading1"/>
        <w:rPr/>
      </w:pPr>
      <w:r>
        <w:rPr/>
        <w:t>Resultados esperados (y por qué)</w:t>
      </w:r>
    </w:p>
    <w:p>
      <w:pPr>
        <w:pStyle w:val="Normal"/>
        <w:rPr/>
      </w:pPr>
      <w:r>
        <w:rPr/>
        <w:t>Este es el punto más importante de esta guía. Con este dataset y estas representaciones, es esperable — y deseable pedagógicamente — que los dipéptidos NO mejoren respecto a la composición simple, e incluso que empeoren levemente. No es un error del práctico ni algo que haya que "arreglar": es el resultado que motiva la discusión más rica de la clase.</w:t>
      </w:r>
    </w:p>
    <w:p>
      <w:pPr>
        <w:pStyle w:val="Normal"/>
        <w:rPr/>
      </w:pPr>
      <w:r>
        <w:rPr>
          <w:b/>
          <w:bCs/>
        </w:rPr>
        <w:t>Por qué pasa esto:</w:t>
      </w:r>
    </w:p>
    <w:p>
      <w:pPr>
        <w:pStyle w:val="ListParagraph"/>
        <w:numPr>
          <w:ilvl w:val="0"/>
          <w:numId w:val="2"/>
        </w:numPr>
        <w:rPr/>
      </w:pPr>
      <w:r>
        <w:rPr/>
        <w:t>Curse of dimensionality: ~250 proteínas contra ~410 features de la representación de dipéptidos (bastante menos por fold de cross-validation). Cuando el número de features se acerca al número de muestras, los modelos tienden a sobreajustar.</w:t>
      </w:r>
    </w:p>
    <w:p>
      <w:pPr>
        <w:pStyle w:val="ListParagraph"/>
        <w:numPr>
          <w:ilvl w:val="0"/>
          <w:numId w:val="2"/>
        </w:numPr>
        <w:rPr/>
      </w:pPr>
      <w:r>
        <w:rPr/>
        <w:t>Cada frecuencia de dipéptido es una estimación ruidosa: una proteína de 150 aminoácidos tiene 149 pares repartidos entre 400 categorías posibles, muchas con 0-2 conteos.</w:t>
      </w:r>
    </w:p>
    <w:p>
      <w:pPr>
        <w:pStyle w:val="ListParagraph"/>
        <w:numPr>
          <w:ilvl w:val="0"/>
          <w:numId w:val="2"/>
        </w:numPr>
        <w:rPr/>
      </w:pPr>
      <w:r>
        <w:rPr/>
        <w:t>Más profundo aún: ni reduciendo la dimensionalidad (selección de features, agrupar aminoácidos en un alfabeto reducido) ni agregando composición del extremo N-terminal se logró superar a la composición simple en nuestras pruebas. Esto sugiere que el techo no está en el tamaño de la representación sino en que NINGUNA representación de tipo bag/conteo (por más chica o más grande que sea) codifica POSICIÓN. Lo que distingue biológicamente a Núcleo de Citoplasma es sobre todo una señal de localización nuclear (NLS) — un motivo corto en una posición específica — y eso se pierde en cualquier variante de "bolsa de fragmentos", conserve 20, 36 o 400 categorías.</w:t>
      </w:r>
    </w:p>
    <w:p>
      <w:pPr>
        <w:pStyle w:val="ListParagraph"/>
        <w:numPr>
          <w:ilvl w:val="0"/>
          <w:numId w:val="2"/>
        </w:numPr>
        <w:rPr/>
      </w:pPr>
      <w:r>
        <w:rPr/>
        <w:t>Membrana debería ser la clase más fácil de clasificar en ambas representaciones: la hidrofobicidad promedio es una señal fuerte y casi linealmente separable.</w:t>
      </w:r>
    </w:p>
    <w:p>
      <w:pPr>
        <w:pStyle w:val="ListParagraph"/>
        <w:numPr>
          <w:ilvl w:val="0"/>
          <w:numId w:val="2"/>
        </w:numPr>
        <w:rPr/>
      </w:pPr>
      <w:r>
        <w:rPr/>
        <w:t>Núcleo vs. Citoplasma va a ser el par que más se confunda, por la razón anterior (NLS no capturable sin posición).</w:t>
      </w:r>
    </w:p>
    <w:p>
      <w:pPr>
        <w:pStyle w:val="Normal"/>
        <w:rPr/>
      </w:pPr>
      <w:r>
        <w:rPr/>
        <w:t>Si algún grupo obtiene una mejora marginal con dipéptidos, no lo traten como un error — puede pasar por azar en la partición de cross-validation con datasets chicos. Vale la pena discutirlo igual: ¿la mejora es grande y consistente, o está dentro del ruido esperable para este tamaño de dataset?</w:t>
      </w:r>
    </w:p>
    <w:p>
      <w:pPr>
        <w:pStyle w:val="Heading1"/>
        <w:rPr/>
      </w:pPr>
      <w:r>
        <w:rPr/>
        <w:t>Guía de discusión (Bloque 4)</w:t>
      </w:r>
    </w:p>
    <w:p>
      <w:pPr>
        <w:pStyle w:val="Normal"/>
        <w:rPr/>
      </w:pPr>
      <w:r>
        <w:rPr/>
        <w:t>Estas son las mismas preguntas que tienen los alumnos en su guía, con notas para orientar la discusión:</w:t>
      </w:r>
    </w:p>
    <w:p>
      <w:pPr>
        <w:pStyle w:val="ListParagraph"/>
        <w:numPr>
          <w:ilvl w:val="0"/>
          <w:numId w:val="7"/>
        </w:numPr>
        <w:rPr/>
      </w:pPr>
      <w:r>
        <w:rPr/>
        <w:t>¿Qué representación tuvo mejor desempeño? — Esperable: composición ≥ dipéptidos. Si a algún grupo le da lo contrario, pedirles que muestren la magnitud de la diferencia.</w:t>
      </w:r>
    </w:p>
    <w:p>
      <w:pPr>
        <w:pStyle w:val="ListParagraph"/>
        <w:numPr>
          <w:ilvl w:val="0"/>
          <w:numId w:val="3"/>
        </w:numPr>
        <w:rPr/>
      </w:pPr>
      <w:r>
        <w:rPr/>
        <w:t>¿Más features garantiza mejor desempeño? — No; con pocas muestras, más features generalmente sobreajusta. Es el punto central de la clase.</w:t>
      </w:r>
    </w:p>
    <w:p>
      <w:pPr>
        <w:pStyle w:val="ListParagraph"/>
        <w:numPr>
          <w:ilvl w:val="0"/>
          <w:numId w:val="3"/>
        </w:numPr>
        <w:rPr/>
      </w:pPr>
      <w:r>
        <w:rPr/>
        <w:t>¿Qué clases se confunden más? — Esperable: Núcleo/Citoplasma. Conectar con la explicación de NLS y falta de información posicional.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Proteínas mal clasificadas. </w:t>
      </w:r>
      <w:r>
        <w:rPr/>
        <w:t>B</w:t>
      </w:r>
      <w:r>
        <w:rPr/>
        <w:t xml:space="preserve">uscar </w:t>
      </w:r>
      <w:r>
        <w:rPr/>
        <w:t>ejemplos mediante la matriz de confusión y un scatterplot. ¿Tine sentido que el modelo se equivoque?</w:t>
      </w:r>
    </w:p>
    <w:p>
      <w:pPr>
        <w:pStyle w:val="ListParagraph"/>
        <w:numPr>
          <w:ilvl w:val="0"/>
          <w:numId w:val="3"/>
        </w:numPr>
        <w:rPr/>
      </w:pPr>
      <w:r>
        <w:rPr/>
        <w:t>Qué información se pierde — la posición de motivos/señales de localización dentro de la secuencia.</w:t>
      </w:r>
    </w:p>
    <w:p>
      <w:pPr>
        <w:pStyle w:val="ListParagraph"/>
        <w:numPr>
          <w:ilvl w:val="0"/>
          <w:numId w:val="3"/>
        </w:numPr>
        <w:rPr/>
      </w:pPr>
      <w:r>
        <w:rPr/>
        <w:t>Qué representación propondrían — no hay una respuesta única; buena oportunidad para mencionar (sin necesariamente implementarlo) one-hot encoding + CNN, que sí preserva la secuencia completa y es el camino natural para superar este techo. Ver sección de extensiones más abajo.</w:t>
      </w:r>
    </w:p>
    <w:p>
      <w:pPr>
        <w:pStyle w:val="Heading1"/>
        <w:rPr/>
      </w:pPr>
      <w:r>
        <w:rPr/>
        <w:t>Troubleshooting</w:t>
      </w:r>
    </w:p>
    <w:p>
      <w:pPr>
        <w:pStyle w:val="ListParagraph"/>
        <w:numPr>
          <w:ilvl w:val="0"/>
          <w:numId w:val="2"/>
        </w:numPr>
        <w:rPr/>
      </w:pPr>
      <w:r>
        <w:rPr/>
        <w:t>Un widget no carga al abrir el .ows ("missing widget"): suele deberse a diferencias de nombre entre versiones de Orange. Borrar el nodo faltante y arrastrar el mismo widget por nombre desde el panel izquierdo, y reconectar manualmente los cables que quedaron sueltos.</w:t>
      </w:r>
    </w:p>
    <w:p>
      <w:pPr>
        <w:pStyle w:val="ListParagraph"/>
        <w:numPr>
          <w:ilvl w:val="0"/>
          <w:numId w:val="2"/>
        </w:numPr>
        <w:rPr/>
      </w:pPr>
      <w:r>
        <w:rPr/>
        <w:t>Un grupo no logra que la IA les genere un gráfico que corra: pedirles que le muestren a la IA el traceback completo del error; si persiste, mostrar el gráfico ya resuelto en exploracion_docentes_completa.ipynb como referencia rápida.</w:t>
      </w:r>
    </w:p>
    <w:p>
      <w:pPr>
        <w:pStyle w:val="ListParagraph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3</Pages>
  <Words>1240</Words>
  <Characters>7014</Characters>
  <CharactersWithSpaces>8145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2026-08-27T15:02:19Z</dcterms:created>
  <dc:creator>Un-named</dc:creator>
  <dc:description/>
  <dc:language>en-US</dc:language>
  <cp:lastModifiedBy/>
  <dcterms:modified xsi:type="dcterms:W3CDTF">2026-08-27T12:17:36Z</dcterms:modified>
  <cp:revision>2</cp:revision>
  <dc:subject/>
  <dc:title/>
</cp:coreProperties>
</file>