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/>
        <w:t>Guía del práctico — Alumnos</w:t>
      </w:r>
    </w:p>
    <w:p>
      <w:pPr>
        <w:pStyle w:val="Heading2"/>
        <w:rPr/>
      </w:pPr>
      <w:r>
        <w:rPr/>
        <w:t>Predicción de localización subcelular de proteínas a partir de su secuencia</w:t>
      </w:r>
    </w:p>
    <w:p>
      <w:pPr>
        <w:pStyle w:val="Heading1"/>
        <w:rPr/>
      </w:pPr>
      <w:r>
        <w:rPr/>
        <w:t>El problema</w:t>
      </w:r>
    </w:p>
    <w:p>
      <w:pPr>
        <w:pStyle w:val="Normal"/>
        <w:rPr/>
      </w:pPr>
      <w:r>
        <w:rPr/>
        <w:t>¿Es posible predecir la localización subcelular de una proteína (núcleo, citoplasma o membrana) a partir de su secuencia de aminoácidos? Vamos a construir y comparar distintas formas de representar numéricamente una secuencia, entrenar modelos de clasificación sobre cada una, y discutir qué se gana y qué se pierde en cada representación.</w:t>
      </w:r>
    </w:p>
    <w:p>
      <w:pPr>
        <w:pStyle w:val="Heading1"/>
        <w:rPr/>
      </w:pPr>
      <w:r>
        <w:rPr/>
        <w:t>El dataset</w:t>
      </w:r>
    </w:p>
    <w:p>
      <w:pPr>
        <w:pStyle w:val="ListParagraph"/>
        <w:numPr>
          <w:ilvl w:val="0"/>
          <w:numId w:val="6"/>
        </w:numPr>
        <w:rPr/>
      </w:pPr>
      <w:r>
        <w:rPr/>
        <w:t>Fuente: UniProt (Swiss-Prot, entradas revisadas), proteínas humanas.</w:t>
      </w:r>
    </w:p>
    <w:p>
      <w:pPr>
        <w:pStyle w:val="ListParagraph"/>
        <w:numPr>
          <w:ilvl w:val="0"/>
          <w:numId w:val="1"/>
        </w:numPr>
        <w:rPr/>
      </w:pPr>
      <w:r>
        <w:rPr/>
        <w:t>3 clases mutuamente excluyentes: Nucleus, Cytoplasm, Membrane.</w:t>
      </w:r>
    </w:p>
    <w:p>
      <w:pPr>
        <w:pStyle w:val="ListParagraph"/>
        <w:numPr>
          <w:ilvl w:val="0"/>
          <w:numId w:val="1"/>
        </w:numPr>
        <w:rPr/>
      </w:pPr>
      <w:r>
        <w:t>750 proteínas en total (250 por clase), con evidencia experimental a nivel de proteína, balanceadas entre clases.</w:t>
      </w:r>
    </w:p>
    <w:p>
      <w:pPr>
        <w:pStyle w:val="ListParagraph"/>
        <w:numPr>
          <w:ilvl w:val="0"/>
          <w:numId w:val="1"/>
        </w:numPr>
        <w:rPr/>
      </w:pPr>
      <w:r>
        <w:rPr/>
        <w:t>Longitud entre 50 y 500 aminoácidos.</w:t>
      </w:r>
    </w:p>
    <w:p>
      <w:pPr>
        <w:pStyle w:val="ListParagraph"/>
        <w:numPr>
          <w:ilvl w:val="0"/>
          <w:numId w:val="1"/>
        </w:numPr>
        <w:rPr/>
      </w:pPr>
      <w:r>
        <w:t>Solo entradas revisadas con evidencia experimental (UniProt existence:1); se descartan secuencias con residuos no estándar.</w:t>
      </w:r>
    </w:p>
    <w:p>
      <w:pPr>
        <w:pStyle w:val="Heading1"/>
        <w:rPr/>
      </w:pPr>
      <w:r>
        <w:t>Referencia: los features fisicoquímicos (13)</w:t>
      </w:r>
    </w:p>
    <w:p>
      <w:pPr>
        <w:pStyle w:val="Normal"/>
        <w:rPr/>
      </w:pPr>
      <w:r>
        <w:t>Los tres CSV incluyen, además de la composición/dipéptidos/señales, estas 13 columnas calculadas a partir de la secuencia completa con Biopython (ProteinAnalysis):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49"/>
      </w:tblGrid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Columna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Qué mide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longitud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Cantidad de aminoácidos de la proteína.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peso_molecular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Masa molecular total, en Da (suma de las masas de cada aminoácido, menos el agua perdida en cada enlace peptídico).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punto_isoelectrico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 al cual la carga neta de la proteína es cero.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hidrofobicidad_promedio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Promedio de la escala de hidrofobicidad de Kyte-Doolittle sobre toda la secuencia (GRAVY). Valores altos = más hidrofóbica.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aromaticidad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Proporción de aminoácidos aromáticos (F, W, Y) en la secuencia.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indice_inestabilidad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Estimador de si la proteína sería estable in vitro; valores por encima de 40 sugieren inestabilidad.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carga_neta_pH7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Carga eléctrica neta estimada a pH fisiológico (7.0), a partir de los aminoácidos ionizables (K, R, H, D, E).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fraccion_helice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hélice alfa.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fraccion_turn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giros (turns).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fraccion_hoja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hoja beta.</w:t>
            </w:r>
          </w:p>
        </w:tc>
      </w:tr>
      <w:tr>
        <w:tc>
          <w:tcPr>
            <w:tcW w:type="dxa" w:w="2600"/>
          </w:tcPr>
          <w:p>
            <w:r>
              <w:t>indice_alifatico</w:t>
            </w:r>
          </w:p>
        </w:tc>
        <w:tc>
          <w:tcPr>
            <w:tcW w:type="dxa" w:w="6749"/>
          </w:tcPr>
          <w:p>
            <w:r>
              <w:t>Índice alifático (Ikai, 1980): termoestabilidad relativa; alto = rico en A, V, I y L.</w:t>
            </w:r>
          </w:p>
        </w:tc>
      </w:tr>
      <w:tr>
        <w:tc>
          <w:tcPr>
            <w:tcW w:type="dxa" w:w="2600"/>
          </w:tcPr>
          <w:p>
            <w:r>
              <w:t>fraccion_cargados</w:t>
            </w:r>
          </w:p>
        </w:tc>
        <w:tc>
          <w:tcPr>
            <w:tcW w:type="dxa" w:w="6749"/>
          </w:tcPr>
          <w:p>
            <w:r>
              <w:t>Fracción de aminoácidos con carga (K, R, H, D, E).</w:t>
            </w:r>
          </w:p>
        </w:tc>
      </w:tr>
      <w:tr>
        <w:tc>
          <w:tcPr>
            <w:tcW w:type="dxa" w:w="2600"/>
          </w:tcPr>
          <w:p>
            <w:r>
              <w:t>coef_extincion_molar</w:t>
            </w:r>
          </w:p>
        </w:tc>
        <w:tc>
          <w:tcPr>
            <w:tcW w:type="dxa" w:w="6749"/>
          </w:tcPr>
          <w:p>
            <w:r>
              <w:t>Coeficiente de extinción molar a 280 nm (aporte de C, Y, W).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Estos son justamente los features que en una versión anterior del práctico se le pedían a un asistente de IA que calculara en vivo — ahora vienen ya resueltos en el CSV, así que no hace falta recalcularlos.</w:t>
      </w:r>
    </w:p>
    <w:p>
      <w:pPr>
        <w:pStyle w:val="Heading1"/>
        <w:rPr/>
      </w:pPr>
      <w:r>
        <w:t>Referencia: las señales posicionales (11)</w:t>
      </w:r>
    </w:p>
    <w:p>
      <w:pPr>
        <w:pStyle w:val="Normal"/>
        <w:rPr/>
      </w:pPr>
      <w:r>
        <w:t>El tercer CSV agrega 11 columnas calculadas con heurísticas simples y transparentes. NO son predictores entrenados: sirven para discutir qué información aporta la posición de un motivo biológico.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Columna</w:t>
            </w:r>
          </w:p>
        </w:tc>
        <w:tc>
          <w:tcPr>
            <w:tcW w:type="dxa" w:w="4680"/>
          </w:tcPr>
          <w:p>
            <w:r>
              <w:t>Qué mide</w:t>
            </w:r>
          </w:p>
        </w:tc>
      </w:tr>
      <w:tr>
        <w:tc>
          <w:tcPr>
            <w:tcW w:type="dxa" w:w="4680"/>
          </w:tcPr>
          <w:p>
            <w:r>
              <w:t>senal_peptido</w:t>
            </w:r>
          </w:p>
        </w:tc>
        <w:tc>
          <w:tcPr>
            <w:tcW w:type="dxa" w:w="4680"/>
          </w:tcPr>
          <w:p>
            <w:r>
              <w:t>1 si se detecta péptido señal N-terminal (región básica + tramo hidrofóbico); 0 si no.</w:t>
            </w:r>
          </w:p>
        </w:tc>
      </w:tr>
      <w:tr>
        <w:tc>
          <w:tcPr>
            <w:tcW w:type="dxa" w:w="4680"/>
          </w:tcPr>
          <w:p>
            <w:r>
              <w:t>senal_hidrofobicidad_max</w:t>
            </w:r>
          </w:p>
        </w:tc>
        <w:tc>
          <w:tcPr>
            <w:tcW w:type="dxa" w:w="4680"/>
          </w:tcPr>
          <w:p>
            <w:r>
              <w:t>Hidrofobicidad media máxima (Kyte-Doolittle) en ventanas de 9 residuos del N-terminal.</w:t>
            </w:r>
          </w:p>
        </w:tc>
      </w:tr>
      <w:tr>
        <w:tc>
          <w:tcPr>
            <w:tcW w:type="dxa" w:w="4680"/>
          </w:tcPr>
          <w:p>
            <w:r>
              <w:t>senal_n_basicos</w:t>
            </w:r>
          </w:p>
        </w:tc>
        <w:tc>
          <w:tcPr>
            <w:tcW w:type="dxa" w:w="4680"/>
          </w:tcPr>
          <w:p>
            <w:r>
              <w:t>Cantidad de K/R en los primeros 5 residuos (región n).</w:t>
            </w:r>
          </w:p>
        </w:tc>
      </w:tr>
      <w:tr>
        <w:tc>
          <w:tcPr>
            <w:tcW w:type="dxa" w:w="4680"/>
          </w:tcPr>
          <w:p>
            <w:r>
              <w:t>nls_monopartita</w:t>
            </w:r>
          </w:p>
        </w:tc>
        <w:tc>
          <w:tcPr>
            <w:tcW w:type="dxa" w:w="4680"/>
          </w:tcPr>
          <w:p>
            <w:r>
              <w:t>Nº de motivos K(K/R)X(K/R) (NLS clásico monopartita).</w:t>
            </w:r>
          </w:p>
        </w:tc>
      </w:tr>
      <w:tr>
        <w:tc>
          <w:tcPr>
            <w:tcW w:type="dxa" w:w="4680"/>
          </w:tcPr>
          <w:p>
            <w:r>
              <w:t>nls_bipartita</w:t>
            </w:r>
          </w:p>
        </w:tc>
        <w:tc>
          <w:tcPr>
            <w:tcW w:type="dxa" w:w="4680"/>
          </w:tcPr>
          <w:p>
            <w:r>
              <w:t>Nº de NLS bipartitos (dos clusters básicos separados por ~10 residuos).</w:t>
            </w:r>
          </w:p>
        </w:tc>
      </w:tr>
      <w:tr>
        <w:tc>
          <w:tcPr>
            <w:tcW w:type="dxa" w:w="4680"/>
          </w:tcPr>
          <w:p>
            <w:r>
              <w:t>nls_densidad_basica_10</w:t>
            </w:r>
          </w:p>
        </w:tc>
        <w:tc>
          <w:tcPr>
            <w:tcW w:type="dxa" w:w="4680"/>
          </w:tcPr>
          <w:p>
            <w:r>
              <w:t>Máxima fracción de K/R en una ventana de 10 residuos.</w:t>
            </w:r>
          </w:p>
        </w:tc>
      </w:tr>
      <w:tr>
        <w:tc>
          <w:tcPr>
            <w:tcW w:type="dxa" w:w="4680"/>
          </w:tcPr>
          <w:p>
            <w:r>
              <w:t>nls_densidad_basica_7</w:t>
            </w:r>
          </w:p>
        </w:tc>
        <w:tc>
          <w:tcPr>
            <w:tcW w:type="dxa" w:w="4680"/>
          </w:tcPr>
          <w:p>
            <w:r>
              <w:t>Máxima fracción de K/R en una ventana de 7 residuos.</w:t>
            </w:r>
          </w:p>
        </w:tc>
      </w:tr>
      <w:tr>
        <w:tc>
          <w:tcPr>
            <w:tcW w:type="dxa" w:w="4680"/>
          </w:tcPr>
          <w:p>
            <w:r>
              <w:t>nls_carga_neta_nterm20</w:t>
            </w:r>
          </w:p>
        </w:tc>
        <w:tc>
          <w:tcPr>
            <w:tcW w:type="dxa" w:w="4680"/>
          </w:tcPr>
          <w:p>
            <w:r>
              <w:t>Carga neta (K+R − D−E) en los primeros 20 residuos.</w:t>
            </w:r>
          </w:p>
        </w:tc>
      </w:tr>
      <w:tr>
        <w:tc>
          <w:tcPr>
            <w:tcW w:type="dxa" w:w="4680"/>
          </w:tcPr>
          <w:p>
            <w:r>
              <w:t>tmd_alfa_helices</w:t>
            </w:r>
          </w:p>
        </w:tc>
        <w:tc>
          <w:tcPr>
            <w:tcW w:type="dxa" w:w="4680"/>
          </w:tcPr>
          <w:p>
            <w:r>
              <w:t>Nº de TMD alfa-hélice aproximados (ventanas de 19 residuos con hidrofobicidad media &gt; 1.6).</w:t>
            </w:r>
          </w:p>
        </w:tc>
      </w:tr>
      <w:tr>
        <w:tc>
          <w:tcPr>
            <w:tcW w:type="dxa" w:w="4680"/>
          </w:tcPr>
          <w:p>
            <w:r>
              <w:t>tmd_alfa_hidrofobicidad_max</w:t>
            </w:r>
          </w:p>
        </w:tc>
        <w:tc>
          <w:tcPr>
            <w:tcW w:type="dxa" w:w="4680"/>
          </w:tcPr>
          <w:p>
            <w:r>
              <w:t>Hidrofobicidad media máxima en una ventana de 19 residuos.</w:t>
            </w:r>
          </w:p>
        </w:tc>
      </w:tr>
      <w:tr>
        <w:tc>
          <w:tcPr>
            <w:tcW w:type="dxa" w:w="4680"/>
          </w:tcPr>
          <w:p>
            <w:r>
              <w:t>tmd_beta_momento_hidrofobico</w:t>
            </w:r>
          </w:p>
        </w:tc>
        <w:tc>
          <w:tcPr>
            <w:tcW w:type="dxa" w:w="4680"/>
          </w:tcPr>
          <w:p>
            <w:r>
              <w:t>Momento hidrofóbico de Eisenberg con periodicidad beta (160°); exploratorio.</w:t>
            </w:r>
          </w:p>
        </w:tc>
      </w:tr>
    </w:tbl>
    <w:p>
      <w:pPr>
        <w:pStyle w:val="Normal"/>
        <w:rPr/>
      </w:pPr>
      <w:r>
        <w:t>Limitación importante: estas señales son heurísticas simples, no predictores entrenados. El detector de péptido señal se solapa con anclas de membrana, y el descriptor beta no alcanza porque los beta-barriles de membrana son raros en proteínas humanas. Para una predicción real hay que usar SignalP/DeepSig (péptido señal), DeepTMHMM/TMbed (TMD) y DeepLoc (localización).</w:t>
      </w:r>
    </w:p>
    <w:p>
      <w:pPr>
        <w:pStyle w:val="Heading1"/>
        <w:rPr/>
      </w:pPr>
      <w:r>
        <w:rPr/>
        <w:t>Materiales que van a recibir</w:t>
      </w:r>
    </w:p>
    <w:p>
      <w:pPr>
        <w:pStyle w:val="ListParagraph"/>
        <w:numPr>
          <w:ilvl w:val="0"/>
          <w:numId w:val="1"/>
        </w:numPr>
        <w:rPr/>
      </w:pPr>
      <w:r>
        <w:t>features_composicion_fisicoquimicos.csv — cada proteína representada por la composición de sus 20 aminoácidos (bag of aminoácidos) + 13 features fisicoquímicos globales.</w:t>
      </w:r>
    </w:p>
    <w:p>
      <w:pPr>
        <w:pStyle w:val="ListParagraph"/>
        <w:numPr>
          <w:ilvl w:val="0"/>
          <w:numId w:val="1"/>
        </w:numPr>
        <w:rPr/>
      </w:pPr>
      <w:r>
        <w:t>features_dipeptidos_fisicoquimicos.csv — cada proteína representada por la frecuencia de sus 400 dipéptidos posibles + los mismos 13 features fisicoquímicos.</w:t>
      </w:r>
    </w:p>
    <w:p>
      <w:pPr>
        <w:pStyle w:val="ListParagraph"/>
        <w:numPr>
          <w:ilvl w:val="0"/>
          <w:numId w:val="1"/>
        </w:numPr>
        <w:rPr/>
      </w:pPr>
      <w:r>
        <w:t>features_composicion_senales_fisicoquimicos.csv — composición + 13 fisicoquímicos + 11 señales posicionales (péptido señal, NLS, TMD). Es la representación que suele rendir mejor.</w:t>
      </w:r>
    </w:p>
    <w:p>
      <w:pPr>
        <w:pStyle w:val="ListParagraph"/>
        <w:numPr>
          <w:ilvl w:val="0"/>
          <w:numId w:val="1"/>
        </w:numPr>
        <w:rPr/>
      </w:pPr>
      <w:r>
        <w:rPr/>
        <w:t>exploracion_alumnos.ipynb — notebook para el Bloque 1.</w:t>
      </w:r>
    </w:p>
    <w:p>
      <w:pPr>
        <w:pStyle w:val="ListParagraph"/>
        <w:numPr>
          <w:ilvl w:val="0"/>
          <w:numId w:val="1"/>
        </w:numPr>
        <w:rPr/>
      </w:pPr>
      <w:r>
        <w:t>bag_of_aminoacidos.ows, dipeptidos.ows y senales_posicionales.ows — workflows de Orange ya armados para los Bloques 2, 3 y 4.</w:t>
      </w:r>
    </w:p>
    <w:p>
      <w:pPr>
        <w:pStyle w:val="Normal"/>
        <w:rPr/>
      </w:pPr>
      <w:r>
        <w:t>Los tres CSV incluyen columnas accession y sequence al principio — sirven para identificar cada proteína, pero no son features. Al cargarlos en Orange, márquenlas como meta en el editor de dominio del widget File.</w:t>
      </w:r>
    </w:p>
    <w:p>
      <w:pPr>
        <w:pStyle w:val="Heading1"/>
        <w:rPr/>
      </w:pPr>
      <w:r>
        <w:rPr/>
        <w:t>Agenda de la clase (4 horas)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000"/>
        <w:gridCol w:w="1600"/>
        <w:gridCol w:w="454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r>
              <w:t>Bloque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r>
              <w:t>Duración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r>
              <w:t>Herramienta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r>
              <w:t>Contenido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 Introducción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Contexto del problema, dataset, y organización de la clase.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Exploración de datos con IA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Python (notebook)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Generar y analizar 6 gráficos exploratorios, con ayuda de un asistente de IA.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Clasificación: bag de aminoácidos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Orange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Cargar features_composicion_fisicoquimicos.csv y comparar 3 modelos.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Clasificación: dipéptidos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Orange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Cargar features_dipeptidos_fisicoquimicos.csv y comparar contra el Bloque 2.</w:t>
            </w:r>
          </w:p>
        </w:tc>
      </w:tr>
      <w:tr>
        <w:tc>
          <w:tcPr>
            <w:tcW w:type="dxa" w:w="2200"/>
          </w:tcPr>
          <w:p>
            <w:r>
              <w:t>4. Clasificación: señales posicionales</w:t>
            </w:r>
          </w:p>
        </w:tc>
        <w:tc>
          <w:tcPr>
            <w:tcW w:type="dxa" w:w="1000"/>
          </w:tcPr>
          <w:p>
            <w:r>
              <w:t>40 min</w:t>
            </w:r>
          </w:p>
        </w:tc>
        <w:tc>
          <w:tcPr>
            <w:tcW w:type="dxa" w:w="1600"/>
          </w:tcPr>
          <w:p>
            <w:r>
              <w:t>Orange</w:t>
            </w:r>
          </w:p>
        </w:tc>
        <w:tc>
          <w:tcPr>
            <w:tcW w:type="dxa" w:w="4549"/>
          </w:tcPr>
          <w:p>
            <w:r>
              <w:t>Cargar features_composicion_senales_fisicoquimicos.csv y usar Rank.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Overfitting y curse of dimensionality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Notebook/script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Sección 7 del notebook: comparar un Random Forest sin límites con uno regularizado. Números completos en data/03_experimentos.py.</w:t>
            </w:r>
          </w:p>
        </w:tc>
      </w:tr>
      <w:tr>
        <w:tc>
          <w:tcPr>
            <w:tcW w:type="dxa" w:w="2200"/>
          </w:tcPr>
          <w:p>
            <w:r>
              <w:t>6. Comparación final y discusión</w:t>
            </w:r>
          </w:p>
        </w:tc>
        <w:tc>
          <w:tcPr>
            <w:tcW w:type="dxa" w:w="1000"/>
          </w:tcPr>
          <w:p>
            <w:r>
              <w:t>30 min</w:t>
            </w:r>
          </w:p>
        </w:tc>
        <w:tc>
          <w:tcPr>
            <w:tcW w:type="dxa" w:w="1600"/>
          </w:tcPr>
          <w:p>
            <w:r>
              <w:t>Informe</w:t>
            </w:r>
          </w:p>
        </w:tc>
        <w:tc>
          <w:tcPr>
            <w:tcW w:type="dxa" w:w="4549"/>
          </w:tcPr>
          <w:p>
            <w:r>
              <w:t>Tabla comparativa, análisis de errores y preguntas de discusión.</w:t>
            </w:r>
          </w:p>
        </w:tc>
      </w:tr>
    </w:tbl>
    <w:p>
      <w:pPr>
        <w:pStyle w:val="Heading1"/>
        <w:rPr/>
      </w:pPr>
      <w:r>
        <w:rPr/>
        <w:t>Bloque 1 — Exploración de datos con IA</w:t>
      </w:r>
    </w:p>
    <w:p>
      <w:pPr>
        <w:pStyle w:val="Normal"/>
        <w:rPr/>
      </w:pPr>
      <w:r>
        <w:t>Abran exploracion_alumnos.ipynb. Para cada uno de los 6 gráficos propuestos (balance de clases, longitud por clase, composición aminoacídica por clase, features fisicoquímicos por clase, dipéptidos más variables entre clases, señales posicionales por clase):</w:t>
      </w:r>
    </w:p>
    <w:p>
      <w:pPr>
        <w:pStyle w:val="ListParagraph"/>
        <w:numPr>
          <w:ilvl w:val="0"/>
          <w:numId w:val="7"/>
        </w:numPr>
        <w:rPr/>
      </w:pPr>
      <w:r>
        <w:rPr/>
        <w:t>Lean el prompt sugerido (está en la celda de markdown, arriba de la celda de código).</w:t>
      </w:r>
    </w:p>
    <w:p>
      <w:pPr>
        <w:pStyle w:val="ListParagraph"/>
        <w:numPr>
          <w:ilvl w:val="0"/>
          <w:numId w:val="2"/>
        </w:numPr>
        <w:rPr/>
      </w:pPr>
      <w:r>
        <w:rPr/>
        <w:t>Péguenlo en un asistente de IA (Claude, ChatGPT, el que prefieran) y pidan el código.</w:t>
      </w:r>
    </w:p>
    <w:p>
      <w:pPr>
        <w:pStyle w:val="ListParagraph"/>
        <w:numPr>
          <w:ilvl w:val="0"/>
          <w:numId w:val="2"/>
        </w:numPr>
        <w:rPr/>
      </w:pPr>
      <w:r>
        <w:rPr/>
        <w:t>Peguen el código en la celda vacía y ejecútenla.</w:t>
      </w:r>
    </w:p>
    <w:p>
      <w:pPr>
        <w:pStyle w:val="ListParagraph"/>
        <w:numPr>
          <w:ilvl w:val="0"/>
          <w:numId w:val="2"/>
        </w:numPr>
        <w:rPr/>
      </w:pPr>
      <w:r>
        <w:rPr/>
        <w:t>Si el código no corre a la primera, muéstrenle a la IA el mensaje de error exacto y pídanle que lo corrija — es una habilidad tan importante como pedir el código original.</w:t>
      </w:r>
    </w:p>
    <w:p>
      <w:pPr>
        <w:pStyle w:val="ListParagraph"/>
        <w:numPr>
          <w:ilvl w:val="0"/>
          <w:numId w:val="2"/>
        </w:numPr>
        <w:rPr/>
      </w:pPr>
      <w:r>
        <w:rPr/>
        <w:t>Completen la celda de interpretación con 1-2 líneas sobre lo que observan en el gráfico.</w:t>
      </w:r>
    </w:p>
    <w:p>
      <w:pPr>
        <w:pStyle w:val="Normal"/>
        <w:rPr/>
      </w:pPr>
      <w:r>
        <w:t>La última sección del notebook (nº 7, del Bloque 5) no es un gráfico exploratorio: compara un Random Forest sin límites con uno regularizado para ver el overfitting. Al final del notebook hay una síntesis para completar — guárdenla, la van a poder contrastar con los resultados reales del Bloque 6.</w:t>
      </w:r>
    </w:p>
    <w:p>
      <w:pPr>
        <w:pStyle w:val="Heading1"/>
        <w:rPr/>
      </w:pPr>
      <w:r>
        <w:t>Bloques 2, 3 y 4 — Clasificación en Orange</w:t>
      </w:r>
    </w:p>
    <w:p>
      <w:pPr>
        <w:pStyle w:val="Normal"/>
        <w:rPr/>
      </w:pPr>
      <w:r>
        <w:t>Los tres workflows (bag_of_aminoacidos.ows, dipeptidos.ows y senales_posicionales.ows) ya vienen armados con la misma estructura:</w:t>
      </w:r>
    </w:p>
    <w:p>
      <w:pPr>
        <w:pStyle w:val="Normal"/>
        <w:rPr/>
      </w:pPr>
      <w:r>
        <w:t>File → Logistic Regression / Random Forest / SVM → Test and Score → Confusion Matrix (el de señales agrega además el widget Rank)</w:t>
      </w:r>
    </w:p>
    <w:p>
      <w:pPr>
        <w:pStyle w:val="ListParagraph"/>
        <w:numPr>
          <w:ilvl w:val="0"/>
          <w:numId w:val="8"/>
        </w:numPr>
        <w:rPr/>
      </w:pPr>
      <w:r>
        <w:rPr/>
        <w:t>Abran el workflow correspondiente y hagan doble click en el widget File.</w:t>
      </w:r>
    </w:p>
    <w:p>
      <w:pPr>
        <w:pStyle w:val="ListParagraph"/>
        <w:numPr>
          <w:ilvl w:val="0"/>
          <w:numId w:val="3"/>
        </w:numPr>
        <w:rPr/>
      </w:pPr>
      <w:r>
        <w:rPr/>
        <w:t>Carguen el CSV indicado en la anotación del canvas. Marquen accession y sequence como meta, y verifiquen que localization quede como target (columna clase).</w:t>
      </w:r>
    </w:p>
    <w:p>
      <w:pPr>
        <w:pStyle w:val="ListParagraph"/>
        <w:numPr>
          <w:ilvl w:val="0"/>
          <w:numId w:val="3"/>
        </w:numPr>
        <w:rPr/>
      </w:pPr>
      <w:r>
        <w:rPr/>
        <w:t>Abran Test and Score: elijan validación cruzada (por ejemplo, 5-fold) y anoten el CA (accuracy) y F1 de cada uno de los 3 modelos.</w:t>
      </w:r>
    </w:p>
    <w:p>
      <w:pPr>
        <w:pStyle w:val="ListParagraph"/>
        <w:numPr>
          <w:ilvl w:val="0"/>
          <w:numId w:val="3"/>
        </w:numPr>
        <w:rPr/>
      </w:pPr>
      <w:r>
        <w:rPr/>
        <w:t>Abran Confusion Matrix e inspeccionen qué clases se confunden más entre sí. Hagan doble click en una celda de la matriz para ver qué proteínas puntuales se clasificaron mal.</w:t>
      </w:r>
    </w:p>
    <w:p>
      <w:pPr>
        <w:pStyle w:val="Normal"/>
        <w:rPr/>
      </w:pPr>
      <w:r>
        <w:t>Repitan el mismo procedimiento en el Bloque 3 con el otro workflow, y anoten los resultados para poder compararlos en el Bloque 6.</w:t>
      </w:r>
    </w:p>
    <w:p>
      <w:pPr>
        <w:pStyle w:val="Normal"/>
        <w:rPr/>
      </w:pPr>
      <w:r>
        <w:t>En el Bloque 4 (señales posicionales) sigan el mismo procedimiento con senales_posicionales.ows. Además del Test and Score, abran el widget Rank para ver qué features pesan más: esperable que tmd_alfa_* y senal_hidrofobicidad_max queden arriba.</w:t>
      </w:r>
    </w:p>
    <w:p>
      <w:pPr>
        <w:pStyle w:val="Heading1"/>
        <w:rPr/>
      </w:pPr>
      <w:r>
        <w:t>Bloque 6 — Comparación final y discusión</w:t>
      </w:r>
    </w:p>
    <w:p>
      <w:pPr>
        <w:pStyle w:val="Normal"/>
        <w:rPr/>
      </w:pPr>
      <w:r>
        <w:t>Armen una tabla comparando las tres representaciones: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0"/>
        <w:gridCol w:w="2000"/>
        <w:gridCol w:w="2000"/>
        <w:gridCol w:w="1999"/>
      </w:tblGrid>
      <w:tr>
        <w:trPr/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Representación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Nº de features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Mejor accuracy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Mejor F1</w:t>
            </w:r>
          </w:p>
        </w:tc>
      </w:tr>
      <w:tr>
        <w:trPr/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Composición + fisicoquímicos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Dipéptidos + fisicoquímicos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c>
          <w:tcPr>
            <w:tcW w:type="dxa" w:w="3350"/>
          </w:tcPr>
          <w:p>
            <w:r>
              <w:t>Composición + fisicoquímicos + señales</w:t>
            </w:r>
          </w:p>
        </w:tc>
        <w:tc>
          <w:tcPr>
            <w:tcW w:type="dxa" w:w="2000"/>
          </w:tcPr>
          <w:p>
            <w:r>
              <w:t>44</w:t>
            </w:r>
          </w:p>
        </w:tc>
        <w:tc>
          <w:tcPr>
            <w:tcW w:type="dxa" w:w="2000"/>
          </w:tcPr>
          <w:p>
            <w:r/>
          </w:p>
        </w:tc>
        <w:tc>
          <w:tcPr>
            <w:tcW w:type="dxa" w:w="1999"/>
          </w:tcPr>
          <w:p>
            <w:r/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t>Preguntas para reflexionar:</w:t>
      </w:r>
    </w:p>
    <w:p>
      <w:pPr>
        <w:pStyle w:val="ListParagraph"/>
        <w:numPr>
          <w:ilvl w:val="0"/>
          <w:numId w:val="9"/>
        </w:numPr>
        <w:rPr/>
      </w:pPr>
      <w:r>
        <w:rPr/>
        <w:t>¿Qué representación tuvo mejor desempeño? ¿El resultado coincide con lo que esperaban antes de correr los modelos?</w:t>
      </w:r>
    </w:p>
    <w:p>
      <w:pPr>
        <w:pStyle w:val="ListParagraph"/>
        <w:numPr>
          <w:ilvl w:val="0"/>
          <w:numId w:val="4"/>
        </w:numPr>
        <w:rPr/>
      </w:pPr>
      <w:r>
        <w:rPr/>
        <w:t>Los dipéptidos tienen muchas más features que la composición simple (400 vs. 20). ¿Más features garantiza mejor desempeño? Relacionen su respuesta con la cantidad de proteínas del dataset.</w:t>
      </w:r>
    </w:p>
    <w:p>
      <w:pPr>
        <w:pStyle w:val="ListParagraph"/>
        <w:numPr>
          <w:ilvl w:val="0"/>
          <w:numId w:val="4"/>
        </w:numPr>
        <w:rPr/>
      </w:pPr>
      <w:r>
        <w:rPr/>
        <w:t>¿Qué clase(s) se clasifican mejor? ¿Cuáles se confunden más entre sí? ¿Tiene sentido biológico esa confusión?</w:t>
      </w:r>
    </w:p>
    <w:p>
      <w:pPr>
        <w:pStyle w:val="ListParagraph"/>
        <w:numPr>
          <w:ilvl w:val="0"/>
          <w:numId w:val="4"/>
        </w:numPr>
        <w:rPr/>
      </w:pPr>
      <w:r>
        <w:rPr/>
        <w:t>Miren 3-4 proteínas mal clasificadas en la Confusion Matrix. ¿Hay algo en común entre ellas?</w:t>
      </w:r>
    </w:p>
    <w:p>
      <w:pPr>
        <w:pStyle w:val="ListParagraph"/>
        <w:numPr>
          <w:ilvl w:val="0"/>
          <w:numId w:val="4"/>
        </w:numPr>
        <w:rPr/>
      </w:pPr>
      <w:r>
        <w:rPr/>
        <w:t>La composición de aminoácidos y los dipéptidos ignoran (total o parcialmente) el orden exacto de la secuencia. ¿Qué tipo de información biológica relevante para la localización subcelular creen que se pierde con este tipo de representación?</w:t>
      </w:r>
    </w:p>
    <w:p>
      <w:pPr>
        <w:pStyle w:val="ListParagraph"/>
        <w:numPr>
          <w:ilvl w:val="0"/>
          <w:numId w:val="4"/>
        </w:numPr>
        <w:rPr/>
      </w:pPr>
      <w:r>
        <w:rPr/>
        <w:t>Si tuvieran que proponer una forma de representar la secuencia que capture esa información perdida, ¿qué propondrían? (no hace falta que sea implementable en Orange — la idea es pensar el problema).</w:t>
      </w:r>
    </w:p>
    <w:p>
      <w:pPr>
        <w:pStyle w:val="ListParagraph"/>
        <w:numPr>
          <w:ilvl w:val="0"/>
          <w:numId w:val="4"/>
        </w:numPr>
        <w:rPr/>
      </w:pPr>
      <w:r>
        <w:t>La representación con señales incorpora motivos biológicos en posiciones concretas (péptido señal, NLS, TMD). ¿Mejoró respecto a la composición simple? ¿Por qué este tipo de información sí ayuda y los dipéptidos no?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3</Pages>
  <Words>981</Words>
  <Characters>5491</Characters>
  <CharactersWithSpaces>6364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2026-08-27T15:02:19Z</dcterms:created>
  <dc:creator>Un-named</dc:creator>
  <dc:description/>
  <dc:language>en-US</dc:language>
  <cp:lastModifiedBy/>
  <dcterms:modified xsi:type="dcterms:W3CDTF">2026-08-27T12:18:27Z</dcterms:modified>
  <cp:revision>2</cp:revision>
  <dc:subject/>
  <dc:title/>
</cp:coreProperties>
</file>