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Title"/>
        <w:spacing w:before="240" w:after="120"/>
        <w:rPr/>
      </w:pPr>
      <w:r>
        <w:rPr/>
        <w:t>Guía del práctico — Docentes</w:t>
      </w:r>
    </w:p>
    <w:p>
      <w:pPr>
        <w:pStyle w:val="Heading2"/>
        <w:rPr/>
      </w:pPr>
      <w:r>
        <w:rPr/>
        <w:t>Predicción de localización subcelular de proteínas a partir de su secuencia</w:t>
      </w:r>
    </w:p>
    <w:p>
      <w:pPr>
        <w:pStyle w:val="Heading1"/>
        <w:rPr/>
      </w:pPr>
      <w:r>
        <w:rPr/>
        <w:t>Objetivo pedagógico</w:t>
      </w:r>
    </w:p>
    <w:p>
      <w:pPr>
        <w:pStyle w:val="Normal"/>
        <w:rPr/>
      </w:pPr>
      <w:r>
        <w:rPr/>
        <w:t>Recorrer el flujo completo de un problema de Machine Learning aplicado a un problema biológico real: datos → representación numérica → modelo → evaluación → discusión. La idea central que atraviesa todo el práctico es que el desempeño de un sistema de ML depende tanto de la representación elegida como del algoritmo — y, como van a ver, en este caso particular depende mucho más de lo primero que de lo segundo.</w:t>
      </w:r>
    </w:p>
    <w:p>
      <w:pPr>
        <w:pStyle w:val="Normal"/>
        <w:rPr/>
      </w:pPr>
      <w:r>
        <w:rPr/>
        <w:t>Clase teórica previa: 4 horas. Esta clase práctica: 4 horas.</w:t>
      </w:r>
    </w:p>
    <w:p>
      <w:pPr>
        <w:pStyle w:val="Heading1"/>
        <w:rPr/>
      </w:pPr>
      <w:r>
        <w:rPr/>
        <w:t>Preparación previa a la clase</w:t>
      </w:r>
    </w:p>
    <w:p>
      <w:pPr>
        <w:pStyle w:val="ListParagraph"/>
        <w:numPr>
          <w:ilvl w:val="0"/>
          <w:numId w:val="5"/>
        </w:numPr>
        <w:rPr/>
      </w:pPr>
      <w:r>
        <w:t>Instalar dependencias: pip3 install -r requirements.txt (o pip3 install requests pandas biopython matplotlib seaborn scikit-learn; agregar --break-system-packages si el sistema lo pide).</w:t>
      </w:r>
    </w:p>
    <w:p>
      <w:pPr>
        <w:pStyle w:val="ListParagraph"/>
        <w:numPr>
          <w:ilvl w:val="0"/>
          <w:numId w:val="1"/>
        </w:numPr>
        <w:rPr/>
      </w:pPr>
      <w:r>
        <w:t>Correr 01_construir_dataset.py (requiere internet). Genera features_composicion_fisicoquimicos.csv, features_dipeptidos_fisicoquimicos.csv y features_composicion_senales_fisicoquimicos.csv. Tarda un par de minutos.</w:t>
      </w:r>
    </w:p>
    <w:p>
      <w:pPr>
        <w:pStyle w:val="ListParagraph"/>
        <w:numPr>
          <w:ilvl w:val="0"/>
          <w:numId w:val="1"/>
        </w:numPr>
        <w:rPr/>
      </w:pPr>
      <w:r>
        <w:t>Opcional: correr 02_comparar_representaciones.py (comparación head-to-head), 03_experimentos.py (overfitting, curse of dimensionality y ablación de señales, con test reservado) y 04_esm2_embeddings.py (ESM-2 en CPU/Colab).</w:t>
      </w:r>
    </w:p>
    <w:p>
      <w:pPr>
        <w:pStyle w:val="ListParagraph"/>
        <w:numPr>
          <w:ilvl w:val="0"/>
          <w:numId w:val="1"/>
        </w:numPr>
        <w:rPr/>
      </w:pPr>
      <w:r>
        <w:rPr/>
        <w:t>Instalar Orange Data Mining (gratuito, https://orangedatamining.com/download/) si no está ya en las máquinas del laboratorio.</w:t>
      </w:r>
    </w:p>
    <w:p>
      <w:pPr>
        <w:pStyle w:val="ListParagraph"/>
        <w:numPr>
          <w:ilvl w:val="0"/>
          <w:numId w:val="1"/>
        </w:numPr>
        <w:rPr/>
      </w:pPr>
      <w:r>
        <w:rPr/>
        <w:t>Abrir exploracion_docentes_completa.ipynb y correr Kernel → Restart &amp; Run All. Importante: los gráficos que vienen en el notebook por defecto están hechos con datos sintéticos de prueba (para poder entregarlo ya armado); este paso los reemplaza por los gráficos reales.</w:t>
      </w:r>
    </w:p>
    <w:p>
      <w:pPr>
        <w:pStyle w:val="ListParagraph"/>
        <w:numPr>
          <w:ilvl w:val="0"/>
          <w:numId w:val="1"/>
        </w:numPr>
        <w:rPr/>
      </w:pPr>
      <w:r>
        <w:t>Abrir bag_of_aminoacidos.ows, dipeptidos.ows y senales_posicionales.ows una vez para confirmar que todos los widgets cargan bien en la versión de Orange instalada (ver sección de Troubleshooting si falta alguno).</w:t>
      </w:r>
    </w:p>
    <w:p>
      <w:pPr>
        <w:pStyle w:val="ListParagraph"/>
        <w:numPr>
          <w:ilvl w:val="0"/>
          <w:numId w:val="1"/>
        </w:numPr>
        <w:rPr/>
      </w:pPr>
      <w:r>
        <w:t>Repartir a los alumnos: los 3 CSV, exploracion_alumnos.ipynb, los 3 workflows .ows, y la guía de alumnos.</w:t>
      </w:r>
    </w:p>
    <w:p>
      <w:pPr>
        <w:pStyle w:val="Heading1"/>
        <w:rPr/>
      </w:pPr>
      <w:r>
        <w:rPr/>
        <w:t>El dataset</w:t>
      </w:r>
    </w:p>
    <w:p>
      <w:pPr>
        <w:pStyle w:val="ListParagraph"/>
        <w:numPr>
          <w:ilvl w:val="0"/>
          <w:numId w:val="6"/>
        </w:numPr>
        <w:rPr/>
      </w:pPr>
      <w:r>
        <w:rPr/>
        <w:t>Fuente: UniProt (Swiss-Prot, entradas revisadas), proteínas humanas.</w:t>
      </w:r>
    </w:p>
    <w:p>
      <w:pPr>
        <w:pStyle w:val="ListParagraph"/>
        <w:numPr>
          <w:ilvl w:val="0"/>
          <w:numId w:val="2"/>
        </w:numPr>
        <w:rPr/>
      </w:pPr>
      <w:r>
        <w:rPr/>
        <w:t>3 clases mutuamente excluyentes: Nucleus (KW-0539), Cytoplasm (KW-0963), Membrane (KW-0472).</w:t>
      </w:r>
    </w:p>
    <w:p>
      <w:pPr>
        <w:pStyle w:val="ListParagraph"/>
        <w:numPr>
          <w:ilvl w:val="0"/>
          <w:numId w:val="2"/>
        </w:numPr>
        <w:rPr/>
      </w:pPr>
      <w:r>
        <w:t>750 proteínas en total (250 por clase), longitud entre 50 y 500 aminoácidos, todas con evidencia experimental a nivel de proteína (UniProt existence:1).</w:t>
      </w:r>
    </w:p>
    <w:p>
      <w:pPr>
        <w:pStyle w:val="ListParagraph"/>
        <w:numPr>
          <w:ilvl w:val="0"/>
          <w:numId w:val="2"/>
        </w:numPr>
        <w:rPr/>
      </w:pPr>
      <w:r>
        <w:t>Los tres CSV incluyen accession y sequence al principio (para marcar como meta en Orange, no como features) y localization al final como target.</w:t>
      </w:r>
    </w:p>
    <w:p>
      <w:pPr>
        <w:pStyle w:val="Heading1"/>
        <w:rPr/>
      </w:pPr>
      <w:r>
        <w:t>Referencia: los features fisicoquímicos (13)</w:t>
      </w:r>
    </w:p>
    <w:p>
      <w:pPr>
        <w:pStyle w:val="Normal"/>
        <w:rPr/>
      </w:pPr>
      <w:r>
        <w:t>Los tres CSV incluyen, además de la composición/dipéptidos/señales, estas 13 columnas calculadas a partir de la secuencia completa con Biopython (ProteinAnalysis). Son justamente los features que en una versión anterior del práctico se le pedían a un asistente de IA que calculara en vivo durante la clase; ahora vienen resueltos por el script.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00"/>
        <w:gridCol w:w="4400"/>
        <w:gridCol w:w="2850"/>
      </w:tblGrid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Columna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Qué mide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pPr>
              <w:pStyle w:val="Normal"/>
              <w:rPr/>
            </w:pPr>
            <w:r>
              <w:rPr>
                <w:b/>
                <w:bCs/>
              </w:rPr>
              <w:t>Relevancia esperada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longitud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Cantidad de aminoácidos de la proteína.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variar entre clases, pero no es información específica de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peso_molecular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Masa molecular total, en Da.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Correlacionado con longitud.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punto_isoelectrico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pH al cual la carga neta de la proteína es cero.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Proteínas nucleares suelen ser algo más básicas (más K/R) por la interacción con ADN.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hidrofobicidad_promedio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Promedio de la escala de Kyte-Doolittle (GRAVY) sobre toda la secuencia.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Candidato más fuerte para separar Membrana del resto.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aromaticidad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Proporción de aminoácidos aromáticos (F, W, Y).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secundaria, poco discriminante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indice_inestabilidad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Estimador de estabilidad in vitro (Guruprasad et al., 1990); &gt;40 sugiere inestable.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No tiene relación directa esperada con localización.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carga_neta_pH7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Carga eléctrica neta a pH fisiológico, según pKa de K, R, H, D, E.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Puede acompañar a punto_isoelectrico como señal de Núcleo.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fraccion_helice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hélice alfa.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Las proteínas de membrana suelen tener tramos en hélice alfa transmembrana.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fraccion_turn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giros (turns).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general.</w:t>
            </w:r>
          </w:p>
        </w:tc>
      </w:tr>
      <w:tr>
        <w:trPr/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fraccion_hoja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Fracción de aminoácidos asociados a hoja beta.</w:t>
            </w:r>
          </w:p>
        </w:tc>
        <w:tc>
          <w:tcPr>
            <w:tcW w:w="2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b w:val="false"/>
                <w:bCs w:val="false"/>
              </w:rPr>
              <w:t>Señal débil en general, salvo en proteínas de membrana tipo barril beta.</w:t>
            </w:r>
          </w:p>
        </w:tc>
      </w:tr>
      <w:tr>
        <w:tc>
          <w:tcPr>
            <w:tcW w:type="dxa" w:w="2100"/>
          </w:tcPr>
          <w:p>
            <w:r>
              <w:t>indice_alifatico</w:t>
            </w:r>
          </w:p>
        </w:tc>
        <w:tc>
          <w:tcPr>
            <w:tcW w:type="dxa" w:w="4400"/>
          </w:tcPr>
          <w:p>
            <w:r>
              <w:t>Índice alifático (Ikai, 1980): termoestabilidad relativa.</w:t>
            </w:r>
          </w:p>
        </w:tc>
        <w:tc>
          <w:tcPr>
            <w:tcW w:type="dxa" w:w="2850"/>
          </w:tcPr>
          <w:p>
            <w:r>
              <w:t>Alto en proteínas de membrana (ricas en A/V/I/L).</w:t>
            </w:r>
          </w:p>
        </w:tc>
      </w:tr>
      <w:tr>
        <w:tc>
          <w:tcPr>
            <w:tcW w:type="dxa" w:w="2100"/>
          </w:tcPr>
          <w:p>
            <w:r>
              <w:t>fraccion_cargados</w:t>
            </w:r>
          </w:p>
        </w:tc>
        <w:tc>
          <w:tcPr>
            <w:tcW w:type="dxa" w:w="4400"/>
          </w:tcPr>
          <w:p>
            <w:r>
              <w:t>Fracción de K+R+H+D+E.</w:t>
            </w:r>
          </w:p>
        </w:tc>
        <w:tc>
          <w:tcPr>
            <w:tcW w:type="dxa" w:w="2850"/>
          </w:tcPr>
          <w:p>
            <w:r>
              <w:t>Señal débil; acompaña a punto isoeléctrico y carga.</w:t>
            </w:r>
          </w:p>
        </w:tc>
      </w:tr>
      <w:tr>
        <w:tc>
          <w:tcPr>
            <w:tcW w:type="dxa" w:w="2100"/>
          </w:tcPr>
          <w:p>
            <w:r>
              <w:t>coef_extincion_molar</w:t>
            </w:r>
          </w:p>
        </w:tc>
        <w:tc>
          <w:tcPr>
            <w:tcW w:type="dxa" w:w="4400"/>
          </w:tcPr>
          <w:p>
            <w:r>
              <w:t>Coeficiente de extinción molar a 280 nm.</w:t>
            </w:r>
          </w:p>
        </w:tc>
        <w:tc>
          <w:tcPr>
            <w:tcW w:type="dxa" w:w="2850"/>
          </w:tcPr>
          <w:p>
            <w:r>
              <w:t>Correlacionado con aromaticidad; poco discriminante.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  <w:t>Nota: la columna "Relevancia esperada" es una hipótesis razonada, no un resultado confirmado con este dataset — vale la pena contrastarla con lo que el widget Rank de Orange muestre en la práctica (ver Extensiones opcionales).</w:t>
      </w:r>
    </w:p>
    <w:p>
      <w:pPr>
        <w:pStyle w:val="Heading1"/>
        <w:rPr/>
      </w:pPr>
      <w:r>
        <w:t>Referencia: las señales posicionales (11)</w:t>
      </w:r>
    </w:p>
    <w:p>
      <w:pPr>
        <w:pStyle w:val="Normal"/>
        <w:rPr/>
      </w:pPr>
      <w:r>
        <w:t>El tercer CSV agrega 11 columnas calculadas con heurísticas simples y transparentes, pensadas para aportar información posicional. NO son predictores entrenados.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Columna</w:t>
            </w:r>
          </w:p>
        </w:tc>
        <w:tc>
          <w:tcPr>
            <w:tcW w:type="dxa" w:w="3120"/>
          </w:tcPr>
          <w:p>
            <w:r>
              <w:t>Qué mide</w:t>
            </w:r>
          </w:p>
        </w:tc>
        <w:tc>
          <w:tcPr>
            <w:tcW w:type="dxa" w:w="3120"/>
          </w:tcPr>
          <w:p>
            <w:r>
              <w:t>Relevancia esperada</w:t>
            </w:r>
          </w:p>
        </w:tc>
      </w:tr>
      <w:tr>
        <w:tc>
          <w:tcPr>
            <w:tcW w:type="dxa" w:w="3120"/>
          </w:tcPr>
          <w:p>
            <w:r>
              <w:t>senal_peptido</w:t>
            </w:r>
          </w:p>
        </w:tc>
        <w:tc>
          <w:tcPr>
            <w:tcW w:type="dxa" w:w="3120"/>
          </w:tcPr>
          <w:p>
            <w:r>
              <w:t>Región n básica + tramo hidrofóbico N-terminal.</w:t>
            </w:r>
          </w:p>
        </w:tc>
        <w:tc>
          <w:tcPr>
            <w:tcW w:type="dxa" w:w="3120"/>
          </w:tcPr>
          <w:p>
            <w:r>
              <w:t>Esperable en Membrana (secretoras e integrales tipo I/II).</w:t>
            </w:r>
          </w:p>
        </w:tc>
      </w:tr>
      <w:tr>
        <w:tc>
          <w:tcPr>
            <w:tcW w:type="dxa" w:w="3120"/>
          </w:tcPr>
          <w:p>
            <w:r>
              <w:t>senal_hidrofobicidad_max</w:t>
            </w:r>
          </w:p>
        </w:tc>
        <w:tc>
          <w:tcPr>
            <w:tcW w:type="dxa" w:w="3120"/>
          </w:tcPr>
          <w:p>
            <w:r>
              <w:t>Máxima hidrofobicidad media en ventanas de 9 del N-terminal.</w:t>
            </w:r>
          </w:p>
        </w:tc>
        <w:tc>
          <w:tcPr>
            <w:tcW w:type="dxa" w:w="3120"/>
          </w:tcPr>
          <w:p>
            <w:r>
              <w:t>Alto en Membrana.</w:t>
            </w:r>
          </w:p>
        </w:tc>
      </w:tr>
      <w:tr>
        <w:tc>
          <w:tcPr>
            <w:tcW w:type="dxa" w:w="3120"/>
          </w:tcPr>
          <w:p>
            <w:r>
              <w:t>senal_n_basicos</w:t>
            </w:r>
          </w:p>
        </w:tc>
        <w:tc>
          <w:tcPr>
            <w:tcW w:type="dxa" w:w="3120"/>
          </w:tcPr>
          <w:p>
            <w:r>
              <w:t>K/R en los primeros 5 residuos.</w:t>
            </w:r>
          </w:p>
        </w:tc>
        <w:tc>
          <w:tcPr>
            <w:tcW w:type="dxa" w:w="3120"/>
          </w:tcPr>
          <w:p>
            <w:r>
              <w:t>Débil por sí sola.</w:t>
            </w:r>
          </w:p>
        </w:tc>
      </w:tr>
      <w:tr>
        <w:tc>
          <w:tcPr>
            <w:tcW w:type="dxa" w:w="3120"/>
          </w:tcPr>
          <w:p>
            <w:r>
              <w:t>nls_monopartita</w:t>
            </w:r>
          </w:p>
        </w:tc>
        <w:tc>
          <w:tcPr>
            <w:tcW w:type="dxa" w:w="3120"/>
          </w:tcPr>
          <w:p>
            <w:r>
              <w:t>Motivos K(K/R)X(K/R).</w:t>
            </w:r>
          </w:p>
        </w:tc>
        <w:tc>
          <w:tcPr>
            <w:tcW w:type="dxa" w:w="3120"/>
          </w:tcPr>
          <w:p>
            <w:r>
              <w:t>Esperable en Núcleo.</w:t>
            </w:r>
          </w:p>
        </w:tc>
      </w:tr>
      <w:tr>
        <w:tc>
          <w:tcPr>
            <w:tcW w:type="dxa" w:w="3120"/>
          </w:tcPr>
          <w:p>
            <w:r>
              <w:t>nls_bipartita</w:t>
            </w:r>
          </w:p>
        </w:tc>
        <w:tc>
          <w:tcPr>
            <w:tcW w:type="dxa" w:w="3120"/>
          </w:tcPr>
          <w:p>
            <w:r>
              <w:t>Dos clusters básicos separados por ~10 residuos.</w:t>
            </w:r>
          </w:p>
        </w:tc>
        <w:tc>
          <w:tcPr>
            <w:tcW w:type="dxa" w:w="3120"/>
          </w:tcPr>
          <w:p>
            <w:r>
              <w:t>Esperable en Núcleo (menos frecuente).</w:t>
            </w:r>
          </w:p>
        </w:tc>
      </w:tr>
      <w:tr>
        <w:tc>
          <w:tcPr>
            <w:tcW w:type="dxa" w:w="3120"/>
          </w:tcPr>
          <w:p>
            <w:r>
              <w:t>nls_densidad_basica_10</w:t>
            </w:r>
          </w:p>
        </w:tc>
        <w:tc>
          <w:tcPr>
            <w:tcW w:type="dxa" w:w="3120"/>
          </w:tcPr>
          <w:p>
            <w:r>
              <w:t>Máxima fracción de K/R en ventana de 10.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nls_densidad_basica_7</w:t>
            </w:r>
          </w:p>
        </w:tc>
        <w:tc>
          <w:tcPr>
            <w:tcW w:type="dxa" w:w="3120"/>
          </w:tcPr>
          <w:p>
            <w:r>
              <w:t>Máxima fracción de K/R en ventana de 7.</w:t>
            </w:r>
          </w:p>
        </w:tc>
        <w:tc>
          <w:tcPr>
            <w:tcW w:type="dxa" w:w="3120"/>
          </w:tcPr>
          <w:p>
            <w:r>
              <w:t>Núcleo.</w:t>
            </w:r>
          </w:p>
        </w:tc>
      </w:tr>
      <w:tr>
        <w:tc>
          <w:tcPr>
            <w:tcW w:type="dxa" w:w="3120"/>
          </w:tcPr>
          <w:p>
            <w:r>
              <w:t>nls_carga_neta_nterm20</w:t>
            </w:r>
          </w:p>
        </w:tc>
        <w:tc>
          <w:tcPr>
            <w:tcW w:type="dxa" w:w="3120"/>
          </w:tcPr>
          <w:p>
            <w:r>
              <w:t>Carga neta en los primeros 20 residuos.</w:t>
            </w:r>
          </w:p>
        </w:tc>
        <w:tc>
          <w:tcPr>
            <w:tcW w:type="dxa" w:w="3120"/>
          </w:tcPr>
          <w:p>
            <w:r>
              <w:t>Núcleo (positivo).</w:t>
            </w:r>
          </w:p>
        </w:tc>
      </w:tr>
      <w:tr>
        <w:tc>
          <w:tcPr>
            <w:tcW w:type="dxa" w:w="3120"/>
          </w:tcPr>
          <w:p>
            <w:r>
              <w:t>tmd_alfa_helices</w:t>
            </w:r>
          </w:p>
        </w:tc>
        <w:tc>
          <w:tcPr>
            <w:tcW w:type="dxa" w:w="3120"/>
          </w:tcPr>
          <w:p>
            <w:r>
              <w:t>Ventanas de 19 residuos con hidrofobicidad media &gt; 1.6.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tmd_alfa_hidrofobicidad_max</w:t>
            </w:r>
          </w:p>
        </w:tc>
        <w:tc>
          <w:tcPr>
            <w:tcW w:type="dxa" w:w="3120"/>
          </w:tcPr>
          <w:p>
            <w:r>
              <w:t>Máxima hidrofobicidad media en ventana de 19.</w:t>
            </w:r>
          </w:p>
        </w:tc>
        <w:tc>
          <w:tcPr>
            <w:tcW w:type="dxa" w:w="3120"/>
          </w:tcPr>
          <w:p>
            <w:r>
              <w:t>Fuerte en Membrana.</w:t>
            </w:r>
          </w:p>
        </w:tc>
      </w:tr>
      <w:tr>
        <w:tc>
          <w:tcPr>
            <w:tcW w:type="dxa" w:w="3120"/>
          </w:tcPr>
          <w:p>
            <w:r>
              <w:t>tmd_beta_momento_hidrofobico</w:t>
            </w:r>
          </w:p>
        </w:tc>
        <w:tc>
          <w:tcPr>
            <w:tcW w:type="dxa" w:w="3120"/>
          </w:tcPr>
          <w:p>
            <w:r>
              <w:t>Momento hidrofóbico de Eisenberg (160°).</w:t>
            </w:r>
          </w:p>
        </w:tc>
        <w:tc>
          <w:tcPr>
            <w:tcW w:type="dxa" w:w="3120"/>
          </w:tcPr>
          <w:p>
            <w:r>
              <w:t>Débil/inconclusivo: los beta-barriles son raros en humano.</w:t>
            </w:r>
          </w:p>
        </w:tc>
      </w:tr>
    </w:tbl>
    <w:p>
      <w:pPr>
        <w:pStyle w:val="Normal"/>
        <w:rPr/>
      </w:pPr>
      <w:r>
        <w:t>Limitación importante: estas señales son heurísticas simples, no predictores entrenados. El detector de péptido señal se solapa con anclas de membrana, y el descriptor beta no alcanza porque los beta-barriles de membrana son raros en proteínas humanas. Para una predicción real hay que usar SignalP/DeepSig (péptido señal), DeepTMHMM/TMbed (TMD) y DeepLoc (localización).</w:t>
      </w:r>
    </w:p>
    <w:p>
      <w:pPr>
        <w:pStyle w:val="Heading1"/>
        <w:rPr/>
      </w:pPr>
      <w:r>
        <w:rPr/>
        <w:t>Agenda de la clase (4 horas)</w:t>
      </w:r>
    </w:p>
    <w:tbl>
      <w:tblPr>
        <w:tblW w:w="9350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1000"/>
        <w:gridCol w:w="1600"/>
        <w:gridCol w:w="4549"/>
      </w:tblGrid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Bloque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Duración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Herramienta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D9E2F3" w:val="clear"/>
          </w:tcPr>
          <w:p>
            <w:r>
              <w:t>Contenido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0. Introducción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-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Contexto del problema, dataset, y organización de la clase.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 Exploración de datos con IA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6 gráficos exploratorios generados con ayuda de IA.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 Clasificación: bag de aminoácidos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features_composicion_fisicoquimicos.csv, 3 modelos.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 Clasificación: dipéptidos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Orange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features_dipeptidos_fisicoquimicos.csv, 3 modelos.</w:t>
            </w:r>
          </w:p>
        </w:tc>
      </w:tr>
      <w:tr>
        <w:tc>
          <w:tcPr>
            <w:tcW w:type="dxa" w:w="2200"/>
          </w:tcPr>
          <w:p>
            <w:r>
              <w:t>4. Clasificación: señales posicionales</w:t>
            </w:r>
          </w:p>
        </w:tc>
        <w:tc>
          <w:tcPr>
            <w:tcW w:type="dxa" w:w="1000"/>
          </w:tcPr>
          <w:p>
            <w:r>
              <w:t>40 min</w:t>
            </w:r>
          </w:p>
        </w:tc>
        <w:tc>
          <w:tcPr>
            <w:tcW w:type="dxa" w:w="1600"/>
          </w:tcPr>
          <w:p>
            <w:r>
              <w:t>Orange</w:t>
            </w:r>
          </w:p>
        </w:tc>
        <w:tc>
          <w:tcPr>
            <w:tcW w:type="dxa" w:w="4549"/>
          </w:tcPr>
          <w:p>
            <w:r>
              <w:t>features_composicion_senales_fisicoquimicos.csv, 3 modelos + Rank.</w:t>
            </w:r>
          </w:p>
        </w:tc>
      </w:tr>
      <w:tr>
        <w:trPr/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 Overfitting y curse of dimensionality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30 min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Python (script/notebook)</w:t>
            </w:r>
          </w:p>
        </w:tc>
        <w:tc>
          <w:tcPr>
            <w:tcW w:w="45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F1 en train vs test; más features con pocas muestras (data/03_experimentos.py).</w:t>
            </w:r>
          </w:p>
        </w:tc>
      </w:tr>
      <w:tr>
        <w:tc>
          <w:tcPr>
            <w:tcW w:type="dxa" w:w="2200"/>
          </w:tcPr>
          <w:p>
            <w:r>
              <w:t>6. Comparación final y discusión</w:t>
            </w:r>
          </w:p>
        </w:tc>
        <w:tc>
          <w:tcPr>
            <w:tcW w:type="dxa" w:w="1000"/>
          </w:tcPr>
          <w:p>
            <w:r>
              <w:t>30 min</w:t>
            </w:r>
          </w:p>
        </w:tc>
        <w:tc>
          <w:tcPr>
            <w:tcW w:type="dxa" w:w="1600"/>
          </w:tcPr>
          <w:p>
            <w:r>
              <w:t>Informe</w:t>
            </w:r>
          </w:p>
        </w:tc>
        <w:tc>
          <w:tcPr>
            <w:tcW w:type="dxa" w:w="4549"/>
          </w:tcPr>
          <w:p>
            <w:r>
              <w:t>Tabla comparativa, análisis de errores, discusión y ESM-2 (opcional).</w:t>
            </w:r>
          </w:p>
        </w:tc>
      </w:tr>
    </w:tbl>
    <w:p>
      <w:pPr>
        <w:pStyle w:val="Heading1"/>
        <w:rPr/>
      </w:pPr>
      <w:r>
        <w:rPr/>
        <w:t>Resultados esperados (y por qué)</w:t>
      </w:r>
    </w:p>
    <w:p>
      <w:pPr>
        <w:pStyle w:val="Normal"/>
        <w:rPr/>
      </w:pPr>
      <w:r>
        <w:t>Este es el punto más importante de esta guía. Con el dataset ampliado (750 proteínas) y las señales posicionales explícitas, el resultado esperado es: los dipéptidos NO mejoran respecto a la composición simple (~0.70 vs ~0.71), pero la representación de señales SÍ mejora (accuracy ~0.75, F1 de Membrana ~0.87). Es decir: no es que el práctico no tenga arreglo, es que había que representar la posición de un motivo biológico, no solo contar fragmentos. El script 02_comparar_representaciones.py reproduce además el resultado original a ~250 proteínas: a ese tamaño, dipéptidos + fisicoquímicos (0.703) tampoco supera a composición + fisicoquímicos (0.710), así que la mejora de las señales no depende de haber agrandado el dataset.</w:t>
      </w:r>
    </w:p>
    <w:p>
      <w:pPr>
        <w:pStyle w:val="Normal"/>
        <w:rPr/>
      </w:pPr>
      <w:r>
        <w:rPr>
          <w:b/>
          <w:bCs/>
        </w:rPr>
        <w:t>Por qué pasa esto:</w:t>
      </w:r>
    </w:p>
    <w:p>
      <w:pPr>
        <w:pStyle w:val="ListParagraph"/>
        <w:numPr>
          <w:ilvl w:val="0"/>
          <w:numId w:val="2"/>
        </w:numPr>
        <w:rPr/>
      </w:pPr>
      <w:r>
        <w:t>La relación features/muestras es desfavorable (750 proteínas contra ~413 features de dipéptidos), pero los experimentos de data/03_experimentos.py muestran que NO es la causa principal: reducir a los 50 dipéptidos más informativos no ayuda, y agregar datos (hasta 3000 de entrenamiento) no cierra la brecha. El techo es que ninguna representación de tipo bolsa codifica posición.</w:t>
      </w:r>
    </w:p>
    <w:p>
      <w:pPr>
        <w:pStyle w:val="ListParagraph"/>
        <w:numPr>
          <w:ilvl w:val="0"/>
          <w:numId w:val="2"/>
        </w:numPr>
        <w:rPr/>
      </w:pPr>
      <w:r>
        <w:rPr/>
        <w:t>Cada frecuencia de dipéptido es una estimación ruidosa: una proteína de 150 aminoácidos tiene 149 pares repartidos entre 400 categorías posibles, muchas con 0-2 conteos.</w:t>
      </w:r>
    </w:p>
    <w:p>
      <w:pPr>
        <w:pStyle w:val="ListParagraph"/>
        <w:numPr>
          <w:ilvl w:val="0"/>
          <w:numId w:val="2"/>
        </w:numPr>
        <w:rPr/>
      </w:pPr>
      <w:r>
        <w:t>Más profundo aún: ninguna representación de tipo bag/conteo (composición, dipéptidos, alfabeto reducido) codifica POSICIÓN. Lo que distingue biológicamente a Núcleo de Citoplasma es sobre todo una señal de localización nuclear (NLS) — un motivo corto en una posición específica. La quinta representación del práctico (señales) sí detecta motivos posicionales y por eso es la única que mueve la aguja por encima de la composición.</w:t>
      </w:r>
    </w:p>
    <w:p>
      <w:pPr>
        <w:pStyle w:val="ListParagraph"/>
        <w:numPr>
          <w:ilvl w:val="0"/>
          <w:numId w:val="2"/>
        </w:numPr>
        <w:rPr/>
      </w:pPr>
      <w:r>
        <w:t>Membrana debería ser la clase más fácil de clasificar: la hidrofobicidad promedio y las señales de TMD/péptido señal son fuertes y casi linealmente separables.</w:t>
      </w:r>
    </w:p>
    <w:p>
      <w:pPr>
        <w:pStyle w:val="ListParagraph"/>
        <w:numPr>
          <w:ilvl w:val="0"/>
          <w:numId w:val="2"/>
        </w:numPr>
        <w:rPr/>
      </w:pPr>
      <w:r>
        <w:t>Núcleo vs. Citoplasma va a ser el par que más se confunda. Sin señales posicionales (composición, dipéptidos) es el más difícil; con los NLS la confusión baja algo, pero no desaparece.</w:t>
      </w:r>
    </w:p>
    <w:p>
      <w:pPr>
        <w:pStyle w:val="Normal"/>
        <w:rPr/>
      </w:pPr>
      <w:r>
        <w:rPr/>
        <w:t>Si algún grupo obtiene una mejora marginal con dipéptidos, no lo traten como un error — puede pasar por azar en la partición de cross-validation con datasets chicos. Vale la pena discutirlo igual: ¿la mejora es grande y consistente, o está dentro del ruido esperable para este tamaño de dataset?</w:t>
      </w:r>
    </w:p>
    <w:p>
      <w:pPr>
        <w:pStyle w:val="Heading1"/>
        <w:rPr/>
      </w:pPr>
      <w:r>
        <w:t>Guía de discusión (Bloque 6)</w:t>
      </w:r>
    </w:p>
    <w:p>
      <w:pPr>
        <w:pStyle w:val="Normal"/>
        <w:rPr/>
      </w:pPr>
      <w:r>
        <w:rPr/>
        <w:t>Estas son las mismas preguntas que tienen los alumnos en su guía, con notas para orientar la discusión:</w:t>
      </w:r>
    </w:p>
    <w:p>
      <w:pPr>
        <w:pStyle w:val="ListParagraph"/>
        <w:numPr>
          <w:ilvl w:val="0"/>
          <w:numId w:val="7"/>
        </w:numPr>
        <w:rPr/>
      </w:pPr>
      <w:r>
        <w:t>¿Qué representación tuvo mejor desempeño? — Esperable: señales &gt; composición ≥ dipéptidos. Si un grupo obtiene lo contrario, pedirles que muestren la magnitud de la diferencia.</w:t>
      </w:r>
    </w:p>
    <w:p>
      <w:pPr>
        <w:pStyle w:val="ListParagraph"/>
        <w:numPr>
          <w:ilvl w:val="0"/>
          <w:numId w:val="3"/>
        </w:numPr>
        <w:rPr/>
      </w:pPr>
      <w:r>
        <w:rPr/>
        <w:t>¿Más features garantiza mejor desempeño? — No; con pocas muestras, más features generalmente sobreajusta. Es el punto central de la clase.</w:t>
      </w:r>
    </w:p>
    <w:p>
      <w:pPr>
        <w:pStyle w:val="ListParagraph"/>
        <w:numPr>
          <w:ilvl w:val="0"/>
          <w:numId w:val="3"/>
        </w:numPr>
        <w:rPr/>
      </w:pPr>
      <w:r>
        <w:t>¿Qué clases se confunden más? — Esperable: Núcleo/Citoplasma sigue siendo el par más difícil, pero con los NLS la confusión baja algo. Conectar con la idea de información posicional.</w:t>
      </w:r>
    </w:p>
    <w:p>
      <w:pPr>
        <w:pStyle w:val="ListParagraph"/>
        <w:numPr>
          <w:ilvl w:val="0"/>
          <w:numId w:val="3"/>
        </w:numPr>
        <w:rPr/>
      </w:pPr>
      <w:r>
        <w:t>Proteínas mal clasificadas. Buscar ejemplos mediante la matriz de confusión y un scatterplot. ¿Tiene sentido que el modelo se equivoque?</w:t>
      </w:r>
    </w:p>
    <w:p>
      <w:pPr>
        <w:pStyle w:val="ListParagraph"/>
        <w:numPr>
          <w:ilvl w:val="0"/>
          <w:numId w:val="3"/>
        </w:numPr>
        <w:rPr/>
      </w:pPr>
      <w:r>
        <w:rPr/>
        <w:t>Qué información se pierde — la posición de motivos/señales de localización dentro de la secuencia.</w:t>
      </w:r>
    </w:p>
    <w:p>
      <w:pPr>
        <w:pStyle w:val="ListParagraph"/>
        <w:numPr>
          <w:ilvl w:val="0"/>
          <w:numId w:val="3"/>
        </w:numPr>
        <w:rPr/>
      </w:pPr>
      <w:r>
        <w:t>Qué representación propondrían — ahora el práctico ya incluye una respuesta posible (señales biológicas explícitas). Para seguir superando el techo: embeddings de ESM-2 u one-hot + CNN, que preservan toda la secuencia. Ver Extensiones opcionales.</w:t>
      </w:r>
    </w:p>
    <w:p>
      <w:pPr>
        <w:pStyle w:val="Heading1"/>
        <w:rPr/>
      </w:pPr>
      <w:r>
        <w:t>Preguntas abiertas (respuestas)</w:t>
      </w:r>
    </w:p>
    <w:p>
      <w:pPr>
        <w:pStyle w:val="Normal"/>
        <w:rPr/>
      </w:pPr>
      <w:r>
        <w:t>El script data/03_experimentos.py corre tres demostraciones con un test reservado:</w:t>
      </w:r>
    </w:p>
    <w:p>
      <w:pPr>
        <w:pStyle w:val="Normal"/>
        <w:rPr/>
      </w:pPr>
      <w:r>
        <w:t>¿Curse of dimensionality y overfitting? Sí, y se muestran comparando el F1 en train (resustitución) con el F1 en test. Con 250 proteínas los dipéptidos memorizan (F1 train 1.000, test 0.656; brecha 0.34) y agregar features sube el F1 de train hacia 1 mientras el de test se estanca (~0.63). Más datos reducen la brecha (0.34 a n=250, 0.12 a n=3000).</w:t>
      </w:r>
    </w:p>
    <w:p>
      <w:pPr>
        <w:pStyle w:val="Normal"/>
        <w:rPr/>
      </w:pPr>
      <w:r>
        <w:t>Pero la dimensionalidad no es toda la historia: con 3000 proteínas los dipéptidos no alcanzan a las señales, y con 250 quedan por debajo de la composición, como en el práctico original. La causa dominante es la representación (falta de posición).</w:t>
      </w:r>
    </w:p>
    <w:p>
      <w:pPr>
        <w:pStyle w:val="Normal"/>
        <w:rPr/>
      </w:pPr>
      <w:r>
        <w:t>Test reservado: se entrena con 3000 proteínas (1000 por clase) y se evalúa en un test balanceado de 375 (125 por clase) que el modelo nunca ve. Balanced accuracy: composición 0.749, dipéptidos 0.763, señales 0.816.</w:t>
      </w:r>
    </w:p>
    <w:p>
      <w:pPr>
        <w:pStyle w:val="Normal"/>
        <w:rPr/>
      </w:pPr>
      <w:r>
        <w:t>¿Qué familia de señales hace el trabajo pesado? El TMD alfa-hélice: lleva Membrana vs resto de 0.83 a 0.90 y es lo que más sube el global (0.79). La NLS es la única que mejora Núcleo vs Citoplasma (0.79 a 0.81). El péptido señal ayuda a Membrana, pero menos. El TMD beta no aporta nada (los beta-barriles son raros en humano). Las tres familias juntas superan a cualquiera sola.</w:t>
      </w:r>
    </w:p>
    <w:p>
      <w:pPr>
        <w:pStyle w:val="Normal"/>
        <w:rPr/>
      </w:pPr>
      <w:r>
        <w:t>¿Y ESM-2? Implementado en data/04_esm2_embeddings.py y en el notebook notebooks/esm2_embeddings_colab.ipynb. Embeddings congelados + regresión logística, corriendo en CPU (Colab): balanced accuracy 0.853 con el modelo de 8M, por encima de las features hechas a mano (0.816). No hace falta un modelo más grande.</w:t>
      </w:r>
    </w:p>
    <w:p>
      <w:pPr>
        <w:pStyle w:val="Heading1"/>
        <w:rPr/>
      </w:pPr>
      <w:r>
        <w:rPr/>
        <w:t>Troubleshooting</w:t>
      </w:r>
    </w:p>
    <w:p>
      <w:pPr>
        <w:pStyle w:val="ListParagraph"/>
        <w:numPr>
          <w:ilvl w:val="0"/>
          <w:numId w:val="2"/>
        </w:numPr>
        <w:rPr/>
      </w:pPr>
      <w:r>
        <w:rPr/>
        <w:t>Un widget no carga al abrir el .ows ("missing widget"): suele deberse a diferencias de nombre entre versiones de Orange. Borrar el nodo faltante y arrastrar el mismo widget por nombre desde el panel izquierdo, y reconectar manualmente los cables que quedaron sueltos.</w:t>
      </w:r>
    </w:p>
    <w:p>
      <w:pPr>
        <w:pStyle w:val="ListParagraph"/>
        <w:numPr>
          <w:ilvl w:val="0"/>
          <w:numId w:val="2"/>
        </w:numPr>
        <w:rPr/>
      </w:pPr>
      <w:r>
        <w:rPr/>
        <w:t>Un grupo no logra que la IA les genere un gráfico que corra: pedirles que le muestren a la IA el traceback completo del error; si persiste, mostrar el gráfico ya resuelto en exploracion_docentes_completa.ipynb como referencia rápida.</w:t>
      </w:r>
    </w:p>
    <w:p>
      <w:pPr>
        <w:pStyle w:val="ListParagraph"/>
        <w:rPr/>
      </w:pPr>
      <w:r>
        <w:rPr/>
      </w:r>
    </w:p>
    <w:p>
      <w:pPr>
        <w:pStyle w:val="Heading1"/>
        <w:rPr/>
      </w:pPr>
      <w:r>
        <w:t>Extensiones opcionales</w:t>
      </w:r>
    </w:p>
    <w:p>
      <w:pPr>
        <w:pStyle w:val="ListParagraph"/>
        <w:rPr/>
      </w:pPr>
      <w:r>
        <w:t>Reemplazar las heurísticas de señales por predictores entrenados: SignalP/DeepSig (péptido señal), DeepTMHMM/TMbed (TMD, incluidos beta-barriles) y DeepLoc (localización). Comparar heurística simple vs modelo entrenado es una buena discusión.</w:t>
      </w:r>
    </w:p>
    <w:p>
      <w:pPr>
        <w:pStyle w:val="ListParagraph"/>
        <w:rPr/>
      </w:pPr>
      <w:r>
        <w:t>Ajustar fino (fine-tuning) un ESM-2 chico en vez de usarlo congelado + clasificador lineal (en CPU es caro; requiere GPU o un modelo muy chico).</w:t>
      </w:r>
    </w:p>
    <w:p>
      <w:pPr>
        <w:pStyle w:val="ListParagraph"/>
        <w:rPr/>
      </w:pPr>
      <w:r>
        <w:t>One-hot encoding + CNN sobre la secuencia completa, con un dataset más grande.</w:t>
      </w:r>
    </w:p>
    <w:sectPr>
      <w:type w:val="nextPage"/>
      <w:pgSz w:w="12240" w:h="15840"/>
      <w:pgMar w:left="1440" w:right="1440" w:header="0" w:top="1440" w:footer="0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0" w:hanging="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0" w:hanging="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60"/>
  <w:defaultTabStop w:val="720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oto Serif CJK SC" w:cs="Lohit Devanagari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Heading1">
    <w:name w:val="Heading 1"/>
    <w:basedOn w:val="Heading"/>
    <w:qFormat/>
    <w:pPr/>
    <w:rPr>
      <w:color w:val="2E74B5"/>
      <w:sz w:val="32"/>
      <w:szCs w:val="32"/>
    </w:rPr>
  </w:style>
  <w:style w:type="paragraph" w:styleId="Heading2">
    <w:name w:val="Heading 2"/>
    <w:basedOn w:val="Heading"/>
    <w:qFormat/>
    <w:pPr/>
    <w:rPr>
      <w:color w:val="2E74B5"/>
      <w:sz w:val="26"/>
      <w:szCs w:val="26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Internet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Anchor">
    <w:name w:val="Endnote Anchor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">
    <w:name w:val="Strong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b/>
      <w:bCs/>
      <w:color w:val="auto"/>
      <w:kern w:val="0"/>
      <w:sz w:val="20"/>
      <w:szCs w:val="20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Times New Roman" w:hAnsi="Times New Roman" w:eastAsia="Noto Serif CJK SC" w:cs="Lohit Devanagari"/>
      <w:color w:val="auto"/>
      <w:kern w:val="0"/>
      <w:sz w:val="20"/>
      <w:szCs w:val="20"/>
      <w:lang w:val="en-US" w:eastAsia="zh-CN" w:bidi="hi-IN"/>
    </w:rPr>
  </w:style>
  <w:style w:type="paragraph" w:styleId="Footnote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LibreOffice/6.4.7.2$Linux_X86_64 LibreOffice_project/40$Build-2</Application>
  <Pages>3</Pages>
  <Words>1240</Words>
  <Characters>7014</Characters>
  <CharactersWithSpaces>8145</CharactersWithSpaces>
  <Paragraphs>98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2026-08-27T15:02:19Z</dcterms:created>
  <dc:creator>Un-named</dc:creator>
  <dc:description/>
  <dc:language>en-US</dc:language>
  <cp:lastModifiedBy/>
  <dcterms:modified xsi:type="dcterms:W3CDTF">2026-08-27T12:17:36Z</dcterms:modified>
  <cp:revision>2</cp:revision>
  <dc:subject/>
  <dc:title/>
</cp:coreProperties>
</file>