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27A1A"/>
          <w:sz w:val="26"/>
          <w:szCs w:val="26"/>
        </w:rPr>
        <w:t xml:space="preserve">TRENDYOL E-TİCARET</w:t>
      </w:r>
    </w:p>
    <w:p>
      <w:pPr>
        <w:spacing w:after="480"/>
        <w:jc w:val="center"/>
      </w:pPr>
      <w:r>
        <w:rPr>
          <w:b/>
          <w:bCs/>
          <w:color w:val="1F3B57"/>
          <w:sz w:val="44"/>
          <w:szCs w:val="44"/>
        </w:rPr>
        <w:t xml:space="preserve">Arama Terimi – Ürün Alaka (Relevance) Tahmini Yarışması</w:t>
      </w:r>
    </w:p>
    <w:p>
      <w:pPr>
        <w:spacing w:after="120"/>
        <w:jc w:val="center"/>
      </w:pPr>
      <w:r>
        <w:rPr>
          <w:color w:val="666666"/>
          <w:sz w:val="30"/>
          <w:szCs w:val="30"/>
        </w:rPr>
        <w:t xml:space="preserve">Keşifsel Veri Analizi (EDA) Raporu</w:t>
      </w:r>
    </w:p>
    <w:p>
      <w:pPr>
        <w:spacing w:before="800"/>
        <w:jc w:val="center"/>
      </w:pPr>
      <w:r>
        <w:rPr>
          <w:sz w:val="22"/>
          <w:szCs w:val="22"/>
        </w:rPr>
        <w:t xml:space="preserve">Hazırlayan: Berke</w:t>
      </w:r>
    </w:p>
    <w:p>
      <w:pPr>
        <w:jc w:val="center"/>
      </w:pPr>
      <w:r>
        <w:rPr>
          <w:sz w:val="22"/>
          <w:szCs w:val="22"/>
        </w:rPr>
        <w:t xml:space="preserve">Tarih: 2 Temmuz 2026</w:t>
      </w:r>
    </w:p>
    <w:p>
      <w:pPr>
        <w:spacing w:before="240"/>
        <w:jc w:val="center"/>
      </w:pPr>
      <w:r>
        <w:rPr>
          <w:i/>
          <w:iCs/>
          <w:color w:val="666666"/>
          <w:sz w:val="18"/>
          <w:szCs w:val="18"/>
        </w:rPr>
        <w:t xml:space="preserve">Veri kaynağı: trendyol-e-ticaret-yarismasi-2026-kaggle</w:t>
      </w:r>
    </w:p>
    <w:p>
      <w:pPr>
        <w:pageBreakBefore/>
      </w:pPr>
    </w:p>
    <w:p>
      <w:pPr>
        <w:pStyle w:val="Heading1"/>
      </w:pPr>
      <w:r>
        <w:t xml:space="preserve">1. Yönetici Özeti</w:t>
      </w:r>
    </w:p>
    <w:p>
      <w:pPr>
        <w:spacing w:after="160"/>
      </w:pPr>
      <w:r>
        <w:t xml:space="preserve">Bu rapor, Trendyol'un 2026 arama-alaka (search relevance) yarışmasına ait beş veri dosyasının (items.csv, terms.csv, training_pairs.csv, submission_pairs.csv, sample_submission.csv) keşifsel veri analizini (EDA) içerir. Toplam 962.873 ürün, 50.153 arama terimi, 250.000 eğitim çifti ve tahmin edilmesi gereken 3.359.679 test çifti incelenmiştir. Amaç; veri kalitesini, dağılımları ve modelleme stratejisini şekillendirecek yapısal özellikleri ortaya koymaktır.</w:t>
      </w:r>
    </w:p>
    <w:p>
      <w:pPr>
        <w:spacing w:after="160"/>
      </w:pPr>
      <w:r>
        <w:rPr>
          <w:b/>
          <w:bCs/>
        </w:rPr>
        <w:t xml:space="preserve">Öne çıkan bulgular: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Veri eksiksiz: items.csv ve terms.csv'de hiçbir kolonda null/boş değer yok; ancak gender ve age_group kolonlarında sırasıyla %61,4 ve %59,4 oranında “unknown” etiketi bulunuyor.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Kritik bulgu — Cold-start (terim): submission_pairs.csv'deki 32.185 benzersiz arama teriminin %0'ı training_pairs.csv'de görülmüş. Yani test setindeki hiçbir arama terimi eğitim setinde yok; model, term_id'yi ezberleyerek değil yalnızca query metnini ve ürün özelliklerini genelleyerek çalışmak zorunda.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Ürün tarafında kısmi örtüşme: test setindeki ürünlerin %21,1'i training_pairs.csv'de en az bir kez (başka bir terimle) pozitif eşleşme olarak geçiyor; %78,9'u ise tamamen yeni (cold-start) ürünler.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training_pairs.csv yalnızca pozitif (label=1) çiftlerden oluşuyor; negatif örnekler yarışmacılar tarafından üretilmeli.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Basit kelime-örtüşmesi (word-overlap) mantığı, eğitim setindeki gerçek pozitif çiftlerin %97,2'sinde en az 1 ortak kelime yakalıyor; ancak %2,8'inde hiç ortak kelime yok (marka/sinonim/yazım farkı kaynaklı) — bu, salt lexical yaklaşımın doğal tavanını gösteriyor.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 örnekleminde (150.000 rastgele çift) çiftlerin sadece %47,6'sında en az 1 ortak kelime var; bu oran gerçek pozitif oranı değil, sadece basit baseline'ın üreteceği tahmin dağılımıdır.</w:t>
      </w:r>
    </w:p>
    <w:p>
      <w:pPr>
        <w:pStyle w:val="Heading1"/>
      </w:pPr>
      <w:r>
        <w:t xml:space="preserve">2. Veri Seti Genel Bakışı</w:t>
      </w:r>
    </w:p>
    <w:p>
      <w:pPr>
        <w:spacing w:after="160"/>
      </w:pPr>
      <w:r>
        <w:t xml:space="preserve">Yarışma verisi 5 CSV dosyasından oluşuyor: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Satır Sayısı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962.873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Ürün kataloğu (title, category, brand, gender, age_group, attributes)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terms.csv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50.153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Arama terimi kataloğu (query metni)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training_pairs.csv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250.000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Yalnızca pozitif (label=1) terim-ürün çiftleri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submission_pairs.csv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3.359.679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Tahmin edilecek terim-ürün çiftleri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sample_submission.csv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3.359.679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Örnek gönderim formatı (tüm tahminler 0)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Tablo 1: Veri seti dosyaları ve boyutları</w:t>
      </w:r>
    </w:p>
    <w:p>
      <w:pPr>
        <w:pStyle w:val="Heading1"/>
      </w:pPr>
      <w:r>
        <w:t xml:space="preserve">3. Ürün Kataloğu (items.csv)</w:t>
      </w:r>
    </w:p>
    <w:p>
      <w:pPr>
        <w:spacing w:after="160"/>
      </w:pPr>
      <w:r>
        <w:t xml:space="preserve">962.873 ürünün tamamı benzersiz (item_id tekrarı yok) ve 7 kolonun hiçbirinde null/boş değer bulunmuyor. Ancak bazı kategorik alanlarda içerik olarak “unknown” etiketi kullanılmış.</w:t>
      </w:r>
    </w:p>
    <w:p>
      <w:pPr>
        <w:pStyle w:val="Heading2"/>
      </w:pPr>
      <w:r>
        <w:t xml:space="preserve">3.1 Kategori Dağılımı</w:t>
      </w:r>
    </w:p>
    <w:p>
      <w:pPr>
        <w:spacing w:after="160"/>
      </w:pPr>
      <w:r>
        <w:t xml:space="preserve">Ürünler 2.932 farklı tam kategori zincirine (örn. “ayakkabı/spor ayakkabı/sneaker”) ayrılıyor; ortalama derinlik 3,8 seviye (min 2, maks 6). Üst düzeyde bakıldığında “ev &amp; mobilya” (%26,1) ve “giyim” (%17,6) en büyük iki kategori; ilk 5 kategori toplam ürünlerin %71,1'ini oluşturuyor.</w:t>
      </w:r>
    </w:p>
    <w:p>
      <w:pPr>
        <w:spacing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/sessions/amazing-dreamy-cannon/mnt/outputs/chart1_category_dist.png" descr="/sessions/amazing-dreamy-cannon/mnt/outputs/chart1_category_dist.png" title="/sessions/amazing-dreamy-cannon/mnt/outputs/chart1_category_d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Grafik 1: Üst düzey kategori dağılımı (15 kategori, items.csv)</w:t>
      </w:r>
    </w:p>
    <w:p>
      <w:pPr>
        <w:pStyle w:val="Heading2"/>
      </w:pPr>
      <w:r>
        <w:t xml:space="preserve">3.2 Cinsiyet ve Yaş Grubu</w:t>
      </w:r>
    </w:p>
    <w:p>
      <w:pPr>
        <w:spacing w:after="160"/>
      </w:pPr>
      <w:r>
        <w:t xml:space="preserve">gender kolonunda ürünlerin %61,4'ü “unknown”; geri kalanının %19,9'u kadın, %10,3'ü erkek, %8,4'ü unisex olarak etiketli. age_group'ta ise %59,4 unknown, %29,2 yetişkin, %5,5 çocuk, %3,2 genç, %1,9 bebek. Bu yüksek “unknown” oranı, bu iki alanın modelde doğrudan güçlü sinyal olarak değil, tamamlayıcı/opsiyonel özellik olarak kullanılmasını gerektiriyor.</w:t>
      </w:r>
    </w:p>
    <w:p>
      <w:pPr>
        <w:spacing w:before="120"/>
        <w:jc w:val="center"/>
      </w:pPr>
      <w:r>
        <w:drawing>
          <wp:inline distT="0" distB="0" distL="0" distR="0">
            <wp:extent cx="5286375" cy="2162175"/>
            <wp:effectExtent t="0" r="0" b="0" l="0"/>
            <wp:docPr id="1" name="/sessions/amazing-dreamy-cannon/mnt/outputs/chart2_gender_age.png" descr="/sessions/amazing-dreamy-cannon/mnt/outputs/chart2_gender_age.png" title="/sessions/amazing-dreamy-cannon/mnt/outputs/chart2_gender_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Grafik 2: Cinsiyet ve yaş grubu dağılımları</w:t>
      </w:r>
    </w:p>
    <w:p>
      <w:pPr>
        <w:pStyle w:val="Heading2"/>
      </w:pPr>
      <w:r>
        <w:t xml:space="preserve">3.3 Marka Dağılımı</w:t>
      </w:r>
    </w:p>
    <w:p>
      <w:pPr>
        <w:spacing w:after="160"/>
      </w:pPr>
      <w:r>
        <w:t xml:space="preserve">79.791 benzersiz marka var; dağılım oldukça uzun kuyruklu (long-tail). En sık geçen marka adidas (7.982 ürün, toplamın ~%0,8'i), onu koton, defacto ve nike izliyor. İlk 20 marka toplam ürünlerin sadece ~%8'ini kapsıyor — bu da brand kolonunun tek başına güçlü bir ayırt edici olmadığını, title ve category ile birlikte kullanılması gerektiğini gösteriyor.</w:t>
      </w:r>
    </w:p>
    <w:p>
      <w:pPr>
        <w:spacing w:before="120"/>
        <w:jc w:val="center"/>
      </w:pPr>
      <w:r>
        <w:drawing>
          <wp:inline distT="0" distB="0" distL="0" distR="0">
            <wp:extent cx="4381500" cy="3838575"/>
            <wp:effectExtent t="0" r="0" b="0" l="0"/>
            <wp:docPr id="1" name="/sessions/amazing-dreamy-cannon/mnt/outputs/chart3_top_brands.png" descr="/sessions/amazing-dreamy-cannon/mnt/outputs/chart3_top_brands.png" title="/sessions/amazing-dreamy-cannon/mnt/outputs/chart3_top_bra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Grafik 3: En sık geçen 20 marka</w:t>
      </w:r>
    </w:p>
    <w:p>
      <w:pPr>
        <w:pStyle w:val="Heading2"/>
      </w:pPr>
      <w:r>
        <w:t xml:space="preserve">3.4 Başlık ve Özellik (attributes) Uzunluğu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Medyan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Ortalama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Maks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Başlık (karakter)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55,0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Başlık (kelime)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8,9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attributes (anahtar:değer sayısı)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10,7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Tablo 2: items.csv metin alanları için dağılım istatistikleri</w:t>
      </w:r>
    </w:p>
    <w:p>
      <w:pPr>
        <w:spacing w:after="160"/>
      </w:pPr>
      <w:r>
        <w:t xml:space="preserve">En sık geçen attribute anahtarları: renk, color detail, menşei, materyal, yıkama talimatı, desen, ortam, kumaş tipi — bunlar giyim/tekstil ağırlıklı kataloğa işaret ediyor ve özellik mühendisliğinde (anahtar bazlı one-hot / embedding) öncelikli adaylar.</w:t>
      </w:r>
    </w:p>
    <w:p>
      <w:pPr>
        <w:pStyle w:val="Heading1"/>
      </w:pPr>
      <w:r>
        <w:t xml:space="preserve">4. Arama Terimleri (terms.csv)</w:t>
      </w:r>
    </w:p>
    <w:p>
      <w:pPr>
        <w:spacing w:after="160"/>
      </w:pPr>
      <w:r>
        <w:t xml:space="preserve">50.153 satırın tamamı benzersiz term_id ve benzersiz query metni içeriyor (tekrarlanan sorgu metni yok, null değer yok). Ortalama sorgu uzunluğu 16,2 karakter / 2,6 kelime; sorguların %41'i tam olarak 2 kelimeden, %33'ü 3 kelimeden oluşuyor — yani aramaların büyük kısmı kısa, 2-3 kelimelik ifadeler.</w:t>
      </w:r>
    </w:p>
    <w:p>
      <w:pPr>
        <w:spacing w:before="12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/sessions/amazing-dreamy-cannon/mnt/outputs/chart4_query_wordlen.png" descr="/sessions/amazing-dreamy-cannon/mnt/outputs/chart4_query_wordlen.png" title="/sessions/amazing-dreamy-cannon/mnt/outputs/chart4_query_wordl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Grafik 4: Arama terimi uzunluğu (kelime sayısı) dağılımı</w:t>
      </w:r>
    </w:p>
    <w:p>
      <w:pPr>
        <w:spacing w:after="160"/>
      </w:pPr>
      <w:r>
        <w:t xml:space="preserve">En sık geçen kelimeler cinsiyet/yaş belirteçleri (erkek, kadın, çocuk, bebek, kız) ve ürün tipi kelimeleri (ayakkabı, seti, takımı, ceket, pantolon, çanta). Bu, kullanıcı sorgularının genellikle “[demografi] + [ürün tipi]” kalıbında olduğunu gösteriyor ve query'den demografi/ürün-tipi çıkarımı yapan özellikler (feature) güçlü sinyal olabilir.</w:t>
      </w:r>
    </w:p>
    <w:p>
      <w:pPr>
        <w:spacing w:before="120"/>
        <w:jc w:val="center"/>
      </w:pPr>
      <w:r>
        <w:drawing>
          <wp:inline distT="0" distB="0" distL="0" distR="0">
            <wp:extent cx="4381500" cy="4381500"/>
            <wp:effectExtent t="0" r="0" b="0" l="0"/>
            <wp:docPr id="1" name="/sessions/amazing-dreamy-cannon/mnt/outputs/chart5_top_tokens.png" descr="/sessions/amazing-dreamy-cannon/mnt/outputs/chart5_top_tokens.png" title="/sessions/amazing-dreamy-cannon/mnt/outputs/chart5_top_toke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Grafik 5: Arama terimlerinde en sık geçen 25 kelime</w:t>
      </w:r>
    </w:p>
    <w:p>
      <w:pPr>
        <w:pStyle w:val="Heading1"/>
      </w:pPr>
      <w:r>
        <w:t xml:space="preserve">5. Eğitim Çiftleri (training_pairs.csv)</w:t>
      </w:r>
    </w:p>
    <w:p>
      <w:pPr>
        <w:spacing w:after="160"/>
      </w:pPr>
      <w:r>
        <w:t xml:space="preserve">250.000 satırın tamamı benzersiz id'ye sahip ve label kolonu her zaman 1 (README'de belirtildiği gibi yalnızca pozitif çiftler). Kapsanan 17.968 benzersiz terim ve 229.416 benzersiz ürün, hem terms.csv hem items.csv içinde %100 oranında bulunuyor (referans bütünlüğü sorunsuz).</w:t>
      </w:r>
    </w:p>
    <w:p>
      <w:pPr>
        <w:pStyle w:val="Heading2"/>
      </w:pPr>
      <w:r>
        <w:t xml:space="preserve">5.1 Terim ve Ürün Başına Çift Sayısı</w:t>
      </w:r>
    </w:p>
    <w:p>
      <w:pPr>
        <w:spacing w:after="160"/>
      </w:pPr>
      <w:r>
        <w:t xml:space="preserve">Bir terim ortalama 13,9 pozitif ürünle eşleşiyor (medyan 7, maksimum 1.525 — muhtemelen “erkek ayakkabı” gibi çok genel bir sorgu); terimlerin %63,6'sının 5 veya daha fazla eşleşmesi var. Buna karşın bir ürün ortalama sadece 1,09 terimle eşleşiyor; ürünlerin %92,3'ü tam olarak 1 terime bağlı. Bu asimetri, terimlerin geniş, ürünlerin ise dar bir eşleşme alanına sahip olduğunu gösteriyor.</w:t>
      </w:r>
    </w:p>
    <w:p>
      <w:pPr>
        <w:spacing w:before="120"/>
        <w:jc w:val="center"/>
      </w:pPr>
      <w:r>
        <w:drawing>
          <wp:inline distT="0" distB="0" distL="0" distR="0">
            <wp:extent cx="5286375" cy="2162175"/>
            <wp:effectExtent t="0" r="0" b="0" l="0"/>
            <wp:docPr id="1" name="/sessions/amazing-dreamy-cannon/mnt/outputs/chart6_pairs_buckets.png" descr="/sessions/amazing-dreamy-cannon/mnt/outputs/chart6_pairs_buckets.png" title="/sessions/amazing-dreamy-cannon/mnt/outputs/chart6_pairs_buck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Grafik 6: training_pairs.csv — terim ve ürün başına pozitif çift sayısı dağılımı</w:t>
      </w:r>
    </w:p>
    <w:p>
      <w:pPr>
        <w:pStyle w:val="Heading1"/>
      </w:pPr>
      <w:r>
        <w:t xml:space="preserve">6. Test Seti (submission_pairs.csv) ve Cold-Start Analizi</w:t>
      </w:r>
    </w:p>
    <w:p>
      <w:pPr>
        <w:spacing w:after="160"/>
      </w:pPr>
      <w:r>
        <w:t xml:space="preserve">3.359.679 tahmin edilecek çift, 32.185 benzersiz terim ve 929.781 benzersiz ürün (katalogdaki ürünlerin %96,6'sı) içeriyor. Tüm term_id ve item_id değerleri sırasıyla terms.csv ve items.csv'de %100 oranında mevcut (kayıp referans yok).</w:t>
      </w:r>
    </w:p>
    <w:p>
      <w:pPr>
        <w:pStyle w:val="Heading2"/>
      </w:pPr>
      <w:r>
        <w:t xml:space="preserve">6.1 Cold-Start Bulgusu (kritik)</w:t>
      </w:r>
    </w:p>
    <w:p>
      <w:pPr>
        <w:spacing w:after="160"/>
      </w:pPr>
      <w:r>
        <w:t xml:space="preserve">Test setindeki 32.185 arama teriminin hiçbiri (%0) training_pairs.csv'de görülmemiştir — terim kümeleri tamamen ayrık (disjoint). Ürün tarafında ise test ürünlerinin %21,1'i eğitim setinde (başka bir terimle) pozitif olarak geçmiş, %78,9'u ise modelin hiç görmediği yeni ürünler.</w:t>
      </w:r>
    </w:p>
    <w:p>
      <w:pPr>
        <w:spacing w:before="120"/>
        <w:jc w:val="center"/>
      </w:pPr>
      <w:r>
        <w:drawing>
          <wp:inline distT="0" distB="0" distL="0" distR="0">
            <wp:extent cx="4972050" cy="3829050"/>
            <wp:effectExtent t="0" r="0" b="0" l="0"/>
            <wp:docPr id="1" name="/sessions/amazing-dreamy-cannon/mnt/outputs/chart8_coldstart.png" descr="/sessions/amazing-dreamy-cannon/mnt/outputs/chart8_coldstart.png" title="/sessions/amazing-dreamy-cannon/mnt/outputs/chart8_cold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Grafik 8: submission_pairs.csv — term_id ve item_id'lerin training_pairs.csv'de görülme oranı</w:t>
      </w:r>
    </w:p>
    <w:p>
      <w:pPr>
        <w:spacing w:after="160"/>
      </w:pPr>
      <w:r>
        <w:t xml:space="preserve">Sonuç: term_id veya item_id'yi doğrudan bir kategorik/lookup özelliği olarak kullanan (“bu terim geçmişte hangi ürünlerle eşleşti” türü memorization) yaklaşımlar test setinde işe yaramayacaktır. Model, sorgu metni (query) ile ürün metni/özellikleri (title, category, brand, attributes) arasındaki genellenebilir semantik/lexical ilişkiyi öğrenmek zorundadır.</w:t>
      </w:r>
    </w:p>
    <w:p>
      <w:pPr>
        <w:pStyle w:val="Heading2"/>
      </w:pPr>
      <w:r>
        <w:t xml:space="preserve">6.2 Terim ve Ürün Başına Test Çifti Sayısı</w:t>
      </w:r>
    </w:p>
    <w:p>
      <w:pPr>
        <w:spacing w:after="160"/>
      </w:pPr>
      <w:r>
        <w:t xml:space="preserve">Test setinde her terim ortalama 104,4 ürünle eşleştiriliyor (medyan 100, min 100, maks 3.680) — minimum değerin sabit 100 olması, test setinin terim başına en az 100 aday ürünle kurgulandığını gösteriyor. Ürün başına ortalama 3,6 terim eşleşmesi var (medyan 3, maks 447).</w:t>
      </w:r>
    </w:p>
    <w:p>
      <w:pPr>
        <w:pStyle w:val="Heading2"/>
      </w:pPr>
      <w:r>
        <w:t xml:space="preserve">6.3 sample_submission.csv Format Doğrulaması</w:t>
      </w:r>
    </w:p>
    <w:p>
      <w:pPr>
        <w:spacing w:after="160"/>
      </w:pPr>
      <w:r>
        <w:t xml:space="preserve">sample_submission.csv, submission_pairs.csv ile satır sayısı (3.359.679) ve id kümesi bakımından birebir örtüşüyor; iki kolonu var (id, prediction) ve örnek dosyada tüm tahminler temsili olarak 0. Gönderim formatı README'de belirtilenle tutarlı.</w:t>
      </w:r>
    </w:p>
    <w:p>
      <w:pPr>
        <w:pStyle w:val="Heading1"/>
      </w:pPr>
      <w:r>
        <w:t xml:space="preserve">7. Kelime Örtüşmesi (Word-Overlap) Analizi</w:t>
      </w:r>
    </w:p>
    <w:p>
      <w:pPr>
        <w:spacing w:after="160"/>
      </w:pPr>
      <w:r>
        <w:t xml:space="preserve">README'de paylaşılan örnek baseline, query ile ürün metni (title + category + brand + gender + age_group + attributes) arasında en az 1 ortak kelime varsa “relevant” (1) tahmini yapıyor. Bu yaklaşımın gerçek etiketlerle ne kadar örtüştüğünü ölçmek için iki analiz yapıldı: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training_pairs.csv (n=250.000, tüm çiftler gerçekten label=1): baseline'ın bu pozitifleri ne oranda “yakalayabildiği” (bir tür recall tavanı).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submission_pairs.csv'den rastgele 150.000 çiftlik örneklem: gerçek etiket bilinmediği için sadece baseline'ın test setinde üreteceği tahmin dağılımı.</w:t>
      </w:r>
    </w:p>
    <w:p>
      <w:pPr>
        <w:spacing w:before="120"/>
        <w:jc w:val="center"/>
      </w:pPr>
      <w:r>
        <w:drawing>
          <wp:inline distT="0" distB="0" distL="0" distR="0">
            <wp:extent cx="5286375" cy="2162175"/>
            <wp:effectExtent t="0" r="0" b="0" l="0"/>
            <wp:docPr id="1" name="/sessions/amazing-dreamy-cannon/mnt/outputs/chart7_overlap_hist.png" descr="/sessions/amazing-dreamy-cannon/mnt/outputs/chart7_overlap_hist.png" title="/sessions/amazing-dreamy-cannon/mnt/outputs/chart7_overlap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Grafik 7: Query-ürün ortak kelime sayısı dağılımı — sol: eğitim pozitifleri, sağ: test örneklemi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training_pairs (pozitifler)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submission_pairs (örneklem)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Örneklem büyüklüğü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Ortak kelime = 0 oranı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%2,8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%52,4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Ortak kelime ≥ 1 oranı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%97,2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%47,6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Ortalama ortak kelime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Medyan ortak kelime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Tablo 3: Word-overlap analizi sonuçları</w:t>
      </w:r>
    </w:p>
    <w:p>
      <w:pPr>
        <w:spacing w:after="160"/>
      </w:pPr>
      <w:r>
        <w:t xml:space="preserve">Yorum: Basit kelime-örtüşmesi kuralı, gerçek pozitif çiftlerin %97,2'sini doğru şekilde “en az 1 ortak kelime” ile yakalıyor; bu da onu makul bir başlangıç sezgisi (heuristic) yapıyor. Ancak pozitiflerin %2,8'i hiçbir ortak kelime paylaşmıyor (muhtemelen marka adı, eşanlamlı kelime, yazım farkı veya İngilizce/Türkçe karışık ifadeler nedeniyle) — bu, salt lexical eşleşmenin recall tavanını gösterir. Test örnekleminde ortak kelimesi olan çiftlerin oranı (%47,6) gerçek pozitif oranını değil, yalnızca bu naif kuralın üreteceği tahmin dağılımını yansıtır; gerçek pozitif oranı muhtemelen daha düşüktür çünkü submission_pairs terim başına ~100 aday ürün içerecek şekilde kurgulanmıştır (bkz. Bölüm 6.2) ve bunların çoğu muhtemelen “hard negative” olarak seçilmiş olabilir.</w:t>
      </w:r>
    </w:p>
    <w:p>
      <w:pPr>
        <w:pStyle w:val="Heading1"/>
      </w:pPr>
      <w:r>
        <w:t xml:space="preserve">8. Veri Kalitesi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items.csv — null/boş değer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Yok (7 kolonda da %0)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terms.csv — null/boş değer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items.csv — yinelenen item_id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terms.csv — yinelenen term_id /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training_pairs.csv — yinelenen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training_pairs.csv — term_id/item_id referans bütünlüğü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 (terms.csv / items.csv ile eşleşiyor)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submission_pairs.csv — term_id/item_id referans bütünlüğü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 (terms.csv / items.csv ile eşleşiyor)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sample_submission.csv — format / id kümesi uyumu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 uyumlu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 / age_group — “unknown” oranı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 (%61,4 / %59,4) — beklenen (README'de belirtilmiş)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666666"/>
          <w:sz w:val="18"/>
          <w:szCs w:val="18"/>
        </w:rPr>
        <w:t xml:space="preserve">Tablo 4: Veri kalitesi kontrol listesi</w:t>
      </w:r>
    </w:p>
    <w:p>
      <w:pPr>
        <w:pStyle w:val="Heading1"/>
      </w:pPr>
      <w:r>
        <w:t xml:space="preserve">9. Sonuç ve Modelleme Önerileri</w:t>
      </w:r>
    </w:p>
    <w:p>
      <w:pPr>
        <w:spacing w:after="160"/>
      </w:pPr>
      <w:r>
        <w:t xml:space="preserve">Bu EDA'dan çıkan en kritik mimari karar, term_id/item_id tabanlı ezberleme (collaborative-filtering benzeri) yaklaşımların test setinde işe yaramayacağıdır — çünkü terimler arasında sıfır örtüşme var. Buna göre öneriler: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İçerik tabanlı (content-based) modelleme zorunlu: Sadece query metni ve ürün metni/özellikleri (title, category, brand, gender, age_group, attributes) arasındaki ilişkiyi öğrenen bir model kurulmalı; term_id/item_id'nin kendisi kategorik özellik olarak kullanılmamalı.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Negatif örnek üretimi: training_pairs.csv yalnızca pozitif içerdiğinden, negatifler stratejik olarak üretilmeli — rastgele negatiflerin yanı sıra “hard negative” (aynı kategori/marka ama alakasız ürün) örnekler modelin ayırt etme gücünü artıracaktır. submission_pairs'teki terim başına ~100 adaylık yapı, test setinin muhtemelen hard-negative mining ile oluşturulduğuna işaret ediyor.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Lexical + semantik özelliklerin birleşimi: Kelime-örtüşmesi (Jaccard, ortak kelime sayısı) güçlü fakat tek başına yetersiz bir sinyal (%2,8 kayıp pozitif); TF-IDF benzerliği, karakter n-gram benzerliği (yazım hatalarına dayanıklı) ve Türkçe’ye uygun sentence-embedding tabanlı semantik benzerlik eklenmeli.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Query kalıbından demografi/ürün-tipi çıkarımı: Sorguların çoğu “[demografi] + [ürün tipi]” kalıbında (Bölüm 4); query'den çıkarılan cinsiyet/yaş bilgisinin items.csv'deki gender/age_group ile tutarlılığı güçlü bir özellik olabilir (ör. query'de “erkek” geçiyorsa ve ürün gender=kadın ise güçlü negatif sinyal).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Kategori/marka hiyerarşisinden özellik türetme: 2.932 kategori zinciri ve 79.791 marka için embedding veya hiyerarşik one-hot (üst düzey kategori + alt seviyeler ayrı ayrı) kullanılmalı; long-tail marka dağılımı nedeniyle nadir markalar için fallback/gruplama stratejisi gerekebilir.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Doğrulama (validation) stratejisi cold-start'ı yansıtmalı: Eğitim/doğrulama ayrımı yapılırken rastgele satır bölme yerine term_id bazlı ayrım (GroupKFold benzeri) kullanılmalı; aksi halde doğrulama skoru test performansını olduğundan iyimser gösterir, çünkü gerçek test setinde terimler tamamen görünmemiş.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Metrik odaklı eşik ayarı: Değerlendirme macro-F1 olduğundan (0 ve 1 sınıfları eşit ağırlıklı), sınıf dengesizliği olası olduğundan karar eşiği (threshold) rastgele/hard-negative dağılımına göre ayrıca kalibre edilmeli.</w:t>
      </w:r>
    </w:p>
    <w:p>
      <w:pPr>
        <w:spacing w:after="160"/>
      </w:pPr>
      <w:r>
        <w:rPr>
          <w:i/>
          <w:iCs/>
          <w:color w:val="666666"/>
        </w:rPr>
        <w:t xml:space="preserve">Bu rapor yalnızca keşifsel analiz kapsamındadır; modelleme, özellik mühendisliği ve doğrulama aşamaları sonraki adımlarda ele alınacaktır.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Sayfa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Trendyol EDA Raporu — Arama Alaka Tahmini Yarışması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7A1A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F27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B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02ec227d24f6df8e6a540f65971b7332883a76.png"/><Relationship Id="rId10" Type="http://schemas.openxmlformats.org/officeDocument/2006/relationships/image" Target="media/26f9c53154afbc2e803f2eeb0e87e14522e50826.png"/><Relationship Id="rId11" Type="http://schemas.openxmlformats.org/officeDocument/2006/relationships/image" Target="media/4c98f961b1758dd5bea9eb066cac5d81d5c7edd1.png"/><Relationship Id="rId12" Type="http://schemas.openxmlformats.org/officeDocument/2006/relationships/image" Target="media/4b085c52ffe41eba3152aee6a8632a4164e0409c.png"/><Relationship Id="rId13" Type="http://schemas.openxmlformats.org/officeDocument/2006/relationships/image" Target="media/62ff8f640336de0d3265f480036f628c1c0192c9.png"/><Relationship Id="rId14" Type="http://schemas.openxmlformats.org/officeDocument/2006/relationships/image" Target="media/f1e80a16b40572365e1c678ebad77c33b5bfad49.png"/><Relationship Id="rId15" Type="http://schemas.openxmlformats.org/officeDocument/2006/relationships/image" Target="media/0c473741320f4b2367f8069c5d7c7413311b8ea8.png"/><Relationship Id="rId16" Type="http://schemas.openxmlformats.org/officeDocument/2006/relationships/image" Target="media/9c324549a8829c72d64df4622ed74b327e48955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2026-07-02T20:38:34.832Z</dcterms:created>
  <dcterms:modified xsi:type="dcterms:W3CDTF">2026-07-02T20:38:34.833Z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