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Escalation Policy</w:t>
      </w:r>
    </w:p>
    <w:p>
      <w:pPr>
        <w:pStyle w:val="Heading2"/>
      </w:pPr>
      <w:r>
        <w:t>When to escalate to a manager</w:t>
      </w:r>
    </w:p>
    <w:p>
      <w:r>
        <w:t>Escalate to a manager if a customer requests a supervisor by name, or if a ticket has been open for more than five business days without resolution.</w:t>
      </w:r>
    </w:p>
    <w:p>
      <w:pPr>
        <w:pStyle w:val="Heading2"/>
      </w:pPr>
      <w:r>
        <w:t>Retention offers</w:t>
      </w:r>
    </w:p>
    <w:p>
      <w:r>
        <w:t>Retention offers may only be extended by a team lead. Support agents must not promise a discount before a team lead confirms it in the ticket.</w:t>
      </w:r>
    </w:p>
    <w:p>
      <w:pPr>
        <w:pStyle w:val="Heading2"/>
      </w:pPr>
      <w:r>
        <w:t>Communication tone</w:t>
      </w:r>
    </w:p>
    <w:p>
      <w:r>
        <w:t>Never blame engineering or another team by name in a customer-facing reply, even if the root cause was on their side.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