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Electoral</w:t>
      </w:r>
      <w:r>
        <w:t xml:space="preserve"> </w:t>
      </w:r>
      <w:r>
        <w:t xml:space="preserve">Effects</w:t>
      </w:r>
      <w:r>
        <w:t xml:space="preserve"> </w:t>
      </w:r>
      <w:r>
        <w:t xml:space="preserve">of</w:t>
      </w:r>
      <w:r>
        <w:t xml:space="preserve"> </w:t>
      </w:r>
      <w:r>
        <w:t xml:space="preserve">Public</w:t>
      </w:r>
      <w:r>
        <w:t xml:space="preserve"> </w:t>
      </w:r>
      <w:r>
        <w:t xml:space="preserve">Savings</w:t>
      </w:r>
      <w:r>
        <w:t xml:space="preserve"> </w:t>
      </w:r>
      <w:r>
        <w:t xml:space="preserve">Banks</w:t>
      </w:r>
      <w:r>
        <w:t xml:space="preserve"> </w:t>
      </w:r>
      <w:r>
        <w:t xml:space="preserve">in</w:t>
      </w:r>
      <w:r>
        <w:t xml:space="preserve"> </w:t>
      </w:r>
      <w:r>
        <w:t xml:space="preserve">German</w:t>
      </w:r>
      <w:r>
        <w:t xml:space="preserve"> </w:t>
      </w:r>
      <w:r>
        <w:t xml:space="preserve">Subnational</w:t>
      </w:r>
      <w:r>
        <w:t xml:space="preserve"> </w:t>
      </w:r>
      <w:r>
        <w:t xml:space="preserve">Elections:</w:t>
      </w:r>
      <w:r>
        <w:t xml:space="preserve"> </w:t>
      </w:r>
      <w:r>
        <w:t xml:space="preserve">The</w:t>
      </w:r>
      <w:r>
        <w:t xml:space="preserve"> </w:t>
      </w:r>
      <w:r>
        <w:t xml:space="preserve">Case</w:t>
      </w:r>
      <w:r>
        <w:t xml:space="preserve"> </w:t>
      </w:r>
      <w:r>
        <w:t xml:space="preserve">of</w:t>
      </w:r>
      <w:r>
        <w:t xml:space="preserve"> </w:t>
      </w:r>
      <w:r>
        <w:t xml:space="preserve">Bavaria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r>
        <w:t xml:space="preserve"> </w:t>
      </w:r>
      <w:r>
        <w:t xml:space="preserve">(MPP-E1180)</w:t>
      </w:r>
    </w:p>
    <w:p>
      <w:pPr>
        <w:pStyle w:val="Date"/>
      </w:pPr>
      <w:r>
        <w:t xml:space="preserve">13</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4" w:name="introduction3"/>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and moral hazard implications of banks that are 'too big to fail', political economists predominantly approach banks and politics as closely linked, but two separate spheres. Publicly owned banks are, thus, strikingly neglected by the Political Economy literature despite the fact that public banks play an essential role in many European banking sectors. This calls for closer examination of the political economy of public banks, hence, the implications of politicians</w:t>
      </w:r>
      <w:r>
        <w:t xml:space="preserve"> </w:t>
      </w:r>
      <w:r>
        <w:rPr>
          <w:i/>
        </w:rPr>
        <w:t xml:space="preserve">within</w:t>
      </w:r>
      <w:r>
        <w:t xml:space="preserve"> </w:t>
      </w:r>
      <w:r>
        <w:t xml:space="preserve">banks for bank action and political outcomes.</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overall they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the next part, the institutional background is described. In Section 3, the relevant existing literature is reviewed. Section 4 outlines the main hypothesis of the paper and, subsequently, datasets and the statistical model are introduced (section 5) and in the 6th section, descriptive statistics and findings from inferential statistics are presented. Section 7 concludes.</w:t>
      </w:r>
    </w:p>
    <w:p>
      <w:pPr>
        <w:pStyle w:val="Heading1"/>
      </w:pPr>
      <w:bookmarkStart w:id="26" w:name="institutional-setting"/>
      <w:bookmarkEnd w:id="26"/>
      <w:r>
        <w:t xml:space="preserve">2. Institutional Setting</w:t>
      </w:r>
    </w:p>
    <w:p>
      <w:pPr>
        <w:pStyle w:val="Heading2"/>
      </w:pPr>
      <w:bookmarkStart w:id="27" w:name="german-public-banks"/>
      <w:bookmarkEnd w:id="27"/>
      <w:r>
        <w:t xml:space="preserve">2.1. German Public Banks</w:t>
      </w:r>
    </w:p>
    <w:p>
      <w:pPr>
        <w:pStyle w:val="FirstParagraph"/>
      </w:pPr>
      <w:r>
        <w:t xml:space="preserve">The German three-pillar banking system consists of a small number of large commercial banks, about 1,100 cooperative banks, and 416 publicly owned</w:t>
      </w:r>
      <w:r>
        <w:t xml:space="preserve"> </w:t>
      </w:r>
      <w:r>
        <w:rPr>
          <w:i/>
        </w:rPr>
        <w:t xml:space="preserve">Sparkassen</w:t>
      </w:r>
      <w:r>
        <w:t xml:space="preserve">. Today,</w:t>
      </w:r>
      <w:r>
        <w:t xml:space="preserve"> </w:t>
      </w:r>
      <w:r>
        <w:rPr>
          <w:i/>
        </w:rPr>
        <w:t xml:space="preserve">Sparkassen</w:t>
      </w:r>
      <w:r>
        <w:t xml:space="preserve"> </w:t>
      </w:r>
      <w:r>
        <w:t xml:space="preserve">account for 34% of total assets and 44% of lending to non-financial institutions in Germany</w:t>
      </w:r>
      <w:r>
        <w:t xml:space="preserve"> </w:t>
      </w:r>
      <w:r>
        <w:t xml:space="preserve">(Deutsche Bundesbank 2015)</w:t>
      </w:r>
      <w:r>
        <w:t xml:space="preserve"> </w:t>
      </w:r>
      <w:r>
        <w:t xml:space="preserve">(see Appendix I). Besides their significant share in overall assets and lending, they are important actors for the local economy in Germany: German savings banks' mandate obliges them to not maximize profits, but support regional economic and social development</w:t>
      </w:r>
      <w:r>
        <w:rPr>
          <w:rStyle w:val="FootnoteReference"/>
        </w:rPr>
        <w:footnoteReference w:id="28"/>
      </w:r>
      <w:r>
        <w:t xml:space="preserve">. They foster local economic development by providing credit to small and medium-sized enterprises</w:t>
      </w:r>
      <w:r>
        <w:rPr>
          <w:rStyle w:val="FootnoteReference"/>
        </w:rPr>
        <w:footnoteReference w:id="29"/>
      </w:r>
      <w:r>
        <w:t xml:space="preserve"> </w:t>
      </w:r>
      <w:r>
        <w:t xml:space="preserve">as well as to local governments and subsidize the production of local public goods such as access to finance in rural areas.</w:t>
      </w:r>
    </w:p>
    <w:p>
      <w:pPr>
        <w:pStyle w:val="BodyText"/>
      </w:pPr>
      <w:r>
        <w:rPr>
          <w:i/>
        </w:rPr>
        <w:t xml:space="preserve">Sparkassen's</w:t>
      </w:r>
      <w:r>
        <w:t xml:space="preserve"> </w:t>
      </w:r>
      <w:r>
        <w:t xml:space="preserve">geographical areas of business are, by law, restricted, so that savings banks do not compete against one another, but have a strong regional component in their activities; in any given municipality, only a single savings bank is established (no overlapping business areas, see Appendix II [in German]).</w:t>
      </w:r>
    </w:p>
    <w:p>
      <w:pPr>
        <w:pStyle w:val="BodyText"/>
      </w:pPr>
      <w:r>
        <w:t xml:space="preserve">Most of the 416</w:t>
      </w:r>
      <w:r>
        <w:t xml:space="preserve"> </w:t>
      </w:r>
      <w:r>
        <w:rPr>
          <w:i/>
        </w:rPr>
        <w:t xml:space="preserve">Sparkassen</w:t>
      </w:r>
      <w:r>
        <w:t xml:space="preserve"> </w:t>
      </w:r>
      <w:r>
        <w:t xml:space="preserve">are owned by the counties or municipalities in which they operate</w:t>
      </w:r>
      <w:r>
        <w:rPr>
          <w:rStyle w:val="FootnoteReference"/>
        </w:rPr>
        <w:footnoteReference w:id="30"/>
      </w:r>
      <w:r>
        <w:t xml:space="preserve">; for this reason, many local politicians of counties and municipalities, in particular county commissioners (</w:t>
      </w:r>
      <w:r>
        <w:rPr>
          <w:i/>
        </w:rPr>
        <w:t xml:space="preserve">Landräte</w:t>
      </w:r>
      <w:r>
        <w:t xml:space="preserve">) and mayors, are members of the Board of Directors (</w:t>
      </w:r>
      <w:r>
        <w:rPr>
          <w:i/>
        </w:rPr>
        <w:t xml:space="preserve">Verwaltungsrat</w:t>
      </w:r>
      <w:r>
        <w:t xml:space="preserve">) as well as at the credit committee of their local</w:t>
      </w:r>
      <w:r>
        <w:t xml:space="preserve"> </w:t>
      </w:r>
      <w:r>
        <w:rPr>
          <w:i/>
        </w:rPr>
        <w:t xml:space="preserve">Sparkasse</w:t>
      </w:r>
      <w:r>
        <w:t xml:space="preserve">. The boardseat provides politicians with statutory leverage over strategic decisions of banks and opens the door for political tinkering and rent-seeking behaviour of politicians with a boardseat in their local savings bank.</w:t>
      </w:r>
    </w:p>
    <w:p>
      <w:pPr>
        <w:pStyle w:val="Heading2"/>
      </w:pPr>
      <w:bookmarkStart w:id="31" w:name="german-political-system-municipalities-and-mayors-in-germany"/>
      <w:bookmarkEnd w:id="31"/>
      <w:r>
        <w:t xml:space="preserve">2.2. German Political System: Municipalities and Mayors in Germany</w:t>
      </w:r>
    </w:p>
    <w:p>
      <w:pPr>
        <w:pStyle w:val="FirstParagraph"/>
      </w:pPr>
      <w:r>
        <w:t xml:space="preserve">The German federal political system consists of four government layers: the federal state (federal level), 16 states (state level), 399 counties and 107 county-free cities (county level), and 11,192 municipalities (municipal level). Each municipality has its own municipal council and is jointly governed by the municipal council and its directly elected mayor</w:t>
      </w:r>
      <w:r>
        <w:rPr>
          <w:rStyle w:val="FootnoteReference"/>
        </w:rPr>
        <w:footnoteReference w:id="32"/>
      </w:r>
      <w:r>
        <w:t xml:space="preserve">. Election rules depend on federal law and the mayoral tenure vary across federal states between five and eight years; also, mayors' power and relationship to the municipal council is defined by federal law and has changed over time. In most federal states, mayors stand out in local politics as the only full-time politician at the municipal level</w:t>
      </w:r>
      <w:r>
        <w:rPr>
          <w:rStyle w:val="FootnoteReference"/>
        </w:rPr>
        <w:footnoteReference w:id="33"/>
      </w:r>
      <w:r>
        <w:t xml:space="preserve"> </w:t>
      </w:r>
      <w:r>
        <w:t xml:space="preserve">with a strong and independent position</w:t>
      </w:r>
      <w:r>
        <w:t xml:space="preserve"> </w:t>
      </w:r>
      <w:r>
        <w:t xml:space="preserve">(Freier 2015)</w:t>
      </w:r>
      <w:r>
        <w:t xml:space="preserve">.</w:t>
      </w:r>
    </w:p>
    <w:p>
      <w:pPr>
        <w:pStyle w:val="BodyText"/>
      </w:pPr>
      <w:r>
        <w:t xml:space="preserve">German municipalities provide a variety of local public goods and services: They are responsible for administrating spending received from higher government tiers, oversee local public firms, and provide a variety of direct responsibilities such as cultural expenditures, childcare provision, or local infrastructure. While most tasks provided by municipalities are determined by law, local politicians have some room for manoeuvre as they can take on additional responsibilities and deliver voluntary services. Moreover, municipalities have a some degree of freedom in designing tax policy by determining municipal taxes (local business tax and property tax)</w:t>
      </w:r>
      <w:r>
        <w:t xml:space="preserve"> </w:t>
      </w:r>
      <w:r>
        <w:t xml:space="preserve">(Fritz and Feld 2015)</w:t>
      </w:r>
      <w:r>
        <w:t xml:space="preserve">. At the same time, local politicians enjoy several benefits from their political position: Although most politicians at the local level are non-professional, they receive a considerable financial compensation for their work. More importantly, some get formal or informal access to influential positions, such as the board of their local</w:t>
      </w:r>
      <w:r>
        <w:t xml:space="preserve"> </w:t>
      </w:r>
      <w:r>
        <w:rPr>
          <w:i/>
        </w:rPr>
        <w:t xml:space="preserve">Sparkasse</w:t>
      </w:r>
      <w:r>
        <w:t xml:space="preserve">. Hence, municipal elections are of importance for the population in the voting district</w:t>
      </w:r>
      <w:r>
        <w:rPr>
          <w:rStyle w:val="FootnoteReference"/>
        </w:rPr>
        <w:footnoteReference w:id="34"/>
      </w:r>
      <w:r>
        <w:t xml:space="preserve"> </w:t>
      </w:r>
      <w:r>
        <w:t xml:space="preserve">as well as for the elected politicians.</w:t>
      </w:r>
    </w:p>
    <w:p>
      <w:pPr>
        <w:pStyle w:val="Heading1"/>
      </w:pPr>
      <w:bookmarkStart w:id="35" w:name="literature-review"/>
      <w:bookmarkEnd w:id="35"/>
      <w:r>
        <w:t xml:space="preserve">3.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36"/>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37" w:name="hypotheses-and-predictions"/>
      <w:bookmarkEnd w:id="37"/>
      <w:r>
        <w:t xml:space="preserve">4. Hypotheses and Predictions</w:t>
      </w:r>
    </w:p>
    <w:p>
      <w:pPr>
        <w:pStyle w:val="FirstParagraph"/>
      </w:pPr>
      <w:r>
        <w:t xml:space="preserve">This paper examines the hypothesis that mayors with a board seat in their local</w:t>
      </w:r>
      <w:r>
        <w:t xml:space="preserve"> </w:t>
      </w:r>
      <w:r>
        <w:rPr>
          <w:i/>
        </w:rPr>
        <w:t xml:space="preserve">Sparkasse</w:t>
      </w:r>
      <w:r>
        <w:t xml:space="preserve"> </w:t>
      </w:r>
      <w:r>
        <w:t xml:space="preserve">are more likely to be reelected compared to mayors without a board 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the chairmen of the savings bank, usually mayors or county commissioners,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mayors who won their mandate in a contested election (more than one candidate); the reelection probability of mayors with a board seat is compared to the that of mayors without board representation. Thus, our sample consists of mayors that participated in at least two consecutive contested elections.</w:t>
      </w:r>
    </w:p>
    <w:p>
      <w:pPr>
        <w:pStyle w:val="BodyText"/>
      </w:pPr>
      <w:r>
        <w:t xml:space="preserve">Two aspects require particular attention in this research design as they might confound the estimated effect: The determinants of assignment of board posts and alternative factors affecting the reelection chance of incumbent mayors. Answering the research question requires a profound knowledge of the assignment process of board members in German savings banks. At this stage, we do not sufficiently understand the assignment procedure of mayoral board posts, but clear-cut assignment rules that would enable a Regression Discontinuity Design (RDD) do not exist. For some obvious potential determinants, such as size of the municipality, we control (see section</w:t>
      </w:r>
      <w:r>
        <w:t xml:space="preserve"> </w:t>
      </w:r>
      <w:r>
        <w:rPr>
          <w:b/>
        </w:rPr>
        <w:t xml:space="preserve">YYY</w:t>
      </w:r>
      <w:r>
        <w:t xml:space="preserve">). However, without a clear grasp of the assignment determinants, our estimates will be suspect. In order to strengthen our causal narrative, we intend to conduct a number of expert interviews with members of</w:t>
      </w:r>
      <w:r>
        <w:t xml:space="preserve"> </w:t>
      </w:r>
      <w:r>
        <w:rPr>
          <w:i/>
        </w:rPr>
        <w:t xml:space="preserve">Sparkassen</w:t>
      </w:r>
      <w:r>
        <w:t xml:space="preserve"> </w:t>
      </w:r>
      <w:r>
        <w:t xml:space="preserve">associations to understand this process.</w:t>
      </w:r>
    </w:p>
    <w:p>
      <w:pPr>
        <w:pStyle w:val="BodyText"/>
      </w:pPr>
      <w:r>
        <w:t xml:space="preserve">Furthermore, the paper will control for alternative factors that affect the probability of mayors to regain office</w:t>
      </w:r>
      <w:r>
        <w:rPr>
          <w:rStyle w:val="FootnoteReference"/>
        </w:rPr>
        <w:footnoteReference w:id="38"/>
      </w:r>
      <w:r>
        <w:t xml:space="preserve">. The size of the municipality might affect the reelection chances of mayors as incumbents in larger municipalities have access to larger resources that can be used to regain the mayor's post</w:t>
      </w:r>
      <w:r>
        <w:t xml:space="preserve">(Levitt and Wolfram 1997)</w:t>
      </w:r>
      <w:r>
        <w:t xml:space="preserve">. In addition, personal characteristics of the mayor might affect his reelection chance, independent of the board membership of the mayor: Therefore, we control for vote share of the incumbent in the previous election assuming that candidates with higher vote shares enjoy more popularity and are thus more likely to get reelected in the next election. Moreover, we control for the gender of the incumbent.</w:t>
      </w:r>
    </w:p>
    <w:p>
      <w:pPr>
        <w:pStyle w:val="Heading1"/>
      </w:pPr>
      <w:bookmarkStart w:id="39" w:name="data-and-statistical-model"/>
      <w:bookmarkEnd w:id="39"/>
      <w:r>
        <w:t xml:space="preserve">5. Data and Statistical Model</w:t>
      </w:r>
    </w:p>
    <w:p>
      <w:pPr>
        <w:pStyle w:val="Heading2"/>
      </w:pPr>
      <w:bookmarkStart w:id="40" w:name="data"/>
      <w:bookmarkEnd w:id="40"/>
      <w:r>
        <w:t xml:space="preserve">5.1. Data</w:t>
      </w:r>
    </w:p>
    <w:p>
      <w:pPr>
        <w:pStyle w:val="FirstParagraph"/>
      </w:pPr>
      <w:r>
        <w:t xml:space="preserve">A unique, largely hand-collected dataset is compiled that combines information from various sources. The unit of analysis are mayoral elections in Bavaria. Data on mayors' electoral performance is matched with data on board compositions of German savings banks. Overall, the working sample includes 2,099 municipalities and 79 savings banks in Bavaria over the years 2006 to 2015.</w:t>
      </w:r>
    </w:p>
    <w:p>
      <w:pPr>
        <w:pStyle w:val="Heading3"/>
      </w:pPr>
      <w:bookmarkStart w:id="41" w:name="bank-board-data"/>
      <w:bookmarkEnd w:id="41"/>
      <w:r>
        <w:t xml:space="preserve">5.1.1.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and gender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the database can be extended back to 1998 with micro-fiche versions of annual reports from Bureau van Dijk's</w:t>
      </w:r>
      <w:r>
        <w:t xml:space="preserve"> </w:t>
      </w:r>
      <w:r>
        <w:rPr>
          <w:i/>
        </w:rPr>
        <w:t xml:space="preserve">Bankscope</w:t>
      </w:r>
      <w:r>
        <w:t xml:space="preserve"> </w:t>
      </w:r>
      <w:r>
        <w:t xml:space="preserve">database.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42" w:name="election-data"/>
      <w:bookmarkEnd w:id="42"/>
      <w:r>
        <w:t xml:space="preserve">5.1.2. Election Data</w:t>
      </w:r>
    </w:p>
    <w:p>
      <w:pPr>
        <w:pStyle w:val="FirstParagraph"/>
      </w:pPr>
      <w:r>
        <w:t xml:space="preserve">A database on mayoral elections in Bavaria is available from the state statistical office upon request (administration fee of 70 EUR.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contested elections (at least two candidates);</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to distinguish between mayors with and without board seats in their local savings bank and to analyze the electoral success of those mayors in subsequent elections. Hence, the dataset enables us to estimate the electoral effect of board membership for German mayors.</w:t>
      </w:r>
    </w:p>
    <w:p>
      <w:pPr>
        <w:pStyle w:val="Heading2"/>
      </w:pPr>
      <w:bookmarkStart w:id="43" w:name="subset-selection-and-restrictions"/>
      <w:bookmarkEnd w:id="43"/>
      <w:r>
        <w:t xml:space="preserve">5.2. Subset Selection and Restrictions</w:t>
      </w:r>
    </w:p>
    <w:p>
      <w:pPr>
        <w:pStyle w:val="FirstParagraph"/>
      </w:pPr>
      <w:r>
        <w:t xml:space="preserve">Before conducting our analysis, we subsetted the data along different criteria in order to causally isolate the effect of</w:t>
      </w:r>
      <w:r>
        <w:t xml:space="preserve"> </w:t>
      </w:r>
      <w:r>
        <w:rPr>
          <w:i/>
        </w:rPr>
        <w:t xml:space="preserve">Sparkassen</w:t>
      </w:r>
      <w:r>
        <w:t xml:space="preserve"> </w:t>
      </w:r>
      <w:r>
        <w:t xml:space="preserve">board membership from other confounding factors which could not be controlled for otherwise.</w:t>
      </w:r>
      <w:r>
        <w:br w:type="textWrapping"/>
      </w:r>
      <w:r>
        <w:t xml:space="preserve">The municipal election data set was subsetted to only include the time period for which we have data on</w:t>
      </w:r>
      <w:r>
        <w:t xml:space="preserve"> </w:t>
      </w:r>
      <w:r>
        <w:rPr>
          <w:i/>
        </w:rPr>
        <w:t xml:space="preserve">Sparkassen</w:t>
      </w:r>
      <w:r>
        <w:t xml:space="preserve"> </w:t>
      </w:r>
      <w:r>
        <w:t xml:space="preserve">board membership, which is from 2006 to 2016. We excluded elections which required run-offs, as leading candidate in those elections does not have to be the one winning the run-off. Moreover, elections where no candidate besides the incumbent mayor ran for office were excluded. As an earlier model we ran showed a negative correlation between votes shares a mayor had obtained during the previous election and her probability of becoming reelected in the subsequent election, a clear contradiction of previous research on the incumbency advantage. We supposed that this was due to popular mayors retiring while they enjoyed considerable public support still. To alleviate this problem, we restricted the data set to include only those elections were the last period's mayor was among the candidates. This whittled down our data set considerably, but was necessary to avoid bias. In the end the study data set contained 1341 observations across two municipal election rounds (held in 2008 and 2014).</w:t>
      </w:r>
    </w:p>
    <w:p>
      <w:pPr>
        <w:pStyle w:val="Heading2"/>
      </w:pPr>
      <w:bookmarkStart w:id="44" w:name="statistical-model"/>
      <w:bookmarkEnd w:id="44"/>
      <w:r>
        <w:t xml:space="preserve">5.3. Statistical Model</w:t>
      </w:r>
    </w:p>
    <w:p>
      <w:pPr>
        <w:pStyle w:val="FirstParagraph"/>
      </w:pPr>
      <w:r>
        <w:t xml:space="preserve">Given the research question, setting up the dependent variable as binary offers the best theoretical fit between the construct under study and the data available to us. Therefore, the analysis will employ a logistic regression model using reelection / no reelection of incumbent mayors as the dependent variable; the logistic model will give the probability of the incumbent to be reelected. This will allow for a very close fit of the model and the data, intuitive visualisations of patterns in the data using predictive probabilities and also keeps model complexity in check. The primary independent variable of the model is board membership in the local</w:t>
      </w:r>
      <w:r>
        <w:t xml:space="preserve"> </w:t>
      </w:r>
      <w:r>
        <w:rPr>
          <w:i/>
        </w:rPr>
        <w:t xml:space="preserve">Sparkasse</w:t>
      </w:r>
      <w:r>
        <w:t xml:space="preserve">. In order to cleanly estimate the effect of board membership on reelection chances, it is important to get a good grasp on the determinants of appointment to board positions. We therefore control for obvious potential drivers such as mayors' vote share during the previous election, which serves as a measure of the incumbency advantage. Further control are candidates' sex and municipality size (measured by number of eligible voters) as larger municipalities might offer more resources to retain the mayor's office.</w:t>
      </w:r>
    </w:p>
    <w:p>
      <w:pPr>
        <w:pStyle w:val="Heading1"/>
      </w:pPr>
      <w:bookmarkStart w:id="45" w:name="findings"/>
      <w:bookmarkEnd w:id="45"/>
      <w:r>
        <w:t xml:space="preserve">6. Findings</w:t>
      </w:r>
    </w:p>
    <w:p>
      <w:pPr>
        <w:pStyle w:val="Heading2"/>
      </w:pPr>
      <w:bookmarkStart w:id="46" w:name="descriptive-statistics"/>
      <w:bookmarkEnd w:id="46"/>
      <w:r>
        <w:t xml:space="preserve">6.1. Descriptive Statistics</w:t>
      </w:r>
    </w:p>
    <w:p>
      <w:pPr>
        <w:pStyle w:val="Heading2"/>
      </w:pPr>
      <w:bookmarkStart w:id="47" w:name="sparkassen-dataset"/>
      <w:bookmarkEnd w:id="47"/>
      <w:r>
        <w:t xml:space="preserve">6.1.1. Sparkassen Dataset</w:t>
      </w:r>
    </w:p>
    <w:p>
      <w:pPr>
        <w:pStyle w:val="FirstParagraph"/>
      </w:pPr>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pPr>
        <w:pStyle w:val="BodyText"/>
      </w:pPr>
      <w:r>
        <w:t xml:space="preserve">The Board Membership dataset contains 79 banks. Board size varies between a maximum of 32 board seats and a minimum of six seats; on average (median), Bavarian savings banks have 12 persons on the supervisory board.</w:t>
      </w:r>
    </w:p>
    <w:p>
      <w:pPr>
        <w:pStyle w:val="BodyText"/>
      </w:pPr>
    </w:p>
    <w:p>
      <w:pPr>
        <w:pStyle w:val="BodyText"/>
      </w:pPr>
      <w:r>
        <w:t xml:space="preserve">For those 79 banks, we have overall almost 9,000 board member-year observations, about 1,600 unique board member profiles of which 410 are mayors (23%) and 175 are county commissioners (11%).</w:t>
      </w:r>
    </w:p>
    <w:p>
      <w:pPr>
        <w:pStyle w:val="BodyText"/>
      </w:pPr>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Pr>
        <w:pStyle w:val="BodyText"/>
      </w:pPr>
    </w:p>
    <w:p>
      <w:pPr>
        <w:pStyle w:val="BodyText"/>
      </w:pPr>
      <w:r>
        <w:t xml:space="preserve">Overall, this shows that a considerable share of bank boards is hold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48" w:name="election-data-set"/>
      <w:bookmarkEnd w:id="48"/>
      <w:r>
        <w:t xml:space="preserve">6.1.2. Election Data Set</w:t>
      </w:r>
    </w:p>
    <w:p>
      <w:pPr>
        <w:pStyle w:val="FirstParagraph"/>
      </w:pPr>
      <w:r>
        <w:t xml:space="preserve">Out of all the mayors elected the time period under study, 7.308% of the mayors who were elected were female.</w:t>
      </w:r>
    </w:p>
    <w:p>
      <w:pPr>
        <w:pStyle w:val="BodyText"/>
      </w:pPr>
      <w:r>
        <w:t xml:space="preserve">The biggest share of mayors are affiliated with the CSU, the second largest belong to other parties, which include independent voter lists. The SPD, a popular party in the entirety of Germany does worse than in the remainder of Germany. Out of 1341 mayors which were elected over the study period, only 259 mayors were affiliated with the SPD. When looking at the vote share obtained by other parties, it is important to note that</w:t>
      </w:r>
    </w:p>
    <w:p>
      <w:pPr>
        <w:pStyle w:val="Compact"/>
      </w:pPr>
      <w:r>
        <w:t xml:space="preserve">Comparing the chances of reelection for mayors of different parties, we find that mayors from all parties have relatively high chances of being reelected. The probabilities are as follows:</w:t>
      </w:r>
      <w:r>
        <w:br w:type="textWrapping"/>
      </w:r>
    </w:p>
    <w:p>
      <w:pPr>
        <w:pStyle w:val="BodyText"/>
      </w:pPr>
      <w:r>
        <w:t xml:space="preserve">The number of eligible voters per municipality, which we intend to use to control variable for municipality size is severly right-skewed, as expected, so we will log it in our analysis.</w:t>
      </w:r>
    </w:p>
    <w:p>
      <w:pPr>
        <w:pStyle w:val="BodyText"/>
      </w:pPr>
      <w:r>
        <w:t xml:space="preserve"> </w:t>
      </w:r>
      <w:r>
        <w:t xml:space="preserve">Likewise, the distribution of previous vote shares seen just above is heavily right-skewed, which is unsurprising given that mayors need to obtain at least 50% of the vote shares in order to become elected, thus this serves a s lower bound in the distribution.</w:t>
      </w:r>
    </w:p>
    <w:p>
      <w:pPr>
        <w:pStyle w:val="Heading1"/>
      </w:pPr>
      <w:bookmarkStart w:id="49" w:name="regression-results"/>
      <w:bookmarkEnd w:id="49"/>
      <w:r>
        <w:t xml:space="preserve">6.2. Regression Results</w:t>
      </w:r>
    </w:p>
    <w:p>
      <w:pPr>
        <w:pStyle w:val="FirstParagraph"/>
      </w:pPr>
      <w:r>
        <w:t xml:space="preserve">Four models with different specifications were run during the analysis. The estimation results are reported as odds ratios in Table 1 below. P-values of the point estimates which are based on the underlying beta-coefficients and standard errors are reported along with the odds ratios. We find a positive effect of</w:t>
      </w:r>
      <w:r>
        <w:t xml:space="preserve"> </w:t>
      </w:r>
      <w:r>
        <w:rPr>
          <w:i/>
        </w:rPr>
        <w:t xml:space="preserve">Sparkassen</w:t>
      </w:r>
      <w:r>
        <w:t xml:space="preserve"> </w:t>
      </w:r>
      <w:r>
        <w:t xml:space="preserve">board membership in the model excluding controls (1) and the model controlling for previous vote share only (2). While this effect goes into the right direction, it is not statistically significant which could be attributed to the limited number of observations under study (N = 1,341).</w:t>
      </w:r>
    </w:p>
    <w:p>
      <w:pPr>
        <w:pStyle w:val="BodyText"/>
      </w:pPr>
      <w:r>
        <w:t xml:space="preserve">After including additional control variables in models (3) and (4), the effect of board membership on the odds of becoming reelected as compared to non-board members turns negative. However, as with the previous two models, these estimates are not statistically significant. Moreover, the instability of the estimates across different models is worrisome, given that the inclusion of sex, a statistically insignificant covariate, results in a reversal of the estimated effect of</w:t>
      </w:r>
      <w:r>
        <w:t xml:space="preserve"> </w:t>
      </w:r>
      <w:r>
        <w:rPr>
          <w:i/>
        </w:rPr>
        <w:t xml:space="preserve">Sparkassen</w:t>
      </w:r>
      <w:r>
        <w:t xml:space="preserve"> </w:t>
      </w:r>
      <w:r>
        <w:t xml:space="preserve">board membership. Another surprising finding is the direction of the effect of sex on the odds of getting reelected. The estimation suggests that female mayors could have higher odds of becoming reelected. Yet, this result is not statistically significant so we cannot make any inferences on effect of sex on the probability of reelection.</w:t>
      </w:r>
    </w:p>
    <w:p>
      <w:pPr>
        <w:pStyle w:val="BodyText"/>
      </w:pPr>
      <w:r>
        <w:t xml:space="preserve">The size of the municipality, as measured by the number of eligible voters in that municipality seems to reduce the probability of reelection going by the estimated odds ratio, but fails to achive statistical significance. Hence, we cannot make any causal inference about the effect of the municipality size on the odds of becoming reelected.</w:t>
      </w:r>
    </w:p>
    <w:p>
      <w:pPr>
        <w:pStyle w:val="BodyText"/>
      </w:pPr>
      <w:r>
        <w:t xml:space="preserve"> </w:t>
      </w:r>
      <w:r>
        <w:t xml:space="preserve">As expected, the success of a mayor in the preceding election has a strong effect on the probability of reelection in the following election. This is indicated by the highly statistically significant estimates associated with the previous vote share. To strengthen our claim and to assess the probabilities of reelection across all possible values of the previous vote share variable, we carried out a simulation. To that end, predicted values were generated using simulated point estimates for the coefficient of previous votes shares while keeping all other covariates at their means. The resulting probabilities are marked as individual dots in the graph above, with a fitted line drawn through them. A clear upward trend in the probability is visible with increases in the previous vote share obtained.</w:t>
      </w:r>
    </w:p>
    <w:p>
      <w:pPr>
        <w:pStyle w:val="Heading1"/>
      </w:pPr>
      <w:bookmarkStart w:id="50" w:name="conclusion"/>
      <w:bookmarkEnd w:id="50"/>
      <w:r>
        <w:t xml:space="preserve">7.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in Bavaria using a logistic regression model. To answer the research question, we compiled a novel hand-collected dataset on the boardroom composition of German public banks with detailed information on board member profiles, which we combined with an existing data set on Bavarian municipal elections.</w:t>
      </w:r>
    </w:p>
    <w:p>
      <w:pPr>
        <w:pStyle w:val="BodyText"/>
      </w:pPr>
      <w:r>
        <w:t xml:space="preserve">The statistical analysis</w:t>
      </w:r>
    </w:p>
    <w:p>
      <w:pPr>
        <w:pStyle w:val="Heading1"/>
      </w:pPr>
      <w:bookmarkStart w:id="51" w:name="references"/>
      <w:bookmarkEnd w:id="51"/>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52">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53">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Deutsche Bundesbank. 2015. “Banking statistics 06/2015.”</w:t>
      </w:r>
      <w:r>
        <w:t xml:space="preserve"> </w:t>
      </w:r>
      <w:hyperlink r:id="rId54">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Eggers, Andrew, Ronny Freier, Veronica Grembi, and Tommaso Nannicini. 2016. “Regression Discontinuity Designs Based on Population Thresholds: Pitfalls and Solutions.”</w:t>
      </w:r>
      <w:r>
        <w:t xml:space="preserve"> </w:t>
      </w:r>
      <w:r>
        <w:rPr>
          <w:i/>
        </w:rPr>
        <w:t xml:space="preserve">American Journal of Political Science</w:t>
      </w:r>
      <w:r>
        <w:t xml:space="preserve">, no. forthcoming.</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55">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Fritz, Benedikt, and Lars Feld. 2015. “The Political Economy of Municipal Amalgamation: Evidence of Common Pool Effects and Local Public Debt.”</w:t>
      </w:r>
      <w:r>
        <w:t xml:space="preserve"> </w:t>
      </w:r>
      <w:r>
        <w:rPr>
          <w:i/>
        </w:rPr>
        <w:t xml:space="preserve">CESifo Working Paper</w:t>
      </w:r>
      <w:r>
        <w:t xml:space="preserve"> </w:t>
      </w:r>
      <w:r>
        <w:t xml:space="preserve">No.5676. Munich: CESifo Working Paper No. 5676.</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56">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Levitt, Steven, and Catherine Wolfram. 1997. “Decomposing the Source of Incumbency Advantage in the U.S. House.”</w:t>
      </w:r>
      <w:r>
        <w:t xml:space="preserve"> </w:t>
      </w:r>
      <w:r>
        <w:rPr>
          <w:i/>
        </w:rPr>
        <w:t xml:space="preserve">Legislative Studies Quarterly</w:t>
      </w:r>
      <w:r>
        <w:t xml:space="preserve"> </w:t>
      </w:r>
      <w:r>
        <w:t xml:space="preserve">vol.22 (no.1): 45–60.</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57">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8">
    <w:p>
      <w:pPr>
        <w:pStyle w:val="FootnoteText"/>
      </w:pPr>
      <w:r>
        <w:rPr>
          <w:rStyle w:val="FootnoteReference"/>
        </w:rPr>
        <w:footnoteRef/>
      </w:r>
      <w:r>
        <w:t xml:space="preserve"> </w:t>
      </w:r>
      <w:r>
        <w:rPr>
          <w:i/>
        </w:rPr>
        <w:t xml:space="preserve">Sparkassen</w:t>
      </w:r>
      <w:r>
        <w:t xml:space="preserve">, for instance, are major contributors of local initiatives and projects through generous donations.</w:t>
      </w:r>
    </w:p>
  </w:footnote>
  <w:footnote w:id="29">
    <w:p>
      <w:pPr>
        <w:pStyle w:val="FootnoteText"/>
      </w:pPr>
      <w:r>
        <w:rPr>
          <w:rStyle w:val="FootnoteReference"/>
        </w:rPr>
        <w:footnoteRef/>
      </w:r>
      <w:r>
        <w:t xml:space="preserve"> </w:t>
      </w:r>
      <w:r>
        <w:t xml:space="preserve">SMEs are the backbone of the German economy. Usually, smaller companies have less access to credit. The specific nature of the German banking system with the prominent role of</w:t>
      </w:r>
      <w:r>
        <w:t xml:space="preserve"> </w:t>
      </w:r>
      <w:r>
        <w:rPr>
          <w:i/>
        </w:rPr>
        <w:t xml:space="preserve">Sparkassen</w:t>
      </w:r>
      <w:r>
        <w:t xml:space="preserve">, however, facilitates access to credit for smaller enterprises.</w:t>
      </w:r>
    </w:p>
  </w:footnote>
  <w:footnote w:id="30">
    <w:p>
      <w:pPr>
        <w:pStyle w:val="FootnoteText"/>
      </w:pPr>
      <w:r>
        <w:rPr>
          <w:rStyle w:val="FootnoteReference"/>
        </w:rPr>
        <w:footnoteRef/>
      </w:r>
      <w:r>
        <w:t xml:space="preserve"> </w:t>
      </w:r>
      <w:r>
        <w:t xml:space="preserve">Only five savings banks are politically independent and not owned by a political entity.</w:t>
      </w:r>
    </w:p>
  </w:footnote>
  <w:footnote w:id="32">
    <w:p>
      <w:pPr>
        <w:pStyle w:val="FootnoteText"/>
      </w:pPr>
      <w:r>
        <w:rPr>
          <w:rStyle w:val="FootnoteReference"/>
        </w:rPr>
        <w:footnoteRef/>
      </w:r>
      <w:r>
        <w:t xml:space="preserve"> </w:t>
      </w:r>
      <w:r>
        <w:t xml:space="preserve">While municipal mayors in Bavaria and Baden Wurttemberg are elected directly by voters since World War II, most German federal states introduced direct elections on the municipal level only in the 1990s.</w:t>
      </w:r>
    </w:p>
  </w:footnote>
  <w:footnote w:id="33">
    <w:p>
      <w:pPr>
        <w:pStyle w:val="FootnoteText"/>
      </w:pPr>
      <w:r>
        <w:rPr>
          <w:rStyle w:val="FootnoteReference"/>
        </w:rPr>
        <w:footnoteRef/>
      </w:r>
      <w:r>
        <w:t xml:space="preserve"> </w:t>
      </w:r>
      <w:r>
        <w:t xml:space="preserve">Not all mayors are full-time politicians. By law, municipalities with more than 5,000 inhabitants should have a full-time mayor; however, this threshold is fuzzy in reality (for pitfalls with population thresholds in Regression Discontinuity Designs, see Eggers et al.</w:t>
      </w:r>
      <w:r>
        <w:t xml:space="preserve"> </w:t>
      </w:r>
      <w:r>
        <w:t xml:space="preserve">(2016)</w:t>
      </w:r>
      <w:r>
        <w:t xml:space="preserve">). Generally, full-time mayors govern larger municipalities than part-time mayors.</w:t>
      </w:r>
    </w:p>
  </w:footnote>
  <w:footnote w:id="34">
    <w:p>
      <w:pPr>
        <w:pStyle w:val="FootnoteText"/>
      </w:pPr>
      <w:r>
        <w:rPr>
          <w:rStyle w:val="FootnoteReference"/>
        </w:rPr>
        <w:footnoteRef/>
      </w:r>
      <w:r>
        <w:t xml:space="preserve"> </w:t>
      </w:r>
      <w:r>
        <w:t xml:space="preserve">The perceived importance of municipal elections in Germany is reflected in the comparatively high voter turnout. In Bavaria, for instance, the average voter turnout in municipal elections was 55% in 2014, which is significantly higher than for European or county elections.</w:t>
      </w:r>
    </w:p>
  </w:footnote>
  <w:footnote w:id="36">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 w:id="38">
    <w:p>
      <w:pPr>
        <w:pStyle w:val="FootnoteText"/>
      </w:pPr>
      <w:r>
        <w:rPr>
          <w:rStyle w:val="FootnoteReference"/>
        </w:rPr>
        <w:footnoteRef/>
      </w:r>
      <w:r>
        <w:t xml:space="preserve"> </w:t>
      </w:r>
      <w:r>
        <w:t xml:space="preserve">Due to time constraints, we had to limit our control variables to those that were readily available from the existing datasets. Hence, we could not include important controls such as the economic situation in the municipality (economic voting hypothesis) and competence measures of the mayor.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9d1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07bc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www.econstor.eu/handle/10419/57258" TargetMode="External" /><Relationship Type="http://schemas.openxmlformats.org/officeDocument/2006/relationships/hyperlink" Id="rId52" Target="http://www.econstor.eu/handle/10419/61389" TargetMode="External" /><Relationship Type="http://schemas.openxmlformats.org/officeDocument/2006/relationships/hyperlink" Id="rId56" Target="https://doi.org/10.1016/j.electstud.2007.10.006" TargetMode="External" /><Relationship Type="http://schemas.openxmlformats.org/officeDocument/2006/relationships/hyperlink" Id="rId53" Target="https://doi.org/10.1016/j.jbankfin.2010.05.013" TargetMode="External" /><Relationship Type="http://schemas.openxmlformats.org/officeDocument/2006/relationships/hyperlink" Id="rId57" Target="https://doi.org/10.1016/j.jfineco.2002.10.002" TargetMode="External" /><Relationship Type="http://schemas.openxmlformats.org/officeDocument/2006/relationships/hyperlink" Id="rId54"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econstor.eu/handle/10419/57258" TargetMode="External" /><Relationship Type="http://schemas.openxmlformats.org/officeDocument/2006/relationships/hyperlink" Id="rId52" Target="http://www.econstor.eu/handle/10419/61389" TargetMode="External" /><Relationship Type="http://schemas.openxmlformats.org/officeDocument/2006/relationships/hyperlink" Id="rId56" Target="https://doi.org/10.1016/j.electstud.2007.10.006" TargetMode="External" /><Relationship Type="http://schemas.openxmlformats.org/officeDocument/2006/relationships/hyperlink" Id="rId53" Target="https://doi.org/10.1016/j.jbankfin.2010.05.013" TargetMode="External" /><Relationship Type="http://schemas.openxmlformats.org/officeDocument/2006/relationships/hyperlink" Id="rId57" Target="https://doi.org/10.1016/j.jfineco.2002.10.002" TargetMode="External" /><Relationship Type="http://schemas.openxmlformats.org/officeDocument/2006/relationships/hyperlink" Id="rId54"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Electoral Effects of Public Savings Banks in German Subnational Elections: The Case of Bavaria</dc:title>
  <dc:creator/>
  <dcterms:created xsi:type="dcterms:W3CDTF">2016-05-13</dcterms:created>
  <dcterms:modified xsi:type="dcterms:W3CDTF">2016-05-13</dcterms:modified>
</cp:coreProperties>
</file>