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0"/>
        </w:rPr>
        <w:t>Health Insurance Claims Process Guide</w:t>
      </w:r>
    </w:p>
    <w:p>
      <w:pPr>
        <w:jc w:val="center"/>
      </w:pPr>
      <w:r>
        <w:rPr>
          <w:i/>
          <w:color w:val="595959"/>
          <w:sz w:val="20"/>
        </w:rPr>
        <w:t>Synthetic operational template for training and workflow testing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SYNTHETIC SAMPLE ONLY: </w:t>
            </w:r>
            <w:r>
              <w:t>All organizations, addresses, identifiers, deadlines, and examples in this guide are fictional.</w:t>
            </w:r>
          </w:p>
        </w:tc>
      </w:tr>
    </w:tbl>
    <w:p/>
    <w:p>
      <w:r>
        <w:rPr>
          <w:b/>
        </w:rPr>
        <w:t xml:space="preserve">Purpose. </w:t>
      </w:r>
      <w:r>
        <w:t>This guide describes a standard end-to-end process for receiving, validating, adjudicating, paying, denying, and appealing health insurance claims. It is suitable as a sample input for document extraction, workflow automation, and knowledge-base testing.</w:t>
      </w:r>
    </w:p>
    <w:p>
      <w:pPr>
        <w:pStyle w:val="Heading1"/>
      </w:pPr>
      <w:r>
        <w:t>1.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color w:val="17365D"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color w:val="17365D"/>
              </w:rPr>
              <w:t>Primary Responsibility</w:t>
            </w:r>
          </w:p>
        </w:tc>
      </w:tr>
      <w:tr>
        <w:tc>
          <w:tcPr>
            <w:tcW w:type="dxa" w:w="5112"/>
            <w:vAlign w:val="top"/>
          </w:tcPr>
          <w:p>
            <w:r>
              <w:t>Member</w:t>
            </w:r>
          </w:p>
        </w:tc>
        <w:tc>
          <w:tcPr>
            <w:tcW w:type="dxa" w:w="5112"/>
            <w:vAlign w:val="top"/>
          </w:tcPr>
          <w:p>
            <w:r>
              <w:t>Provides accurate coverage information, reviews explanations of benefits, and submits supporting documents when requested.</w:t>
            </w:r>
          </w:p>
        </w:tc>
      </w:tr>
      <w:tr>
        <w:tc>
          <w:tcPr>
            <w:tcW w:type="dxa" w:w="5112"/>
            <w:vAlign w:val="top"/>
          </w:tcPr>
          <w:p>
            <w:r>
              <w:t>Provider</w:t>
            </w:r>
          </w:p>
        </w:tc>
        <w:tc>
          <w:tcPr>
            <w:tcW w:type="dxa" w:w="5112"/>
            <w:vAlign w:val="top"/>
          </w:tcPr>
          <w:p>
            <w:r>
              <w:t>Submits complete claims using the required coding and billing format.</w:t>
            </w:r>
          </w:p>
        </w:tc>
      </w:tr>
      <w:tr>
        <w:tc>
          <w:tcPr>
            <w:tcW w:type="dxa" w:w="5112"/>
            <w:vAlign w:val="top"/>
          </w:tcPr>
          <w:p>
            <w:r>
              <w:t>Claims Intake Team</w:t>
            </w:r>
          </w:p>
        </w:tc>
        <w:tc>
          <w:tcPr>
            <w:tcW w:type="dxa" w:w="5112"/>
            <w:vAlign w:val="top"/>
          </w:tcPr>
          <w:p>
            <w:r>
              <w:t>Receives claims, validates file structure, and assigns a control number.</w:t>
            </w:r>
          </w:p>
        </w:tc>
      </w:tr>
      <w:tr>
        <w:tc>
          <w:tcPr>
            <w:tcW w:type="dxa" w:w="5112"/>
            <w:vAlign w:val="top"/>
          </w:tcPr>
          <w:p>
            <w:r>
              <w:t>Claims Examiner</w:t>
            </w:r>
          </w:p>
        </w:tc>
        <w:tc>
          <w:tcPr>
            <w:tcW w:type="dxa" w:w="5112"/>
            <w:vAlign w:val="top"/>
          </w:tcPr>
          <w:p>
            <w:r>
              <w:t>Applies eligibility, benefit, coding, authorization, and pricing rules.</w:t>
            </w:r>
          </w:p>
        </w:tc>
      </w:tr>
      <w:tr>
        <w:tc>
          <w:tcPr>
            <w:tcW w:type="dxa" w:w="5112"/>
            <w:vAlign w:val="top"/>
          </w:tcPr>
          <w:p>
            <w:r>
              <w:t>Medical Review</w:t>
            </w:r>
          </w:p>
        </w:tc>
        <w:tc>
          <w:tcPr>
            <w:tcW w:type="dxa" w:w="5112"/>
            <w:vAlign w:val="top"/>
          </w:tcPr>
          <w:p>
            <w:r>
              <w:t>Evaluates medical necessity or experimental/investigational issues when required.</w:t>
            </w:r>
          </w:p>
        </w:tc>
      </w:tr>
      <w:tr>
        <w:tc>
          <w:tcPr>
            <w:tcW w:type="dxa" w:w="5112"/>
            <w:vAlign w:val="top"/>
          </w:tcPr>
          <w:p>
            <w:r>
              <w:t>Appeals Unit</w:t>
            </w:r>
          </w:p>
        </w:tc>
        <w:tc>
          <w:tcPr>
            <w:tcW w:type="dxa" w:w="5112"/>
            <w:vAlign w:val="top"/>
          </w:tcPr>
          <w:p>
            <w:r>
              <w:t>Conducts an independent review of disputed determinations.</w:t>
            </w:r>
          </w:p>
        </w:tc>
      </w:tr>
    </w:tbl>
    <w:p>
      <w:pPr>
        <w:pStyle w:val="Heading1"/>
      </w:pPr>
      <w:r>
        <w:t>2. Standard Claims Workflow</w:t>
      </w:r>
    </w:p>
    <w:p>
      <w:pPr>
        <w:pStyle w:val="ListNumber"/>
      </w:pPr>
      <w:r>
        <w:rPr>
          <w:b/>
        </w:rPr>
        <w:t xml:space="preserve">Receive and log: </w:t>
      </w:r>
      <w:r>
        <w:t>Accept electronic or paper claims. Record date received, member ID, provider ID, service dates, billed amount, and claim type.</w:t>
      </w:r>
    </w:p>
    <w:p>
      <w:pPr>
        <w:pStyle w:val="ListNumber"/>
      </w:pPr>
      <w:r>
        <w:rPr>
          <w:b/>
        </w:rPr>
        <w:t xml:space="preserve">Validate required data: </w:t>
      </w:r>
      <w:r>
        <w:t>Check for member identifier, patient relationship, diagnosis codes, procedure codes, place of service, units, provider identifiers, and itemized charges.</w:t>
      </w:r>
    </w:p>
    <w:p>
      <w:pPr>
        <w:pStyle w:val="ListNumber"/>
      </w:pPr>
      <w:r>
        <w:rPr>
          <w:b/>
        </w:rPr>
        <w:t xml:space="preserve">Confirm eligibility: </w:t>
      </w:r>
      <w:r>
        <w:t>Verify that coverage was active on each date of service and that the patient was eligible under the contract.</w:t>
      </w:r>
    </w:p>
    <w:p>
      <w:pPr>
        <w:pStyle w:val="ListNumber"/>
      </w:pPr>
      <w:r>
        <w:rPr>
          <w:b/>
        </w:rPr>
        <w:t xml:space="preserve">Check duplicates and coordination of benefits: </w:t>
      </w:r>
      <w:r>
        <w:t>Identify exact or near-duplicate claims and determine whether another payer is primary.</w:t>
      </w:r>
    </w:p>
    <w:p>
      <w:pPr>
        <w:pStyle w:val="ListNumber"/>
      </w:pPr>
      <w:r>
        <w:rPr>
          <w:b/>
        </w:rPr>
        <w:t xml:space="preserve">Apply authorization and medical-policy rules: </w:t>
      </w:r>
      <w:r>
        <w:t>Confirm required referrals or prior authorizations. Route complex cases for clinical review.</w:t>
      </w:r>
    </w:p>
    <w:p>
      <w:pPr>
        <w:pStyle w:val="ListNumber"/>
      </w:pPr>
      <w:r>
        <w:rPr>
          <w:b/>
        </w:rPr>
        <w:t xml:space="preserve">Price the claim: </w:t>
      </w:r>
      <w:r>
        <w:t>Apply contracted rates, fee schedules, bundling edits, deductible, copayment, coinsurance, and out-of-pocket accumulation.</w:t>
      </w:r>
    </w:p>
    <w:p>
      <w:pPr>
        <w:pStyle w:val="ListNumber"/>
      </w:pPr>
      <w:r>
        <w:rPr>
          <w:b/>
        </w:rPr>
        <w:t xml:space="preserve">Adjudicate: </w:t>
      </w:r>
      <w:r>
        <w:t>Approve, partially approve, pend, or deny each service line. Record clear reason codes.</w:t>
      </w:r>
    </w:p>
    <w:p>
      <w:pPr>
        <w:pStyle w:val="ListNumber"/>
      </w:pPr>
      <w:r>
        <w:rPr>
          <w:b/>
        </w:rPr>
        <w:t xml:space="preserve">Issue payment and explanation: </w:t>
      </w:r>
      <w:r>
        <w:t>Send payment to the correct payee and produce an explanation of benefits or remittance advice.</w:t>
      </w:r>
    </w:p>
    <w:p>
      <w:pPr>
        <w:pStyle w:val="ListNumber"/>
      </w:pPr>
      <w:r>
        <w:rPr>
          <w:b/>
        </w:rPr>
        <w:t xml:space="preserve">Handle adjustments and appeals: </w:t>
      </w:r>
      <w:r>
        <w:t>Correct processing errors, recover overpayments where appropriate, and conduct timely appeal reviews.</w:t>
      </w:r>
    </w:p>
    <w:p>
      <w:pPr>
        <w:pStyle w:val="Heading1"/>
        <w:pageBreakBefore/>
      </w:pPr>
      <w:r>
        <w:t>3. Intake Checklist</w:t>
      </w:r>
    </w:p>
    <w:p>
      <w:pPr>
        <w:pStyle w:val="ListBullet"/>
      </w:pPr>
      <w:r>
        <w:t>Claim received date is captured.</w:t>
      </w:r>
    </w:p>
    <w:p>
      <w:pPr>
        <w:pStyle w:val="ListBullet"/>
      </w:pPr>
      <w:r>
        <w:t>Member and patient identifiers match enrollment records.</w:t>
      </w:r>
    </w:p>
    <w:p>
      <w:pPr>
        <w:pStyle w:val="ListBullet"/>
      </w:pPr>
      <w:r>
        <w:t>Provider name, tax identifier, and national provider identifier are present.</w:t>
      </w:r>
    </w:p>
    <w:p>
      <w:pPr>
        <w:pStyle w:val="ListBullet"/>
      </w:pPr>
      <w:r>
        <w:t>Service dates are valid and not in the future.</w:t>
      </w:r>
    </w:p>
    <w:p>
      <w:pPr>
        <w:pStyle w:val="ListBullet"/>
      </w:pPr>
      <w:r>
        <w:t>Diagnosis and procedure codes are syntactically valid.</w:t>
      </w:r>
    </w:p>
    <w:p>
      <w:pPr>
        <w:pStyle w:val="ListBullet"/>
      </w:pPr>
      <w:r>
        <w:t>Billed charges and units are numeric and internally consistent.</w:t>
      </w:r>
    </w:p>
    <w:p>
      <w:pPr>
        <w:pStyle w:val="ListBullet"/>
      </w:pPr>
      <w:r>
        <w:t>Attachments are present when required.</w:t>
      </w:r>
    </w:p>
    <w:p>
      <w:pPr>
        <w:pStyle w:val="ListBullet"/>
      </w:pPr>
      <w:r>
        <w:t>Potential duplicate claims are flagged.</w:t>
      </w:r>
    </w:p>
    <w:p>
      <w:pPr>
        <w:pStyle w:val="Heading1"/>
      </w:pPr>
      <w:r>
        <w:t>4. Decision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Required Communication</w:t>
            </w:r>
          </w:p>
        </w:tc>
      </w:tr>
      <w:tr>
        <w:tc>
          <w:tcPr>
            <w:tcW w:type="dxa" w:w="3408"/>
          </w:tcPr>
          <w:p>
            <w:r>
              <w:t>Paid</w:t>
            </w:r>
          </w:p>
        </w:tc>
        <w:tc>
          <w:tcPr>
            <w:tcW w:type="dxa" w:w="3408"/>
          </w:tcPr>
          <w:p>
            <w:r>
              <w:t>All edits passed and the allowed amount is payable.</w:t>
            </w:r>
          </w:p>
        </w:tc>
        <w:tc>
          <w:tcPr>
            <w:tcW w:type="dxa" w:w="3408"/>
          </w:tcPr>
          <w:p>
            <w:r>
              <w:t>State the reason, financial impact, next action, and applicable deadline.</w:t>
            </w:r>
          </w:p>
        </w:tc>
      </w:tr>
      <w:tr>
        <w:tc>
          <w:tcPr>
            <w:tcW w:type="dxa" w:w="3408"/>
          </w:tcPr>
          <w:p>
            <w:r>
              <w:t>Partially paid</w:t>
            </w:r>
          </w:p>
        </w:tc>
        <w:tc>
          <w:tcPr>
            <w:tcW w:type="dxa" w:w="3408"/>
          </w:tcPr>
          <w:p>
            <w:r>
              <w:t>At least one service line is payable and at least one line is denied or reduced.</w:t>
            </w:r>
          </w:p>
        </w:tc>
        <w:tc>
          <w:tcPr>
            <w:tcW w:type="dxa" w:w="3408"/>
          </w:tcPr>
          <w:p>
            <w:r>
              <w:t>State the reason, financial impact, next action, and applicable deadline.</w:t>
            </w:r>
          </w:p>
        </w:tc>
      </w:tr>
      <w:tr>
        <w:tc>
          <w:tcPr>
            <w:tcW w:type="dxa" w:w="3408"/>
          </w:tcPr>
          <w:p>
            <w:r>
              <w:t>Denied</w:t>
            </w:r>
          </w:p>
        </w:tc>
        <w:tc>
          <w:tcPr>
            <w:tcW w:type="dxa" w:w="3408"/>
          </w:tcPr>
          <w:p>
            <w:r>
              <w:t>No payment is due because a coverage, coding, eligibility, authorization, or policy rule was not met.</w:t>
            </w:r>
          </w:p>
        </w:tc>
        <w:tc>
          <w:tcPr>
            <w:tcW w:type="dxa" w:w="3408"/>
          </w:tcPr>
          <w:p>
            <w:r>
              <w:t>State the reason, financial impact, next action, and applicable deadline.</w:t>
            </w:r>
          </w:p>
        </w:tc>
      </w:tr>
      <w:tr>
        <w:tc>
          <w:tcPr>
            <w:tcW w:type="dxa" w:w="3408"/>
          </w:tcPr>
          <w:p>
            <w:r>
              <w:t>Pended</w:t>
            </w:r>
          </w:p>
        </w:tc>
        <w:tc>
          <w:tcPr>
            <w:tcW w:type="dxa" w:w="3408"/>
          </w:tcPr>
          <w:p>
            <w:r>
              <w:t>Additional information or manual review is required before a final decision.</w:t>
            </w:r>
          </w:p>
        </w:tc>
        <w:tc>
          <w:tcPr>
            <w:tcW w:type="dxa" w:w="3408"/>
          </w:tcPr>
          <w:p>
            <w:r>
              <w:t>State the reason, financial impact, next action, and applicable deadline.</w:t>
            </w:r>
          </w:p>
        </w:tc>
      </w:tr>
      <w:tr>
        <w:tc>
          <w:tcPr>
            <w:tcW w:type="dxa" w:w="3408"/>
          </w:tcPr>
          <w:p>
            <w:r>
              <w:t>Rejected</w:t>
            </w:r>
          </w:p>
        </w:tc>
        <w:tc>
          <w:tcPr>
            <w:tcW w:type="dxa" w:w="3408"/>
          </w:tcPr>
          <w:p>
            <w:r>
              <w:t>The submission cannot enter adjudication because required data or file structure is invalid.</w:t>
            </w:r>
          </w:p>
        </w:tc>
        <w:tc>
          <w:tcPr>
            <w:tcW w:type="dxa" w:w="3408"/>
          </w:tcPr>
          <w:p>
            <w:r>
              <w:t>State the reason, financial impact, next action, and applicable deadline.</w:t>
            </w:r>
          </w:p>
        </w:tc>
      </w:tr>
    </w:tbl>
    <w:p>
      <w:pPr>
        <w:pStyle w:val="Heading1"/>
      </w:pPr>
      <w:r>
        <w:t>5. Common Denial and Pend Reasons</w:t>
      </w:r>
    </w:p>
    <w:p>
      <w:pPr>
        <w:pStyle w:val="ListBullet"/>
      </w:pPr>
      <w:r>
        <w:rPr>
          <w:b/>
        </w:rPr>
        <w:t xml:space="preserve">Eligibility: </w:t>
      </w:r>
      <w:r>
        <w:t>Coverage was inactive or the patient was not enrolled on the service date.</w:t>
      </w:r>
    </w:p>
    <w:p>
      <w:pPr>
        <w:pStyle w:val="ListBullet"/>
      </w:pPr>
      <w:r>
        <w:rPr>
          <w:b/>
        </w:rPr>
        <w:t xml:space="preserve">Prior authorization: </w:t>
      </w:r>
      <w:r>
        <w:t>A required authorization was missing, expired, or did not match the service.</w:t>
      </w:r>
    </w:p>
    <w:p>
      <w:pPr>
        <w:pStyle w:val="ListBullet"/>
      </w:pPr>
      <w:r>
        <w:rPr>
          <w:b/>
        </w:rPr>
        <w:t xml:space="preserve">Medical necessity: </w:t>
      </w:r>
      <w:r>
        <w:t>Submitted records did not support the service under the applicable policy.</w:t>
      </w:r>
    </w:p>
    <w:p>
      <w:pPr>
        <w:pStyle w:val="ListBullet"/>
      </w:pPr>
      <w:r>
        <w:rPr>
          <w:b/>
        </w:rPr>
        <w:t xml:space="preserve">Coding: </w:t>
      </w:r>
      <w:r>
        <w:t>Diagnosis, procedure, modifier, units, or place-of-service information was invalid or inconsistent.</w:t>
      </w:r>
    </w:p>
    <w:p>
      <w:pPr>
        <w:pStyle w:val="ListBullet"/>
      </w:pPr>
      <w:r>
        <w:rPr>
          <w:b/>
        </w:rPr>
        <w:t xml:space="preserve">Timely filing: </w:t>
      </w:r>
      <w:r>
        <w:t>The claim was received after the fictional 180-day filing limit.</w:t>
      </w:r>
    </w:p>
    <w:p>
      <w:pPr>
        <w:pStyle w:val="ListBullet"/>
      </w:pPr>
      <w:r>
        <w:rPr>
          <w:b/>
        </w:rPr>
        <w:t xml:space="preserve">Coordination of benefits: </w:t>
      </w:r>
      <w:r>
        <w:t>Another insurer may be primary and additional information is needed.</w:t>
      </w:r>
    </w:p>
    <w:p>
      <w:pPr>
        <w:pStyle w:val="ListBullet"/>
      </w:pPr>
      <w:r>
        <w:rPr>
          <w:b/>
        </w:rPr>
        <w:t xml:space="preserve">Duplicate: </w:t>
      </w:r>
      <w:r>
        <w:t>The same or substantially similar service was previously processed.</w:t>
      </w:r>
    </w:p>
    <w:p>
      <w:pPr>
        <w:pStyle w:val="Heading1"/>
      </w:pPr>
      <w:r>
        <w:t>6. Appeals Process</w:t>
      </w:r>
    </w:p>
    <w:p>
      <w:pPr/>
      <w:r>
        <w:t>1.  Submit a written appeal within 180 calendar days of the adverse determination.</w:t>
      </w:r>
    </w:p>
    <w:p>
      <w:pPr/>
      <w:r>
        <w:t>2.  Include the claim number, member name, service dates, disputed services, and the requested resolution.</w:t>
      </w:r>
    </w:p>
    <w:p>
      <w:pPr/>
      <w:r>
        <w:t>3.  Attach relevant medical records, authorization evidence, coding documentation, or proof of timely filing.</w:t>
      </w:r>
    </w:p>
    <w:p>
      <w:pPr/>
      <w:r>
        <w:t>4.  Acknowledge receipt within 5 business days.</w:t>
      </w:r>
    </w:p>
    <w:p>
      <w:pPr/>
      <w:r>
        <w:t>5.  Complete a standard appeal within 30 calendar days unless additional time is allowed by law or contract.</w:t>
      </w:r>
    </w:p>
    <w:p>
      <w:pPr/>
      <w:r>
        <w:t>6.  Send a written determination explaining the evidence reviewed, decision, and any further review rights.</w:t>
      </w:r>
    </w:p>
    <w:p>
      <w:pPr>
        <w:pStyle w:val="Heading1"/>
        <w:pageBreakBefore/>
      </w:pPr>
      <w:r>
        <w:t>7. Quality-Control Rules</w:t>
      </w:r>
    </w:p>
    <w:p>
      <w:pPr>
        <w:pStyle w:val="ListBullet"/>
      </w:pPr>
      <w:r>
        <w:t>Every denial must map to a documented rule and a member-friendly explanation.</w:t>
      </w:r>
    </w:p>
    <w:p>
      <w:pPr>
        <w:pStyle w:val="ListBullet"/>
      </w:pPr>
      <w:r>
        <w:t>Clinical reviewers must be appropriately qualified for the issue reviewed.</w:t>
      </w:r>
    </w:p>
    <w:p>
      <w:pPr>
        <w:pStyle w:val="ListBullet"/>
      </w:pPr>
      <w:r>
        <w:t>No employee may approve a payment to themselves or alter audit logs.</w:t>
      </w:r>
    </w:p>
    <w:p>
      <w:pPr>
        <w:pStyle w:val="ListBullet"/>
      </w:pPr>
      <w:r>
        <w:t>All manual overrides require a reason and supervisor approval.</w:t>
      </w:r>
    </w:p>
    <w:p>
      <w:pPr>
        <w:pStyle w:val="ListBullet"/>
      </w:pPr>
      <w:r>
        <w:t>Protected health information should be limited to the minimum necessary.</w:t>
      </w:r>
    </w:p>
    <w:p>
      <w:pPr>
        <w:pStyle w:val="ListBullet"/>
      </w:pPr>
      <w:r>
        <w:t>Processing timeliness, overturn rate, rework rate, and financial accuracy should be monitored monthly.</w:t>
      </w:r>
    </w:p>
    <w:p>
      <w:pPr>
        <w:pStyle w:val="Heading1"/>
      </w:pPr>
      <w:r>
        <w:t>8. Example Service-Level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Work Item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3408"/>
          </w:tcPr>
          <w:p>
            <w:r>
              <w:t>Electronic claim intake</w:t>
            </w:r>
          </w:p>
        </w:tc>
        <w:tc>
          <w:tcPr>
            <w:tcW w:type="dxa" w:w="3408"/>
          </w:tcPr>
          <w:p>
            <w:r>
              <w:t>Within 1 business day</w:t>
            </w:r>
          </w:p>
        </w:tc>
        <w:tc>
          <w:tcPr>
            <w:tcW w:type="dxa" w:w="3408"/>
          </w:tcPr>
          <w:p>
            <w:r>
              <w:t>Receipt to control-number assignment</w:t>
            </w:r>
          </w:p>
        </w:tc>
      </w:tr>
      <w:tr>
        <w:tc>
          <w:tcPr>
            <w:tcW w:type="dxa" w:w="3408"/>
          </w:tcPr>
          <w:p>
            <w:r>
              <w:t>Clean claim adjudication</w:t>
            </w:r>
          </w:p>
        </w:tc>
        <w:tc>
          <w:tcPr>
            <w:tcW w:type="dxa" w:w="3408"/>
          </w:tcPr>
          <w:p>
            <w:r>
              <w:t>Within 15 calendar days</w:t>
            </w:r>
          </w:p>
        </w:tc>
        <w:tc>
          <w:tcPr>
            <w:tcW w:type="dxa" w:w="3408"/>
          </w:tcPr>
          <w:p>
            <w:r>
              <w:t>Receipt to final disposition</w:t>
            </w:r>
          </w:p>
        </w:tc>
      </w:tr>
      <w:tr>
        <w:tc>
          <w:tcPr>
            <w:tcW w:type="dxa" w:w="3408"/>
          </w:tcPr>
          <w:p>
            <w:r>
              <w:t>Paper claim adjudication</w:t>
            </w:r>
          </w:p>
        </w:tc>
        <w:tc>
          <w:tcPr>
            <w:tcW w:type="dxa" w:w="3408"/>
          </w:tcPr>
          <w:p>
            <w:r>
              <w:t>Within 30 calendar days</w:t>
            </w:r>
          </w:p>
        </w:tc>
        <w:tc>
          <w:tcPr>
            <w:tcW w:type="dxa" w:w="3408"/>
          </w:tcPr>
          <w:p>
            <w:r>
              <w:t>Receipt to final disposition</w:t>
            </w:r>
          </w:p>
        </w:tc>
      </w:tr>
      <w:tr>
        <w:tc>
          <w:tcPr>
            <w:tcW w:type="dxa" w:w="3408"/>
          </w:tcPr>
          <w:p>
            <w:r>
              <w:t>Standard appeal</w:t>
            </w:r>
          </w:p>
        </w:tc>
        <w:tc>
          <w:tcPr>
            <w:tcW w:type="dxa" w:w="3408"/>
          </w:tcPr>
          <w:p>
            <w:r>
              <w:t>Within 30 calendar days</w:t>
            </w:r>
          </w:p>
        </w:tc>
        <w:tc>
          <w:tcPr>
            <w:tcW w:type="dxa" w:w="3408"/>
          </w:tcPr>
          <w:p>
            <w:r>
              <w:t>Appeal receipt to determination</w:t>
            </w:r>
          </w:p>
        </w:tc>
      </w:tr>
      <w:tr>
        <w:tc>
          <w:tcPr>
            <w:tcW w:type="dxa" w:w="3408"/>
          </w:tcPr>
          <w:p>
            <w:r>
              <w:t>Urgent clinical review</w:t>
            </w:r>
          </w:p>
        </w:tc>
        <w:tc>
          <w:tcPr>
            <w:tcW w:type="dxa" w:w="3408"/>
          </w:tcPr>
          <w:p>
            <w:r>
              <w:t>Within 72 hours</w:t>
            </w:r>
          </w:p>
        </w:tc>
        <w:tc>
          <w:tcPr>
            <w:tcW w:type="dxa" w:w="3408"/>
          </w:tcPr>
          <w:p>
            <w:r>
              <w:t>Complete request to determination</w:t>
            </w:r>
          </w:p>
        </w:tc>
      </w:tr>
    </w:tbl>
    <w:p>
      <w:pPr>
        <w:pStyle w:val="Heading1"/>
      </w:pPr>
      <w:r>
        <w:t>9. Sample Contact Block</w:t>
      </w:r>
    </w:p>
    <w:p>
      <w:r>
        <w:rPr>
          <w:b/>
        </w:rPr>
        <w:t>Northstar Health Plan - Claims Operations</w:t>
        <w:br/>
      </w:r>
      <w:r>
        <w:t>100 Example Avenue, Hartford, CT 06103</w:t>
        <w:br/>
      </w:r>
      <w:r>
        <w:t>Phone: 1-800-555-0188 | Fax: 1-800-555-0199</w:t>
        <w:br/>
      </w:r>
      <w:r>
        <w:t xml:space="preserve">Portal: </w:t>
      </w:r>
      <w:hyperlink r:id="rId9">
        <w:r>
          <w:rPr>
            <w:color w:val="0563C1"/>
            <w:u w:val="single"/>
          </w:rPr>
          <w:t>https://example.invalid/claims</w:t>
        </w:r>
      </w:hyperlink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Synthetic training sample - not an actual insurer procedure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claims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