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Q7 Dashboard und Posteingang</w:t>
      </w:r>
    </w:p>
    <w:p>
      <w:r>
        <w:t xml:space="preserve">Konzeptdokument · Version 2.0 · finale Design-Spezifikation</w:t>
      </w:r>
    </w:p>
    <w:p/>
    <w:p>
      <w:pPr>
        <w:pStyle w:val="Heading1"/>
      </w:pPr>
      <w:r>
        <w:t xml:space="preserve">1. Ziel</w:t>
      </w:r>
    </w:p>
    <w:p>
      <w:r>
        <w:t xml:space="preserve">Q7 erhält eine Startseite (Dashboard) mit konfigurierbaren, per Widget-System frei zusammenstellbaren Kacheln sowie einen zentralen Posteingang, der interne und externe Kommunikationskanäle bündelt.</w:t>
      </w:r>
    </w:p>
    <w:p>
      <w:pPr>
        <w:pStyle w:val="Heading1"/>
      </w:pPr>
      <w:r>
        <w:t xml:space="preserve">2. Design-System</w:t>
      </w:r>
    </w:p>
    <w:p>
      <w:r>
        <w:t xml:space="preserve">Farbschema: Navy dunkel (#1B2A56) nur für Sidebar/aktive Navigation und Text/Headlines (#0F1A38 fast-schwarz). Gold (#D4A72C) ausschließlich für hervorgehobene/aktive Elemente (Live-Badge, KPI-Kachel, Checkboxen, Buttons-Akzent). Rest neutral in Weiß/Grau.</w:t>
      </w:r>
    </w:p>
    <w:p>
      <w:pPr>
        <w:pStyle w:val="Heading1"/>
      </w:pPr>
      <w:r>
        <w:t xml:space="preserve">3. Finales Dashboard-Layout</w:t>
      </w:r>
    </w:p>
    <w:p>
      <w:r>
        <w:t xml:space="preserve">Startseite beim Login. Sidebar links (Navy, 'Heute' aktiv als Pille), Hauptbereich mit Begrüßung, KI-Assistent-Eingabe, und einem konfigurierbaren Kachel-Raster: Heute wichtig, Aufgaben, Kalender, Unternehmensstatus, Umsatz heute, KPI-Kacheln (live), sowie eine Reihe kompakter Statuskarten (Posteingang, Offene Angebote, Offene Rechnungen, Neue Leads).</w:t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Datenfluss KPI-Kacheln</w:t>
      </w:r>
    </w:p>
    <w:p>
      <w:r>
        <w:t xml:space="preserve">Q7 fragt niemals direkt ein Fremdsystem (ERP, SAP, DATEV) an, sondern ausschließlich über die Integrationsplattform. Diese übersetzt die Standard-Schnittstellen (Kunden, Artikel, Angebote, Aufträge, Rechnungen, Lager, Lieferanten, Mitarbeiter) in die jeweilige Zielsoftware. Aktualisierung erfolgt in Echtzeit bei jedem Seitenaufruf.</w:t>
      </w:r>
    </w:p>
    <w:p>
      <w:pPr>
        <w:pStyle w:val="Heading1"/>
      </w:pPr>
      <w:r>
        <w:t xml:space="preserve">4. Widget-System</w:t>
      </w:r>
    </w:p>
    <w:p>
      <w:r>
        <w:t xml:space="preserve">Jede Kachel des Dashboards ist ein eigenständiges Widget. Lizenznehmer können Widgets ein-/ausblenden und in der Reihenfolge anpassen.</w:t>
      </w:r>
    </w:p>
    <w:p>
      <w:pPr>
        <w:pStyle w:val="ListParagraph"/>
        <w:numPr>
          <w:ilvl w:val="0"/>
          <w:numId w:val="1"/>
        </w:numPr>
      </w:pPr>
      <w:r>
        <w:t xml:space="preserve">Ein-/Ausblenden: Checkbox pro Widget</w:t>
      </w:r>
    </w:p>
    <w:p>
      <w:pPr>
        <w:pStyle w:val="ListParagraph"/>
        <w:numPr>
          <w:ilvl w:val="0"/>
          <w:numId w:val="1"/>
        </w:numPr>
      </w:pPr>
      <w:r>
        <w:t xml:space="preserve">Reihenfolge: Pfeil-Buttons (↑ / ↓) statt Drag &amp; Drop — einfacher in der Bedienung, kein Kollisions-Handling nötig</w:t>
      </w:r>
    </w:p>
    <w:p>
      <w:pPr>
        <w:pStyle w:val="ListParagraph"/>
        <w:numPr>
          <w:ilvl w:val="0"/>
          <w:numId w:val="1"/>
        </w:numPr>
      </w:pPr>
      <w:r>
        <w:t xml:space="preserve">Live-Vorschau links zeigt sofort das Ergebnis der Änderungen</w:t>
      </w:r>
    </w:p>
    <w:p>
      <w:r>
        <w:t xml:space="preserve">Begründung gegen Drag &amp; Drop: für viele Nutzer nicht intuitiv genug; Pfeil-Buttons sind selbsterklärend und technisch einfacher (reiner Positionstausch zweier Einträge).</w:t>
      </w:r>
    </w:p>
    <w:p>
      <w:pPr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Posteingang</w:t>
      </w:r>
    </w:p>
    <w:p>
      <w:r>
        <w:t xml:space="preserve">Der bestehende Menüpunkt 'Eingang' wird zu 'Posteingang' umbenannt und um Kanal-Tabs erweitert. Jeder Kanal bleibt technisch über einen eigenen Connector angebunden, läuft aber gebündelt im Posteingang zusammen — analog zur Integrationsplattform-Logik.</w:t>
      </w:r>
    </w:p>
    <w:p>
      <w:pPr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Kanäle</w:t>
      </w:r>
    </w:p>
    <w:p>
      <w:pPr>
        <w:pStyle w:val="ListParagraph"/>
        <w:numPr>
          <w:ilvl w:val="0"/>
          <w:numId w:val="1"/>
        </w:numPr>
      </w:pPr>
      <w:r>
        <w:t xml:space="preserve">Team — interne Nachrichten, @Erwähnungen, Freigabe-Anfragen</w:t>
      </w:r>
    </w:p>
    <w:p>
      <w:pPr>
        <w:pStyle w:val="ListParagraph"/>
        <w:numPr>
          <w:ilvl w:val="0"/>
          <w:numId w:val="1"/>
        </w:numPr>
      </w:pPr>
      <w:r>
        <w:t xml:space="preserve">Mail</w:t>
      </w:r>
    </w:p>
    <w:p>
      <w:pPr>
        <w:pStyle w:val="ListParagraph"/>
        <w:numPr>
          <w:ilvl w:val="0"/>
          <w:numId w:val="1"/>
        </w:numPr>
      </w:pPr>
      <w:r>
        <w:t xml:space="preserve">WhatsApp</w:t>
      </w:r>
    </w:p>
    <w:p>
      <w:pPr>
        <w:pStyle w:val="ListParagraph"/>
        <w:numPr>
          <w:ilvl w:val="0"/>
          <w:numId w:val="1"/>
        </w:numPr>
      </w:pPr>
      <w:r>
        <w:t xml:space="preserve">Telegram</w:t>
      </w:r>
    </w:p>
    <w:p>
      <w:pPr>
        <w:pStyle w:val="ListParagraph"/>
        <w:numPr>
          <w:ilvl w:val="0"/>
          <w:numId w:val="1"/>
        </w:numPr>
      </w:pPr>
      <w:r>
        <w:t xml:space="preserve">Facebook</w:t>
      </w:r>
    </w:p>
    <w:p>
      <w:pPr>
        <w:pStyle w:val="ListParagraph"/>
        <w:numPr>
          <w:ilvl w:val="0"/>
          <w:numId w:val="1"/>
        </w:numPr>
      </w:pPr>
      <w:r>
        <w:t xml:space="preserve">Alle — chronologische Gesamtansicht (Standard-Tab)</w:t>
      </w:r>
    </w:p>
    <w:p>
      <w:pPr>
        <w:pStyle w:val="Heading2"/>
      </w:pPr>
      <w:r>
        <w:t xml:space="preserve">5.2 Antwort-Mechanik</w:t>
      </w:r>
    </w:p>
    <w:p>
      <w:r>
        <w:t xml:space="preserve">Klick auf eine Nachricht öffnet ein Detail-/Antwortpanel. Die Antwort geht über denselben Kanal raus, über den die Nachricht einging (z. B. WhatsApp-Nachricht → Antwort via WhatsApp-Connector). Team-Nachrichten bleiben intern in Q7.</w:t>
      </w:r>
    </w:p>
    <w:p>
      <w:pPr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Offene Punkte</w:t>
      </w:r>
    </w:p>
    <w:p>
      <w:pPr>
        <w:pStyle w:val="ListParagraph"/>
        <w:numPr>
          <w:ilvl w:val="0"/>
          <w:numId w:val="1"/>
        </w:numPr>
      </w:pPr>
      <w:r>
        <w:t xml:space="preserve">Finaler KPI-Katalog (welche Kennzahlen konkret zur Auswahl stehen)</w:t>
      </w:r>
    </w:p>
    <w:p>
      <w:pPr>
        <w:pStyle w:val="ListParagraph"/>
        <w:numPr>
          <w:ilvl w:val="0"/>
          <w:numId w:val="1"/>
        </w:numPr>
      </w:pPr>
      <w:r>
        <w:t xml:space="preserve">Werbekosten: 9. Standard-Schnittstelle der Integrationsplattform oder separater Pfad</w:t>
      </w:r>
    </w:p>
    <w:p>
      <w:pPr>
        <w:pStyle w:val="ListParagraph"/>
        <w:numPr>
          <w:ilvl w:val="0"/>
          <w:numId w:val="1"/>
        </w:numPr>
      </w:pPr>
      <w:r>
        <w:t xml:space="preserve">Technischer Umsetzungsplan (Frontend-Stack von Q7 klären)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7e380fb8f6af9af2b7e1e67426ce3f831ad625.png"/><Relationship Id="rId8" Type="http://schemas.openxmlformats.org/officeDocument/2006/relationships/image" Target="media/5bd9dd381938e839277933bde10ce103c00887b3.png"/><Relationship Id="rId9" Type="http://schemas.openxmlformats.org/officeDocument/2006/relationships/image" Target="media/b4d6cba3c298a8713cef0a554acffcf9354bd7ec.png"/><Relationship Id="rId10" Type="http://schemas.openxmlformats.org/officeDocument/2006/relationships/image" Target="media/044ca49ca9f5cfe2ef7d0e0075b59e9195bb69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2026-08-03T23:29:53.654Z</dcterms:created>
  <dcterms:modified xsi:type="dcterms:W3CDTF">2026-08-03T23:29:53.670Z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