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0AE" w:rsidRDefault="009720AE" w:rsidP="00B01965">
      <w:pPr>
        <w:pStyle w:val="EECHBTitle"/>
      </w:pPr>
    </w:p>
    <w:p w:rsidR="005550FA" w:rsidRPr="00400858" w:rsidRDefault="007B7F8E" w:rsidP="00B01965">
      <w:pPr>
        <w:pStyle w:val="EECHBTitle"/>
      </w:pPr>
      <w:r>
        <w:t>Cornwall Council</w:t>
      </w:r>
      <w:r w:rsidR="0003119F">
        <w:t>-</w:t>
      </w:r>
      <w:r>
        <w:t xml:space="preserve"> Skills</w:t>
      </w:r>
      <w:r w:rsidR="00C5415E">
        <w:t xml:space="preserve"> training</w:t>
      </w:r>
      <w:r>
        <w:t xml:space="preserve"> and Energy Saving Initiatives</w:t>
      </w:r>
    </w:p>
    <w:p w:rsidR="00E77E05" w:rsidRPr="00400858" w:rsidRDefault="00E505F4" w:rsidP="00144716">
      <w:pPr>
        <w:pStyle w:val="EECHBAuthors"/>
      </w:pPr>
      <w:r w:rsidRPr="00E505F4">
        <w:t>A. Richards</w:t>
      </w:r>
      <w:r w:rsidRPr="00AC03D9">
        <w:rPr>
          <w:vertAlign w:val="superscript"/>
        </w:rPr>
        <w:t>1</w:t>
      </w:r>
      <w:r w:rsidRPr="00E505F4">
        <w:t xml:space="preserve">, Alice Clarke </w:t>
      </w:r>
      <w:proofErr w:type="gramStart"/>
      <w:r w:rsidRPr="00AC03D9">
        <w:rPr>
          <w:vertAlign w:val="superscript"/>
        </w:rPr>
        <w:t>2</w:t>
      </w:r>
      <w:r w:rsidRPr="00E505F4">
        <w:t xml:space="preserve"> ,</w:t>
      </w:r>
      <w:proofErr w:type="gramEnd"/>
      <w:r w:rsidRPr="00E505F4">
        <w:t xml:space="preserve"> Michael Hunt</w:t>
      </w:r>
      <w:r w:rsidRPr="00AC03D9">
        <w:rPr>
          <w:vertAlign w:val="superscript"/>
        </w:rPr>
        <w:t>2</w:t>
      </w:r>
    </w:p>
    <w:p w:rsidR="00144716" w:rsidRDefault="00102680" w:rsidP="00144716">
      <w:pPr>
        <w:pStyle w:val="EECHBAffiliation"/>
      </w:pPr>
      <w:r w:rsidRPr="00400858">
        <w:rPr>
          <w:vertAlign w:val="superscript"/>
        </w:rPr>
        <w:t>1</w:t>
      </w:r>
      <w:r w:rsidR="0048662C">
        <w:t xml:space="preserve"> Strategic Historic Environment Service, Cornwall Council. </w:t>
      </w:r>
      <w:hyperlink r:id="rId8" w:history="1">
        <w:r w:rsidR="00B45FCC" w:rsidRPr="00C76FF2">
          <w:rPr>
            <w:rStyle w:val="Hyperlink"/>
          </w:rPr>
          <w:t>Andrew.richards@cornwall.gov.uk</w:t>
        </w:r>
      </w:hyperlink>
    </w:p>
    <w:p w:rsidR="00B45FCC" w:rsidRPr="00400858" w:rsidRDefault="00B45FCC" w:rsidP="00144716">
      <w:pPr>
        <w:pStyle w:val="EECHBAffiliation"/>
      </w:pPr>
      <w:r w:rsidRPr="00E5713E">
        <w:rPr>
          <w:vertAlign w:val="superscript"/>
        </w:rPr>
        <w:t>2</w:t>
      </w:r>
      <w:r w:rsidRPr="00B45FCC">
        <w:t xml:space="preserve"> Corn</w:t>
      </w:r>
      <w:r w:rsidR="00AE1700">
        <w:t>wall College, Science and Natur</w:t>
      </w:r>
      <w:r w:rsidR="00AE1700" w:rsidRPr="00A34B28">
        <w:t>a</w:t>
      </w:r>
      <w:r w:rsidRPr="00B45FCC">
        <w:t xml:space="preserve">l Environment. </w:t>
      </w:r>
      <w:hyperlink r:id="rId9" w:history="1">
        <w:r w:rsidRPr="00C76FF2">
          <w:rPr>
            <w:rStyle w:val="Hyperlink"/>
          </w:rPr>
          <w:t>michael.hunt@cornwall.ac.uk</w:t>
        </w:r>
      </w:hyperlink>
      <w:r>
        <w:t xml:space="preserve"> </w:t>
      </w:r>
    </w:p>
    <w:p w:rsidR="00B6636C" w:rsidRDefault="00102680" w:rsidP="00B6636C">
      <w:pPr>
        <w:pStyle w:val="EECHBAbstract"/>
      </w:pPr>
      <w:r w:rsidRPr="00400858">
        <w:rPr>
          <w:b/>
        </w:rPr>
        <w:t>Abstract –</w:t>
      </w:r>
      <w:r w:rsidRPr="00400858">
        <w:t xml:space="preserve"> </w:t>
      </w:r>
      <w:r w:rsidR="00B6636C">
        <w:t>Traditional buildings are complex and work in different ways to new buildings.  They are often hard to heat but need to be upgraded with ‘breathable’ as opposed to ‘air tight’ solutions.  Well intentioned alterations to improve energy efficiency often harm original historic fabric and create unhealthy living environments for occupants.  Perceived difficulties in upgrading older buildings lead many developers to prefer demolition and new build to conversion.</w:t>
      </w:r>
    </w:p>
    <w:p w:rsidR="00B6636C" w:rsidRDefault="00B6636C" w:rsidP="00B6636C">
      <w:pPr>
        <w:pStyle w:val="EECHBAbstract"/>
      </w:pPr>
      <w:r>
        <w:t>Cornwall Council has been using externally sourced funding to authentically repair traditional buildings in its historic towns and show how they can be sustainably repaired and upgraded without damaging their character and with health benefits to occupants.</w:t>
      </w:r>
    </w:p>
    <w:p w:rsidR="00B6636C" w:rsidRDefault="00B6636C" w:rsidP="00B6636C">
      <w:pPr>
        <w:pStyle w:val="EECHBAbstract"/>
      </w:pPr>
      <w:r>
        <w:t>This paper will briefly describe how this has been achieved through:</w:t>
      </w:r>
    </w:p>
    <w:p w:rsidR="00B6636C" w:rsidRDefault="00B6636C" w:rsidP="00B816D8">
      <w:pPr>
        <w:pStyle w:val="EECHBAbstract"/>
        <w:numPr>
          <w:ilvl w:val="0"/>
          <w:numId w:val="31"/>
        </w:numPr>
      </w:pPr>
      <w:r>
        <w:t>Traditional skills training</w:t>
      </w:r>
      <w:r w:rsidR="00B45FCC">
        <w:t xml:space="preserve"> and energy monitoring </w:t>
      </w:r>
      <w:r>
        <w:t xml:space="preserve"> </w:t>
      </w:r>
      <w:proofErr w:type="spellStart"/>
      <w:r>
        <w:t>programmes</w:t>
      </w:r>
      <w:proofErr w:type="spellEnd"/>
      <w:r>
        <w:t xml:space="preserve"> </w:t>
      </w:r>
    </w:p>
    <w:p w:rsidR="00B6636C" w:rsidRDefault="00B6636C" w:rsidP="00B816D8">
      <w:pPr>
        <w:pStyle w:val="EECHBAbstract"/>
        <w:numPr>
          <w:ilvl w:val="0"/>
          <w:numId w:val="31"/>
        </w:numPr>
      </w:pPr>
      <w:r>
        <w:t>Production of web based energy saving guidance</w:t>
      </w:r>
    </w:p>
    <w:p w:rsidR="00144716" w:rsidRPr="00400858" w:rsidRDefault="00B6636C" w:rsidP="00B816D8">
      <w:pPr>
        <w:pStyle w:val="EECHBAbstract"/>
        <w:numPr>
          <w:ilvl w:val="0"/>
          <w:numId w:val="31"/>
        </w:numPr>
        <w:rPr>
          <w:color w:val="1F4E79"/>
        </w:rPr>
      </w:pPr>
      <w:r>
        <w:t>Life cycle cost comparisons of converting local historic buildings as opposed to demolishing and building new.</w:t>
      </w:r>
    </w:p>
    <w:p w:rsidR="00102680" w:rsidRPr="00400858" w:rsidRDefault="00547060" w:rsidP="00957EA0">
      <w:pPr>
        <w:pStyle w:val="EECHBKeywords"/>
      </w:pPr>
      <w:r w:rsidRPr="00400858">
        <w:t xml:space="preserve">Keywords – </w:t>
      </w:r>
      <w:proofErr w:type="spellStart"/>
      <w:r w:rsidR="00C5415E">
        <w:t>Retrofitting</w:t>
      </w:r>
      <w:proofErr w:type="gramStart"/>
      <w:r w:rsidR="00C5415E">
        <w:t>;Skills</w:t>
      </w:r>
      <w:proofErr w:type="spellEnd"/>
      <w:proofErr w:type="gramEnd"/>
      <w:r w:rsidR="00C5415E">
        <w:t xml:space="preserve"> </w:t>
      </w:r>
      <w:proofErr w:type="spellStart"/>
      <w:r w:rsidR="00C5415E">
        <w:t>training;Co-ordinated</w:t>
      </w:r>
      <w:proofErr w:type="spellEnd"/>
      <w:r w:rsidR="00C5415E">
        <w:t xml:space="preserve"> local approach</w:t>
      </w:r>
      <w:r w:rsidR="000B75D6" w:rsidRPr="00400858">
        <w:t xml:space="preserve"> </w:t>
      </w:r>
    </w:p>
    <w:p w:rsidR="00B61865" w:rsidRDefault="00B6636C" w:rsidP="00016F79">
      <w:pPr>
        <w:pStyle w:val="Heading1"/>
      </w:pPr>
      <w:r>
        <w:t>Introduction</w:t>
      </w:r>
    </w:p>
    <w:p w:rsidR="00371CD9" w:rsidRDefault="008B3A87" w:rsidP="00371CD9">
      <w:pPr>
        <w:ind w:firstLine="0"/>
      </w:pPr>
      <w:r>
        <w:t>Over the last 16</w:t>
      </w:r>
      <w:r w:rsidR="00453769">
        <w:t xml:space="preserve"> years Cornwall Council has</w:t>
      </w:r>
      <w:r w:rsidR="00371CD9">
        <w:t xml:space="preserve"> successfully sourced</w:t>
      </w:r>
      <w:r w:rsidR="0050495F">
        <w:t xml:space="preserve"> national heritage led regeneration</w:t>
      </w:r>
      <w:r w:rsidR="00371CD9">
        <w:t xml:space="preserve"> funding and implemented </w:t>
      </w:r>
      <w:r w:rsidR="00B17491">
        <w:t>traditional repair schemes in its historic towns.  These were mainly though Heritage Lottery funded Townscape Heritage Initiatives (THI’s</w:t>
      </w:r>
      <w:r w:rsidR="00B22804">
        <w:t>),</w:t>
      </w:r>
      <w:r w:rsidR="00453769">
        <w:t xml:space="preserve"> </w:t>
      </w:r>
      <w:r w:rsidR="00144F2E">
        <w:t xml:space="preserve">four year </w:t>
      </w:r>
      <w:r w:rsidR="00B22804">
        <w:t xml:space="preserve">multi funded grant </w:t>
      </w:r>
      <w:r w:rsidR="00453769">
        <w:t>s</w:t>
      </w:r>
      <w:r w:rsidR="00371CD9">
        <w:t xml:space="preserve">chemes </w:t>
      </w:r>
      <w:r w:rsidR="00453769">
        <w:t>with partnership funds</w:t>
      </w:r>
      <w:r w:rsidR="00371CD9">
        <w:t xml:space="preserve"> </w:t>
      </w:r>
      <w:r w:rsidR="00426447">
        <w:t>over</w:t>
      </w:r>
      <w:r w:rsidR="00DD4B49">
        <w:t xml:space="preserve"> £1 million pounds</w:t>
      </w:r>
      <w:r w:rsidR="00453769">
        <w:t>. G</w:t>
      </w:r>
      <w:r w:rsidR="00B17491">
        <w:t>rants</w:t>
      </w:r>
      <w:r w:rsidR="00453769">
        <w:t xml:space="preserve"> of</w:t>
      </w:r>
      <w:r w:rsidR="00B17491">
        <w:t xml:space="preserve"> up to 75%</w:t>
      </w:r>
      <w:r w:rsidR="00426447">
        <w:t xml:space="preserve"> </w:t>
      </w:r>
      <w:r w:rsidR="00453769">
        <w:t>were offered</w:t>
      </w:r>
      <w:r w:rsidR="00144F2E">
        <w:t xml:space="preserve"> to </w:t>
      </w:r>
      <w:r w:rsidR="00BA7A08">
        <w:t>around 30 buildings on each scheme</w:t>
      </w:r>
      <w:r w:rsidR="00453769">
        <w:t xml:space="preserve"> </w:t>
      </w:r>
      <w:r w:rsidR="00426447">
        <w:t>for</w:t>
      </w:r>
      <w:r w:rsidR="00B22804">
        <w:t xml:space="preserve"> </w:t>
      </w:r>
      <w:r w:rsidR="00885602">
        <w:t>quality traditional repairs using local material</w:t>
      </w:r>
      <w:r w:rsidR="00453769">
        <w:t>s, reinstating missing arch</w:t>
      </w:r>
      <w:r w:rsidR="00885602">
        <w:t>itectural detailing and bringing vacant buildings back in to use.</w:t>
      </w:r>
    </w:p>
    <w:p w:rsidR="00371CD9" w:rsidRDefault="00860479" w:rsidP="00371CD9">
      <w:pPr>
        <w:ind w:firstLine="0"/>
      </w:pPr>
      <w:r>
        <w:t>12 h</w:t>
      </w:r>
      <w:r w:rsidR="00371CD9">
        <w:t xml:space="preserve">eritage led regeneration schemes have been successfully implemented in Cornwall between 1998 and 2013. </w:t>
      </w:r>
      <w:r w:rsidR="00187DCD">
        <w:t xml:space="preserve">In addition </w:t>
      </w:r>
      <w:r w:rsidR="00EC40F3">
        <w:t>Cambo</w:t>
      </w:r>
      <w:r w:rsidR="00AD5591">
        <w:t xml:space="preserve">rne, </w:t>
      </w:r>
      <w:proofErr w:type="spellStart"/>
      <w:r w:rsidR="00AD5591">
        <w:t>Roskear</w:t>
      </w:r>
      <w:proofErr w:type="spellEnd"/>
      <w:r w:rsidR="00AD5591">
        <w:t xml:space="preserve"> and </w:t>
      </w:r>
      <w:proofErr w:type="spellStart"/>
      <w:r w:rsidR="00AD5591">
        <w:t>Tuckingmill</w:t>
      </w:r>
      <w:proofErr w:type="spellEnd"/>
      <w:r w:rsidR="00941D2F">
        <w:t xml:space="preserve"> THI</w:t>
      </w:r>
      <w:r w:rsidR="00AD5591">
        <w:t xml:space="preserve"> finishes in June</w:t>
      </w:r>
      <w:r w:rsidR="00941D2F">
        <w:t xml:space="preserve"> 2016</w:t>
      </w:r>
      <w:r w:rsidR="009F75A8">
        <w:t xml:space="preserve"> and </w:t>
      </w:r>
      <w:r w:rsidR="00453769">
        <w:t>a</w:t>
      </w:r>
      <w:r w:rsidR="006C09CD">
        <w:t xml:space="preserve"> new</w:t>
      </w:r>
      <w:r w:rsidR="009F75A8">
        <w:t xml:space="preserve"> </w:t>
      </w:r>
      <w:r w:rsidR="00453769">
        <w:t>scheme in the historic market town of St Austell</w:t>
      </w:r>
      <w:r w:rsidR="006C09CD">
        <w:t xml:space="preserve"> will</w:t>
      </w:r>
      <w:r w:rsidR="00453769">
        <w:t xml:space="preserve"> start in 2017.</w:t>
      </w:r>
      <w:r w:rsidR="00EC40F3">
        <w:t xml:space="preserve"> </w:t>
      </w:r>
      <w:r w:rsidR="00B22804">
        <w:t>C</w:t>
      </w:r>
      <w:r w:rsidR="006B4623">
        <w:t>ompleted schemes</w:t>
      </w:r>
      <w:r w:rsidR="00371CD9">
        <w:t xml:space="preserve"> have created £25 million pounds of investment (including £8.2 million private investment) in</w:t>
      </w:r>
      <w:r w:rsidR="009F75A8">
        <w:t xml:space="preserve"> the</w:t>
      </w:r>
      <w:r w:rsidR="00371CD9">
        <w:t xml:space="preserve"> historic towns through a combined Cornwall Council contribution of £1.7 million. </w:t>
      </w:r>
      <w:r w:rsidR="006B4623">
        <w:t xml:space="preserve">The later schemes have progressed pioneering </w:t>
      </w:r>
      <w:r w:rsidR="00371CD9">
        <w:t>traditional skills and mon</w:t>
      </w:r>
      <w:r w:rsidR="00D82B3C">
        <w:t xml:space="preserve">itored energy </w:t>
      </w:r>
      <w:r w:rsidR="00D82B3C">
        <w:lastRenderedPageBreak/>
        <w:t>saving measures which have benefited the local construction skills base and influenced local retrofitting proposals.</w:t>
      </w:r>
    </w:p>
    <w:p w:rsidR="00371CD9" w:rsidRDefault="009E0253" w:rsidP="0015277C">
      <w:pPr>
        <w:pStyle w:val="Heading1"/>
      </w:pPr>
      <w:r>
        <w:t xml:space="preserve">Traditional Skills </w:t>
      </w:r>
      <w:r w:rsidR="0015277C">
        <w:t xml:space="preserve">Training and </w:t>
      </w:r>
      <w:r w:rsidR="00B22804">
        <w:t xml:space="preserve">Energy </w:t>
      </w:r>
      <w:r w:rsidR="0015277C">
        <w:t>Monitoring</w:t>
      </w:r>
    </w:p>
    <w:p w:rsidR="00571064" w:rsidRDefault="00813561" w:rsidP="00813561">
      <w:pPr>
        <w:ind w:firstLine="0"/>
      </w:pPr>
      <w:r>
        <w:t xml:space="preserve">Traditional buildings in Cornwall were </w:t>
      </w:r>
      <w:r w:rsidR="00142646">
        <w:t xml:space="preserve">robustly built with locally sourced </w:t>
      </w:r>
      <w:r w:rsidR="004B31C7">
        <w:t xml:space="preserve">stone </w:t>
      </w:r>
      <w:r w:rsidR="00142646">
        <w:t xml:space="preserve">and slate to withstand extreme local weather conditions.  </w:t>
      </w:r>
      <w:r w:rsidR="00D33B43">
        <w:t xml:space="preserve">This </w:t>
      </w:r>
      <w:r w:rsidR="00352E0E">
        <w:t>produced a distinctive local character</w:t>
      </w:r>
      <w:r w:rsidR="00BB401A">
        <w:t xml:space="preserve"> </w:t>
      </w:r>
      <w:r w:rsidR="00352E0E">
        <w:t xml:space="preserve">which </w:t>
      </w:r>
      <w:r w:rsidR="007525B9">
        <w:t xml:space="preserve">is </w:t>
      </w:r>
      <w:r w:rsidR="00352E0E">
        <w:t xml:space="preserve">now </w:t>
      </w:r>
      <w:r w:rsidR="007525B9">
        <w:t>under threat.</w:t>
      </w:r>
      <w:r w:rsidR="00D33B43">
        <w:t xml:space="preserve"> </w:t>
      </w:r>
      <w:r w:rsidR="00571064">
        <w:t xml:space="preserve"> </w:t>
      </w:r>
      <w:r>
        <w:t xml:space="preserve">There is </w:t>
      </w:r>
      <w:r w:rsidR="007525B9">
        <w:t xml:space="preserve">a </w:t>
      </w:r>
      <w:r>
        <w:t>long standing shortage of specifiers and installers who und</w:t>
      </w:r>
      <w:r w:rsidR="00AF479E">
        <w:t>erstand traditional buildings and t</w:t>
      </w:r>
      <w:r>
        <w:t>raditional building skills are rarely taught in colleges</w:t>
      </w:r>
      <w:r w:rsidR="00AF479E">
        <w:t xml:space="preserve">. </w:t>
      </w:r>
      <w:r>
        <w:t xml:space="preserve"> </w:t>
      </w:r>
      <w:r w:rsidR="00AF479E">
        <w:t>L</w:t>
      </w:r>
      <w:r>
        <w:t>ocal contractors often prefer to replace rather than r</w:t>
      </w:r>
      <w:r w:rsidR="00142646">
        <w:t>epair original building fabric and to demolish and build new rather than convert.</w:t>
      </w:r>
    </w:p>
    <w:p w:rsidR="001C1C13" w:rsidRDefault="001C1C13" w:rsidP="00813561">
      <w:pPr>
        <w:ind w:firstLine="0"/>
      </w:pPr>
      <w:r>
        <w:t>Traditional buildings with solid wall construction make up 25% of the UK building stock.</w:t>
      </w:r>
      <w:r w:rsidR="00B22804">
        <w:t xml:space="preserve"> </w:t>
      </w:r>
      <w:r w:rsidR="00EF066F">
        <w:t>U</w:t>
      </w:r>
      <w:r>
        <w:t>pgrading them to reduce energy consumption and carbon emissions is</w:t>
      </w:r>
      <w:r w:rsidR="00EF066F">
        <w:t xml:space="preserve"> a generally</w:t>
      </w:r>
      <w:r>
        <w:t xml:space="preserve"> accepted</w:t>
      </w:r>
      <w:r w:rsidR="00EF066F">
        <w:t xml:space="preserve"> principle</w:t>
      </w:r>
      <w:proofErr w:type="gramStart"/>
      <w:r w:rsidR="00EF066F">
        <w:t>.</w:t>
      </w:r>
      <w:r>
        <w:t>.</w:t>
      </w:r>
      <w:proofErr w:type="gramEnd"/>
      <w:r>
        <w:t xml:space="preserve"> </w:t>
      </w:r>
      <w:r w:rsidR="00B45901">
        <w:t>R</w:t>
      </w:r>
      <w:r>
        <w:t>etrofitting schemes</w:t>
      </w:r>
      <w:r w:rsidR="00E97952">
        <w:t>, however,</w:t>
      </w:r>
      <w:r>
        <w:t xml:space="preserve"> </w:t>
      </w:r>
      <w:r w:rsidR="00B45901">
        <w:t>often use external</w:t>
      </w:r>
      <w:r w:rsidR="00507E1B">
        <w:t xml:space="preserve"> non permeable</w:t>
      </w:r>
      <w:r w:rsidR="00571064">
        <w:t xml:space="preserve"> ‘air tight’ insulation th</w:t>
      </w:r>
      <w:r w:rsidR="003F5657">
        <w:t>at</w:t>
      </w:r>
      <w:r w:rsidR="00A135A1">
        <w:t xml:space="preserve"> </w:t>
      </w:r>
      <w:r w:rsidR="00B45901">
        <w:t>prevents</w:t>
      </w:r>
      <w:r w:rsidR="00A135A1">
        <w:t xml:space="preserve"> solid walls from </w:t>
      </w:r>
      <w:r w:rsidR="00571064">
        <w:t>‘</w:t>
      </w:r>
      <w:r w:rsidR="00A135A1">
        <w:t>breathing</w:t>
      </w:r>
      <w:r w:rsidR="00571064">
        <w:t xml:space="preserve">’.  This </w:t>
      </w:r>
      <w:r w:rsidR="00C915BF">
        <w:t>can cause</w:t>
      </w:r>
      <w:r w:rsidR="00B45901">
        <w:t xml:space="preserve"> </w:t>
      </w:r>
      <w:r>
        <w:t>water ingress, condensation and mould growth as well as</w:t>
      </w:r>
      <w:r w:rsidR="00B45901">
        <w:t xml:space="preserve"> obscuring original materials and details</w:t>
      </w:r>
      <w:r>
        <w:t>.</w:t>
      </w:r>
      <w:r w:rsidR="00507E1B">
        <w:t xml:space="preserve">  Creating sealed environments is potential</w:t>
      </w:r>
      <w:r w:rsidR="00B45901">
        <w:t>ly damaging to occupants health and there is a need to balance insulation and ventilation.</w:t>
      </w:r>
      <w:r w:rsidR="00D33B43">
        <w:t xml:space="preserve"> Tenant interviews on THI funded schemes revealed windows were rarely opened</w:t>
      </w:r>
      <w:r w:rsidR="00B45901">
        <w:t>,</w:t>
      </w:r>
      <w:r w:rsidR="00D33B43">
        <w:t xml:space="preserve"> a concern as Cornwall is a radon affected area.</w:t>
      </w:r>
    </w:p>
    <w:p w:rsidR="00646630" w:rsidRDefault="001C1C13" w:rsidP="00813561">
      <w:pPr>
        <w:ind w:firstLine="0"/>
      </w:pPr>
      <w:r>
        <w:t>To address the</w:t>
      </w:r>
      <w:r w:rsidR="00DA72B4">
        <w:t xml:space="preserve">se issues </w:t>
      </w:r>
      <w:r w:rsidR="00B45901">
        <w:t xml:space="preserve">a THI in the Cornish settlements of Camborne, </w:t>
      </w:r>
      <w:proofErr w:type="spellStart"/>
      <w:r w:rsidR="00B45901">
        <w:t>Roskear</w:t>
      </w:r>
      <w:proofErr w:type="spellEnd"/>
      <w:r w:rsidR="00B45901">
        <w:t xml:space="preserve"> and </w:t>
      </w:r>
      <w:proofErr w:type="spellStart"/>
      <w:r w:rsidR="00DA72B4">
        <w:t>Tuckingmill</w:t>
      </w:r>
      <w:proofErr w:type="spellEnd"/>
      <w:r w:rsidR="00DA72B4">
        <w:t xml:space="preserve"> has</w:t>
      </w:r>
      <w:r w:rsidR="00B45901">
        <w:t xml:space="preserve"> funded and</w:t>
      </w:r>
      <w:r w:rsidR="00DA72B4">
        <w:t xml:space="preserve"> </w:t>
      </w:r>
      <w:r w:rsidR="00571064">
        <w:t xml:space="preserve">promoted </w:t>
      </w:r>
      <w:r w:rsidR="00B45901">
        <w:t xml:space="preserve">high quality </w:t>
      </w:r>
      <w:r w:rsidR="00571064">
        <w:t>traditional rep</w:t>
      </w:r>
      <w:r w:rsidR="00B45901">
        <w:t xml:space="preserve">airs, organised </w:t>
      </w:r>
      <w:r w:rsidR="00571064">
        <w:t>training days for local contract</w:t>
      </w:r>
      <w:r w:rsidR="00C915BF">
        <w:t>ors</w:t>
      </w:r>
      <w:r w:rsidR="00B45901">
        <w:t xml:space="preserve"> and architects and given</w:t>
      </w:r>
      <w:r w:rsidR="00571064">
        <w:t xml:space="preserve"> </w:t>
      </w:r>
      <w:r w:rsidR="00B45901">
        <w:t>l</w:t>
      </w:r>
      <w:r w:rsidR="00571064">
        <w:t xml:space="preserve">ocal college students </w:t>
      </w:r>
      <w:r w:rsidR="00B45901">
        <w:t>work experience</w:t>
      </w:r>
      <w:r w:rsidR="00571064">
        <w:t xml:space="preserve"> on THI funded schemes</w:t>
      </w:r>
      <w:r w:rsidR="00C915BF">
        <w:t xml:space="preserve"> (Fig.1)</w:t>
      </w:r>
      <w:r w:rsidR="00571064">
        <w:t>.</w:t>
      </w:r>
    </w:p>
    <w:p w:rsidR="00306C22" w:rsidRDefault="00A135A1" w:rsidP="00813561">
      <w:pPr>
        <w:ind w:firstLine="0"/>
      </w:pPr>
      <w:r>
        <w:t xml:space="preserve">Sympathetic </w:t>
      </w:r>
      <w:r w:rsidR="00434C03">
        <w:t>ways</w:t>
      </w:r>
      <w:r w:rsidR="000304C4">
        <w:t xml:space="preserve"> of upgrading traditional construction </w:t>
      </w:r>
      <w:r>
        <w:t>have been</w:t>
      </w:r>
      <w:r w:rsidR="000304C4">
        <w:t xml:space="preserve"> installed on THI funded buildings.</w:t>
      </w:r>
      <w:r>
        <w:t xml:space="preserve"> Performance of </w:t>
      </w:r>
      <w:r w:rsidR="000304C4">
        <w:t xml:space="preserve">products and </w:t>
      </w:r>
      <w:r>
        <w:t>methods</w:t>
      </w:r>
      <w:r w:rsidR="000304C4">
        <w:t xml:space="preserve"> used </w:t>
      </w:r>
      <w:r>
        <w:t>have been monitored by local Renewable Energy and Carbon Management students</w:t>
      </w:r>
      <w:r w:rsidR="00434C03">
        <w:t xml:space="preserve"> as part of their coursework.  </w:t>
      </w:r>
      <w:r w:rsidR="00A54620">
        <w:t>So far monitoring has taken place</w:t>
      </w:r>
      <w:r w:rsidR="00434C03">
        <w:t xml:space="preserve"> on </w:t>
      </w:r>
      <w:r w:rsidR="00A54620">
        <w:t xml:space="preserve">upgraded </w:t>
      </w:r>
      <w:r w:rsidR="00434C03">
        <w:t>original timber single glazed windows</w:t>
      </w:r>
      <w:r w:rsidR="00876B0C">
        <w:t xml:space="preserve"> (F</w:t>
      </w:r>
      <w:r w:rsidR="00D33B43">
        <w:t>ig</w:t>
      </w:r>
      <w:r w:rsidR="00876B0C">
        <w:t>.</w:t>
      </w:r>
      <w:r w:rsidR="00D33B43">
        <w:t>2)</w:t>
      </w:r>
      <w:r w:rsidR="00434C03">
        <w:t xml:space="preserve"> and</w:t>
      </w:r>
      <w:r w:rsidR="00A54620">
        <w:t xml:space="preserve"> natural breathable</w:t>
      </w:r>
      <w:r w:rsidR="00434C03">
        <w:t xml:space="preserve"> internal </w:t>
      </w:r>
      <w:proofErr w:type="spellStart"/>
      <w:r w:rsidR="00434C03">
        <w:t>insultion</w:t>
      </w:r>
      <w:proofErr w:type="spellEnd"/>
      <w:r w:rsidR="00876B0C">
        <w:t xml:space="preserve"> (Fig.</w:t>
      </w:r>
      <w:r w:rsidR="00D33B43">
        <w:t>3)</w:t>
      </w:r>
      <w:r w:rsidR="00434C03">
        <w:t>.  Results have been added to an ‘Improving Energy Efficiency in Cornish Historic Buildings’ guide</w:t>
      </w:r>
      <w:r w:rsidR="00D901D7">
        <w:t xml:space="preserve"> [1</w:t>
      </w:r>
      <w:r w:rsidR="00D901D7" w:rsidRPr="00D901D7">
        <w:t>]</w:t>
      </w:r>
      <w:r w:rsidR="000304C4">
        <w:t xml:space="preserve">. </w:t>
      </w:r>
      <w:r w:rsidR="00434C03">
        <w:t>This web based guidance produced by Cornwall Council illustrates local examples of good practice, provides updated costs and</w:t>
      </w:r>
      <w:r w:rsidR="00CF6F60">
        <w:t xml:space="preserve"> lifespans of products and includes</w:t>
      </w:r>
      <w:r w:rsidR="00434C03">
        <w:t xml:space="preserve"> web links </w:t>
      </w:r>
      <w:r w:rsidR="00A907EC">
        <w:t xml:space="preserve">to enable further research.  The guide </w:t>
      </w:r>
      <w:r w:rsidR="007432EC">
        <w:t>has been formerly endorsed by Cornwall Council and</w:t>
      </w:r>
      <w:r w:rsidR="00A907EC">
        <w:t xml:space="preserve"> links to wider local policy and guidance.  It</w:t>
      </w:r>
      <w:r w:rsidR="007432EC">
        <w:t xml:space="preserve"> </w:t>
      </w:r>
      <w:r w:rsidR="00434C03">
        <w:t>is used early in the planning process and before Building Regulation applications to influence the quality of local retrofit schemes.</w:t>
      </w:r>
      <w:r w:rsidR="00306C22">
        <w:t xml:space="preserve"> </w:t>
      </w:r>
      <w:r w:rsidR="00507E1B" w:rsidRPr="00507E1B">
        <w:t>The guidance concluded that retrofitting historic buildings required a ‘whole building’ approach taking on board location, construction, condition, effectiveness of building services, heritage value, significance and occupant behaviour.</w:t>
      </w:r>
      <w:r w:rsidR="00507E1B">
        <w:t xml:space="preserve"> </w:t>
      </w:r>
    </w:p>
    <w:p w:rsidR="00434C03" w:rsidRDefault="00A54620" w:rsidP="00813561">
      <w:pPr>
        <w:ind w:firstLine="0"/>
      </w:pPr>
      <w:r>
        <w:t>The aim of these initiatives is to show</w:t>
      </w:r>
      <w:r w:rsidR="00434C03">
        <w:t xml:space="preserve"> </w:t>
      </w:r>
      <w:r w:rsidR="00507E1B">
        <w:t xml:space="preserve">that </w:t>
      </w:r>
      <w:r>
        <w:t>repairing rather than replacing original fabric</w:t>
      </w:r>
      <w:r w:rsidR="00434C03">
        <w:t xml:space="preserve"> </w:t>
      </w:r>
      <w:r>
        <w:t xml:space="preserve">retains original character and </w:t>
      </w:r>
      <w:r w:rsidR="00434C03">
        <w:t>can b</w:t>
      </w:r>
      <w:r>
        <w:t xml:space="preserve">e cheaper.  </w:t>
      </w:r>
      <w:r w:rsidR="00E05337">
        <w:t>Good and regular r</w:t>
      </w:r>
      <w:r>
        <w:t xml:space="preserve">epairs help the performance of traditionally built buildings which can </w:t>
      </w:r>
      <w:r w:rsidR="00E05337">
        <w:t xml:space="preserve">then </w:t>
      </w:r>
      <w:r>
        <w:t>be upgraded in ways that do not damage their character</w:t>
      </w:r>
      <w:proofErr w:type="gramStart"/>
      <w:r>
        <w:t>.</w:t>
      </w:r>
      <w:r w:rsidR="00507E1B">
        <w:t>.</w:t>
      </w:r>
      <w:proofErr w:type="gramEnd"/>
      <w:r w:rsidR="00507E1B">
        <w:t xml:space="preserve"> </w:t>
      </w:r>
      <w:r w:rsidR="008937B6">
        <w:t>THI funded schemes provide opportunities to see how this has been achieved while the web based guidance provides feedback on performance, cost and lifespan of products used.</w:t>
      </w:r>
    </w:p>
    <w:p w:rsidR="009F0547" w:rsidRDefault="007432EC" w:rsidP="00813561">
      <w:pPr>
        <w:ind w:firstLine="0"/>
      </w:pPr>
      <w:r>
        <w:t>So far</w:t>
      </w:r>
      <w:r w:rsidR="00A907EC">
        <w:t xml:space="preserve"> outputs from these initiatives include</w:t>
      </w:r>
      <w:r>
        <w:t xml:space="preserve"> 24 training events for 534 local builders,</w:t>
      </w:r>
      <w:r w:rsidR="00A907EC">
        <w:t xml:space="preserve"> professional agents</w:t>
      </w:r>
      <w:r>
        <w:t xml:space="preserve"> and college students</w:t>
      </w:r>
      <w:r w:rsidR="00A907EC">
        <w:t>, ‘live’ training opportunities for over 100 l</w:t>
      </w:r>
      <w:r>
        <w:t>ocal college</w:t>
      </w:r>
      <w:r w:rsidR="00A907EC">
        <w:t xml:space="preserve"> </w:t>
      </w:r>
      <w:r w:rsidR="00A907EC">
        <w:lastRenderedPageBreak/>
        <w:t xml:space="preserve">students, good practice monitored energy saving methods to </w:t>
      </w:r>
      <w:r>
        <w:t xml:space="preserve">40 </w:t>
      </w:r>
      <w:r w:rsidR="00A907EC">
        <w:t>building units and inclusion of traditional skills and energy monitoring as part of local college construction and renewable energy courses.</w:t>
      </w:r>
    </w:p>
    <w:p w:rsidR="00345BCE" w:rsidRDefault="00C1547F" w:rsidP="00635F1D">
      <w:pPr>
        <w:ind w:firstLine="0"/>
        <w:jc w:val="left"/>
      </w:pPr>
      <w:r>
        <w:rPr>
          <w:noProof/>
          <w:lang w:eastAsia="en-GB"/>
        </w:rPr>
        <w:drawing>
          <wp:inline distT="0" distB="0" distL="0" distR="0">
            <wp:extent cx="6324600" cy="6743700"/>
            <wp:effectExtent l="0" t="0" r="0" b="0"/>
            <wp:docPr id="4" name="Picture 1" descr="Page for Belgium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 for Belgium pap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24600" cy="6743700"/>
                    </a:xfrm>
                    <a:prstGeom prst="rect">
                      <a:avLst/>
                    </a:prstGeom>
                    <a:noFill/>
                    <a:ln>
                      <a:noFill/>
                    </a:ln>
                  </pic:spPr>
                </pic:pic>
              </a:graphicData>
            </a:graphic>
          </wp:inline>
        </w:drawing>
      </w:r>
    </w:p>
    <w:p w:rsidR="00635F1D" w:rsidRDefault="00635F1D" w:rsidP="00635F1D">
      <w:pPr>
        <w:pStyle w:val="Caption"/>
        <w:spacing w:before="0" w:after="0"/>
        <w:jc w:val="both"/>
      </w:pPr>
    </w:p>
    <w:p w:rsidR="00635F1D" w:rsidRPr="003017A2" w:rsidRDefault="00A34B28" w:rsidP="00635F1D">
      <w:pPr>
        <w:pStyle w:val="Caption"/>
        <w:spacing w:before="0" w:after="0"/>
        <w:jc w:val="both"/>
      </w:pPr>
      <w:r>
        <w:t>Figure 2.</w:t>
      </w:r>
      <w:r w:rsidR="00635F1D" w:rsidRPr="003017A2">
        <w:t xml:space="preserve"> Example from ‘Improving Energy Efficiency in Corn</w:t>
      </w:r>
      <w:r>
        <w:t xml:space="preserve">ish Historic Buildings’ guide. </w:t>
      </w:r>
      <w:proofErr w:type="gramStart"/>
      <w:r>
        <w:t>s</w:t>
      </w:r>
      <w:r w:rsidR="00635F1D" w:rsidRPr="003017A2">
        <w:t>howing</w:t>
      </w:r>
      <w:proofErr w:type="gramEnd"/>
      <w:r w:rsidR="00635F1D" w:rsidRPr="003017A2">
        <w:t xml:space="preserve"> how timber single glazed </w:t>
      </w:r>
      <w:r w:rsidR="006F0E90">
        <w:t>sash windows can be upgraded by</w:t>
      </w:r>
      <w:r w:rsidR="00635F1D" w:rsidRPr="003017A2">
        <w:t xml:space="preserve"> installing </w:t>
      </w:r>
      <w:proofErr w:type="spellStart"/>
      <w:r w:rsidR="00635F1D" w:rsidRPr="003017A2">
        <w:t>draughtproofing</w:t>
      </w:r>
      <w:proofErr w:type="spellEnd"/>
      <w:r w:rsidR="00635F1D" w:rsidRPr="003017A2">
        <w:t>,</w:t>
      </w:r>
      <w:r>
        <w:t xml:space="preserve"> </w:t>
      </w:r>
      <w:r w:rsidR="00635F1D" w:rsidRPr="003017A2">
        <w:t xml:space="preserve">secondary glazing, internal timber shutters and slim double glazing.  Monitoring showed that all of these methods effectively reduced heat loss, reducing energy bills by 15% and £100 a year for occupants as well as providing good noise protection. The building was not listed and without grant aid unsympathetic </w:t>
      </w:r>
      <w:proofErr w:type="spellStart"/>
      <w:r w:rsidR="00635F1D" w:rsidRPr="003017A2">
        <w:t>upvc</w:t>
      </w:r>
      <w:proofErr w:type="spellEnd"/>
      <w:r w:rsidR="00635F1D" w:rsidRPr="003017A2">
        <w:t xml:space="preserve"> windows. </w:t>
      </w:r>
      <w:proofErr w:type="gramStart"/>
      <w:r w:rsidR="00635F1D" w:rsidRPr="003017A2">
        <w:t>could</w:t>
      </w:r>
      <w:proofErr w:type="gramEnd"/>
      <w:r w:rsidR="00635F1D" w:rsidRPr="003017A2">
        <w:t xml:space="preserve"> have been installed</w:t>
      </w:r>
      <w:r>
        <w:t xml:space="preserve"> which would have damaged character</w:t>
      </w:r>
      <w:r w:rsidR="00635F1D" w:rsidRPr="003017A2">
        <w:t>.</w:t>
      </w:r>
    </w:p>
    <w:p w:rsidR="00E545A1" w:rsidRDefault="00E545A1" w:rsidP="00761006">
      <w:pPr>
        <w:ind w:firstLine="0"/>
        <w:rPr>
          <w:b/>
          <w:szCs w:val="24"/>
        </w:rPr>
      </w:pPr>
    </w:p>
    <w:p w:rsidR="00E545A1" w:rsidRDefault="00E545A1" w:rsidP="00761006">
      <w:pPr>
        <w:ind w:firstLine="0"/>
        <w:rPr>
          <w:b/>
          <w:szCs w:val="24"/>
        </w:rPr>
      </w:pPr>
    </w:p>
    <w:p w:rsidR="00E545A1" w:rsidRDefault="00761006" w:rsidP="00761006">
      <w:pPr>
        <w:ind w:firstLine="0"/>
        <w:rPr>
          <w:b/>
          <w:szCs w:val="24"/>
        </w:rPr>
      </w:pPr>
      <w:r w:rsidRPr="009631F6">
        <w:rPr>
          <w:b/>
          <w:szCs w:val="24"/>
        </w:rPr>
        <w:t xml:space="preserve">3.0 </w:t>
      </w:r>
      <w:r>
        <w:rPr>
          <w:b/>
          <w:szCs w:val="24"/>
        </w:rPr>
        <w:t xml:space="preserve">-MONITORING </w:t>
      </w:r>
      <w:r w:rsidRPr="009631F6">
        <w:rPr>
          <w:b/>
          <w:szCs w:val="24"/>
        </w:rPr>
        <w:t xml:space="preserve">OF ROSEWARNE HOUSE STABLE BLOCK CONVERSION </w:t>
      </w:r>
    </w:p>
    <w:p w:rsidR="00761006" w:rsidRPr="009631F6" w:rsidRDefault="00C1547F" w:rsidP="00761006">
      <w:pPr>
        <w:ind w:firstLine="0"/>
        <w:rPr>
          <w:b/>
          <w:szCs w:val="24"/>
        </w:rPr>
      </w:pPr>
      <w:r>
        <w:rPr>
          <w:noProof/>
          <w:lang w:eastAsia="en-GB"/>
        </w:rPr>
        <w:drawing>
          <wp:inline distT="0" distB="0" distL="0" distR="0">
            <wp:extent cx="6019800" cy="6953250"/>
            <wp:effectExtent l="0" t="0" r="0" b="0"/>
            <wp:docPr id="2" name="Picture 2" descr="Page 2 for Belgium pa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 2 for Belgium pap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19800" cy="6953250"/>
                    </a:xfrm>
                    <a:prstGeom prst="rect">
                      <a:avLst/>
                    </a:prstGeom>
                    <a:noFill/>
                    <a:ln>
                      <a:noFill/>
                    </a:ln>
                  </pic:spPr>
                </pic:pic>
              </a:graphicData>
            </a:graphic>
          </wp:inline>
        </w:drawing>
      </w:r>
    </w:p>
    <w:p w:rsidR="00E545A1" w:rsidRDefault="00E545A1" w:rsidP="00E545A1">
      <w:pPr>
        <w:ind w:firstLine="0"/>
        <w:jc w:val="center"/>
        <w:rPr>
          <w:color w:val="FF0000"/>
        </w:rPr>
      </w:pPr>
      <w:r w:rsidRPr="00635F1D">
        <w:rPr>
          <w:b/>
          <w:i/>
          <w:sz w:val="20"/>
          <w:szCs w:val="20"/>
        </w:rPr>
        <w:t xml:space="preserve">Figure 3. Monitored internal insulation, Stable Block, </w:t>
      </w:r>
      <w:proofErr w:type="spellStart"/>
      <w:r w:rsidRPr="00635F1D">
        <w:rPr>
          <w:b/>
          <w:i/>
          <w:sz w:val="20"/>
          <w:szCs w:val="20"/>
        </w:rPr>
        <w:t>Rosewarne</w:t>
      </w:r>
      <w:proofErr w:type="spellEnd"/>
      <w:r w:rsidRPr="00635F1D">
        <w:rPr>
          <w:b/>
          <w:i/>
          <w:sz w:val="20"/>
          <w:szCs w:val="20"/>
        </w:rPr>
        <w:t xml:space="preserve"> H</w:t>
      </w:r>
      <w:r>
        <w:rPr>
          <w:b/>
          <w:i/>
          <w:sz w:val="20"/>
          <w:szCs w:val="20"/>
        </w:rPr>
        <w:t>ouse</w:t>
      </w:r>
      <w:r>
        <w:rPr>
          <w:color w:val="FF0000"/>
        </w:rPr>
        <w:t xml:space="preserve"> </w:t>
      </w:r>
    </w:p>
    <w:p w:rsidR="00E545A1" w:rsidRDefault="00E545A1" w:rsidP="00761006">
      <w:pPr>
        <w:ind w:firstLine="0"/>
        <w:rPr>
          <w:b/>
          <w:szCs w:val="24"/>
        </w:rPr>
      </w:pPr>
    </w:p>
    <w:p w:rsidR="00535A9B" w:rsidRDefault="00535A9B" w:rsidP="00761006">
      <w:pPr>
        <w:ind w:firstLine="0"/>
        <w:rPr>
          <w:b/>
          <w:szCs w:val="24"/>
        </w:rPr>
      </w:pPr>
    </w:p>
    <w:p w:rsidR="00535A9B" w:rsidRDefault="00535A9B" w:rsidP="00761006">
      <w:pPr>
        <w:ind w:firstLine="0"/>
        <w:rPr>
          <w:b/>
          <w:szCs w:val="24"/>
        </w:rPr>
      </w:pPr>
    </w:p>
    <w:p w:rsidR="00535A9B" w:rsidRDefault="00535A9B" w:rsidP="00761006">
      <w:pPr>
        <w:ind w:firstLine="0"/>
        <w:rPr>
          <w:b/>
          <w:szCs w:val="24"/>
        </w:rPr>
      </w:pPr>
    </w:p>
    <w:p w:rsidR="00761006" w:rsidRPr="009631F6" w:rsidRDefault="00761006" w:rsidP="00761006">
      <w:pPr>
        <w:ind w:firstLine="0"/>
        <w:rPr>
          <w:b/>
          <w:szCs w:val="24"/>
        </w:rPr>
      </w:pPr>
      <w:r w:rsidRPr="009631F6">
        <w:rPr>
          <w:b/>
          <w:szCs w:val="24"/>
        </w:rPr>
        <w:t>3.1</w:t>
      </w:r>
      <w:r w:rsidRPr="009631F6">
        <w:rPr>
          <w:b/>
          <w:szCs w:val="24"/>
        </w:rPr>
        <w:tab/>
        <w:t>Introduction</w:t>
      </w:r>
    </w:p>
    <w:p w:rsidR="00761006" w:rsidRDefault="00761006" w:rsidP="00761006">
      <w:pPr>
        <w:ind w:firstLine="0"/>
        <w:rPr>
          <w:szCs w:val="24"/>
        </w:rPr>
      </w:pPr>
      <w:r w:rsidRPr="005F3AA8">
        <w:rPr>
          <w:szCs w:val="24"/>
        </w:rPr>
        <w:t xml:space="preserve">A stable block with solid local stone walls at the rear of a grade 2* listed building is being converted to four separate cottages. Cottage A is being upgraded conventionally with internal non permeable Celotex PUR closed cell dry lining.  The other three cottages are being internally insulated with different types of natural breathable insulation.  Cottage B is being insulated with </w:t>
      </w:r>
      <w:proofErr w:type="spellStart"/>
      <w:r w:rsidRPr="005F3AA8">
        <w:rPr>
          <w:szCs w:val="24"/>
        </w:rPr>
        <w:t>woodfibre</w:t>
      </w:r>
      <w:proofErr w:type="spellEnd"/>
      <w:r w:rsidRPr="005F3AA8">
        <w:rPr>
          <w:szCs w:val="24"/>
        </w:rPr>
        <w:t xml:space="preserve"> board and clay plaster, Cottage C with </w:t>
      </w:r>
      <w:proofErr w:type="spellStart"/>
      <w:r w:rsidRPr="005F3AA8">
        <w:rPr>
          <w:szCs w:val="24"/>
        </w:rPr>
        <w:t>ecoCork</w:t>
      </w:r>
      <w:proofErr w:type="spellEnd"/>
      <w:r w:rsidRPr="005F3AA8">
        <w:rPr>
          <w:szCs w:val="24"/>
        </w:rPr>
        <w:t xml:space="preserve"> plaster and Cottage D with Cork board.  60mm insulation </w:t>
      </w:r>
      <w:r>
        <w:rPr>
          <w:szCs w:val="24"/>
        </w:rPr>
        <w:t xml:space="preserve">was </w:t>
      </w:r>
      <w:r w:rsidRPr="005F3AA8">
        <w:rPr>
          <w:szCs w:val="24"/>
        </w:rPr>
        <w:t xml:space="preserve">fixed to internal walls and 20mm </w:t>
      </w:r>
      <w:r>
        <w:rPr>
          <w:szCs w:val="24"/>
        </w:rPr>
        <w:t xml:space="preserve">to window reveals to counter cold bridging. </w:t>
      </w:r>
      <w:r w:rsidRPr="005F3AA8">
        <w:rPr>
          <w:szCs w:val="24"/>
        </w:rPr>
        <w:t>Monitoring will analyse:</w:t>
      </w:r>
    </w:p>
    <w:p w:rsidR="00761006" w:rsidRPr="005F3AA8" w:rsidRDefault="00761006" w:rsidP="00761006">
      <w:pPr>
        <w:ind w:firstLine="0"/>
        <w:rPr>
          <w:szCs w:val="24"/>
        </w:rPr>
      </w:pPr>
    </w:p>
    <w:p w:rsidR="00761006" w:rsidRPr="005F3AA8" w:rsidRDefault="00761006" w:rsidP="00761006">
      <w:pPr>
        <w:pStyle w:val="ListParagraph"/>
        <w:numPr>
          <w:ilvl w:val="0"/>
          <w:numId w:val="35"/>
        </w:numPr>
        <w:spacing w:before="0" w:after="160" w:line="259" w:lineRule="auto"/>
        <w:ind w:left="360"/>
        <w:jc w:val="left"/>
        <w:rPr>
          <w:szCs w:val="24"/>
        </w:rPr>
      </w:pPr>
      <w:r>
        <w:rPr>
          <w:szCs w:val="24"/>
        </w:rPr>
        <w:t>Whether</w:t>
      </w:r>
      <w:r w:rsidRPr="005F3AA8">
        <w:rPr>
          <w:szCs w:val="24"/>
        </w:rPr>
        <w:t xml:space="preserve"> breathable internal insulation affects the thermal performance of solid walls and whether damp problems are reduced and good air quality</w:t>
      </w:r>
      <w:r>
        <w:rPr>
          <w:szCs w:val="24"/>
        </w:rPr>
        <w:t xml:space="preserve"> is maintained</w:t>
      </w:r>
      <w:r w:rsidRPr="005F3AA8">
        <w:rPr>
          <w:szCs w:val="24"/>
        </w:rPr>
        <w:t xml:space="preserve">. </w:t>
      </w:r>
    </w:p>
    <w:p w:rsidR="00761006" w:rsidRPr="005F3AA8" w:rsidRDefault="00761006" w:rsidP="00761006">
      <w:pPr>
        <w:pStyle w:val="ListParagraph"/>
        <w:ind w:left="360"/>
        <w:rPr>
          <w:szCs w:val="24"/>
        </w:rPr>
      </w:pPr>
    </w:p>
    <w:p w:rsidR="00761006" w:rsidRPr="00B01292" w:rsidRDefault="00761006" w:rsidP="00761006">
      <w:pPr>
        <w:pStyle w:val="ListParagraph"/>
        <w:numPr>
          <w:ilvl w:val="0"/>
          <w:numId w:val="35"/>
        </w:numPr>
        <w:spacing w:before="0" w:after="160" w:line="259" w:lineRule="auto"/>
        <w:ind w:left="360"/>
        <w:jc w:val="left"/>
        <w:rPr>
          <w:szCs w:val="24"/>
        </w:rPr>
      </w:pPr>
      <w:r w:rsidRPr="005F3AA8">
        <w:rPr>
          <w:szCs w:val="24"/>
        </w:rPr>
        <w:t>The relative life cycle impact of retrofitting historic buildings compared to demolishing and building new.  A retrofitted building</w:t>
      </w:r>
      <w:r>
        <w:rPr>
          <w:szCs w:val="24"/>
        </w:rPr>
        <w:t>’</w:t>
      </w:r>
      <w:r w:rsidRPr="005F3AA8">
        <w:rPr>
          <w:szCs w:val="24"/>
        </w:rPr>
        <w:t>s thermal performance will usually be worse than that of a new building leading to higher in use energy and emissions.  The analysis looks to what extent this is miti</w:t>
      </w:r>
      <w:r>
        <w:rPr>
          <w:szCs w:val="24"/>
        </w:rPr>
        <w:t xml:space="preserve">gated by the lower embodied energy </w:t>
      </w:r>
      <w:r w:rsidRPr="005F3AA8">
        <w:rPr>
          <w:szCs w:val="24"/>
        </w:rPr>
        <w:t>and carbon of the retrofit and how this is affected by choice of materials.</w:t>
      </w:r>
    </w:p>
    <w:p w:rsidR="00761006" w:rsidRPr="005F3AA8" w:rsidRDefault="00761006" w:rsidP="00761006">
      <w:pPr>
        <w:ind w:firstLine="0"/>
        <w:rPr>
          <w:szCs w:val="24"/>
        </w:rPr>
      </w:pPr>
      <w:r w:rsidRPr="005F3AA8">
        <w:rPr>
          <w:szCs w:val="24"/>
        </w:rPr>
        <w:t>Heat Flow measurements to date compare Cottage A with Cottage D (with normalised floor areas) and provide estimates of the embodied in use and overall energy and carbon of the conversion compared to a new building with masonry/ cement construction.</w:t>
      </w:r>
    </w:p>
    <w:p w:rsidR="00761006" w:rsidRPr="009631F6" w:rsidRDefault="00761006" w:rsidP="00761006">
      <w:pPr>
        <w:ind w:firstLine="0"/>
        <w:rPr>
          <w:b/>
          <w:szCs w:val="24"/>
        </w:rPr>
      </w:pPr>
      <w:r w:rsidRPr="009631F6">
        <w:rPr>
          <w:b/>
          <w:szCs w:val="24"/>
        </w:rPr>
        <w:t>3.2</w:t>
      </w:r>
      <w:r w:rsidRPr="009631F6">
        <w:rPr>
          <w:b/>
          <w:szCs w:val="24"/>
        </w:rPr>
        <w:tab/>
        <w:t>Monitoring</w:t>
      </w:r>
    </w:p>
    <w:p w:rsidR="00761006" w:rsidRPr="005F3AA8" w:rsidRDefault="00761006" w:rsidP="00761006">
      <w:pPr>
        <w:rPr>
          <w:szCs w:val="24"/>
        </w:rPr>
      </w:pPr>
      <w:r w:rsidRPr="005F3AA8">
        <w:rPr>
          <w:szCs w:val="24"/>
        </w:rPr>
        <w:t xml:space="preserve">The 600 mm thick stable block walls have granite facing stones with a central core of stone, earth and air voids.  This makes an accurate thermal resistance estimate difficult. Presuming the stone is granite and the earth/stone core </w:t>
      </w:r>
      <w:r>
        <w:rPr>
          <w:szCs w:val="24"/>
        </w:rPr>
        <w:t xml:space="preserve">ratio </w:t>
      </w:r>
      <w:r w:rsidRPr="005F3AA8">
        <w:rPr>
          <w:szCs w:val="24"/>
        </w:rPr>
        <w:t>range is 20/80 to 80/20 then a steady state U-value calculation would estimate the R value of the stone wall to be 0.37 to 0.65 W</w:t>
      </w:r>
      <w:r w:rsidRPr="005F3AA8">
        <w:rPr>
          <w:szCs w:val="24"/>
          <w:vertAlign w:val="superscript"/>
        </w:rPr>
        <w:t>-1</w:t>
      </w:r>
      <w:r w:rsidRPr="005F3AA8">
        <w:rPr>
          <w:szCs w:val="24"/>
        </w:rPr>
        <w:t xml:space="preserve"> K m</w:t>
      </w:r>
      <w:r w:rsidRPr="005F3AA8">
        <w:rPr>
          <w:szCs w:val="24"/>
          <w:vertAlign w:val="superscript"/>
        </w:rPr>
        <w:t>2</w:t>
      </w:r>
      <w:r>
        <w:rPr>
          <w:szCs w:val="24"/>
        </w:rPr>
        <w:t xml:space="preserve">, giving a U-value </w:t>
      </w:r>
      <w:r w:rsidRPr="005F3AA8">
        <w:rPr>
          <w:szCs w:val="24"/>
        </w:rPr>
        <w:t>of 1.5 to 2.7 W K</w:t>
      </w:r>
      <w:r w:rsidRPr="005F3AA8">
        <w:rPr>
          <w:szCs w:val="24"/>
          <w:vertAlign w:val="superscript"/>
        </w:rPr>
        <w:t>-1</w:t>
      </w:r>
      <w:r w:rsidRPr="005F3AA8">
        <w:rPr>
          <w:szCs w:val="24"/>
        </w:rPr>
        <w:t xml:space="preserve"> m</w:t>
      </w:r>
      <w:r w:rsidRPr="005F3AA8">
        <w:rPr>
          <w:szCs w:val="24"/>
          <w:vertAlign w:val="superscript"/>
        </w:rPr>
        <w:t>-2</w:t>
      </w:r>
      <w:r w:rsidRPr="005F3AA8">
        <w:rPr>
          <w:szCs w:val="24"/>
        </w:rPr>
        <w:t>. Steady state calculations for finished walls after adding insulation give U values of 0.31 – 0.34 for Cottage A, and 0.74 to 0.94 for Cottage D.</w:t>
      </w:r>
    </w:p>
    <w:p w:rsidR="00761006" w:rsidRDefault="00761006" w:rsidP="00761006">
      <w:pPr>
        <w:rPr>
          <w:szCs w:val="24"/>
        </w:rPr>
      </w:pPr>
      <w:r w:rsidRPr="005F3AA8">
        <w:rPr>
          <w:szCs w:val="24"/>
        </w:rPr>
        <w:t xml:space="preserve">The heat flux measurements were carried out over several days in the same manner as the authors mentioned, using thermistors pressed to the interior and exterior surfaces to measure temperatures </w:t>
      </w:r>
      <w:r w:rsidRPr="005F3AA8">
        <w:rPr>
          <w:i/>
          <w:szCs w:val="24"/>
        </w:rPr>
        <w:t>T</w:t>
      </w:r>
      <w:r w:rsidRPr="005F3AA8">
        <w:rPr>
          <w:szCs w:val="24"/>
          <w:vertAlign w:val="subscript"/>
        </w:rPr>
        <w:t>in</w:t>
      </w:r>
      <w:r w:rsidRPr="005F3AA8">
        <w:rPr>
          <w:szCs w:val="24"/>
        </w:rPr>
        <w:t xml:space="preserve"> and </w:t>
      </w:r>
      <w:r w:rsidRPr="005F3AA8">
        <w:rPr>
          <w:i/>
          <w:szCs w:val="24"/>
        </w:rPr>
        <w:t>T</w:t>
      </w:r>
      <w:r w:rsidRPr="005F3AA8">
        <w:rPr>
          <w:szCs w:val="24"/>
          <w:vertAlign w:val="subscript"/>
        </w:rPr>
        <w:t>out</w:t>
      </w:r>
      <w:r w:rsidRPr="005F3AA8">
        <w:rPr>
          <w:szCs w:val="24"/>
        </w:rPr>
        <w:t xml:space="preserve">, together with a </w:t>
      </w:r>
      <w:proofErr w:type="spellStart"/>
      <w:r w:rsidRPr="005F3AA8">
        <w:rPr>
          <w:szCs w:val="24"/>
        </w:rPr>
        <w:t>Hukseflux</w:t>
      </w:r>
      <w:proofErr w:type="spellEnd"/>
      <w:r w:rsidRPr="005F3AA8">
        <w:rPr>
          <w:szCs w:val="24"/>
        </w:rPr>
        <w:t xml:space="preserve">  HP5 heat plate on the interior wall surface to measure the heat flux </w:t>
      </w:r>
      <w:r w:rsidRPr="005F3AA8">
        <w:rPr>
          <w:i/>
          <w:szCs w:val="24"/>
        </w:rPr>
        <w:t>Q</w:t>
      </w:r>
      <w:r w:rsidRPr="005F3AA8">
        <w:rPr>
          <w:szCs w:val="24"/>
        </w:rPr>
        <w:t xml:space="preserve">. The data were analysed in the manner of </w:t>
      </w:r>
      <w:proofErr w:type="spellStart"/>
      <w:r w:rsidRPr="005F3AA8">
        <w:rPr>
          <w:szCs w:val="24"/>
        </w:rPr>
        <w:t>Biddulph</w:t>
      </w:r>
      <w:proofErr w:type="spellEnd"/>
      <w:r w:rsidRPr="005F3AA8">
        <w:rPr>
          <w:szCs w:val="24"/>
        </w:rPr>
        <w:t xml:space="preserve"> and co-workers </w:t>
      </w:r>
      <w:r w:rsidRPr="005F3AA8">
        <w:rPr>
          <w:szCs w:val="24"/>
        </w:rPr>
        <w:fldChar w:fldCharType="begin" w:fldLock="1"/>
      </w:r>
      <w:r w:rsidRPr="005F3AA8">
        <w:rPr>
          <w:szCs w:val="24"/>
        </w:rPr>
        <w:instrText>ADDIN CSL_CITATION { "citationItems" : [ { "id" : "ITEM-1", "itemData" : { "DOI" : "http://dx.doi.org/10.1016/j.enbuild.2014.04.004", "ISSN" : "0378-7788", "abstract" : "Abstract Evaluating how much heat is lost through external walls is a key requirement for building energy simulators and is necessary for quality assurance and successful decision making in policy making and building design, construction and refurbishment. Heat loss can be estimated using the temperature differences between the inside and outside air and an estimate of the thermal transmittance (U-value) of the wall. Unfortunately the actual U-value may be different from those values obtained using assumptions about the materials, their properties and the structure of the wall after a cursory visual inspection. In-situ monitoring using thermometers and heat flux plates enables more accurate characterisation of the thermal properties of walls in their context. However, standard practices require that the measurements are carried out in winter over a two-week period to significantly reduce the dynamic effects of the wall's thermal mass from the data. A novel combination of a lumped thermal mass model, together with Bayesian statistical analysis is presented to derive estimates of the U-value and effective thermal mass. The method needs only a few days of measurements, provides an estimate of the effective thermal mass and could potentially be used in summer.", "author" : [ { "dropping-particle" : "", "family" : "Biddulph", "given" : "Phillip", "non-dropping-particle" : "", "parse-names" : false, "suffix" : "" }, { "dropping-particle" : "", "family" : "Gori", "given" : "Virginia", "non-dropping-particle" : "", "parse-names" : false, "suffix" : "" }, { "dropping-particle" : "", "family" : "Elwell", "given" : "Clifford A", "non-dropping-particle" : "", "parse-names" : false, "suffix" : "" }, { "dropping-particle" : "", "family" : "Scott", "given" : "Cameron", "non-dropping-particle" : "", "parse-names" : false, "suffix" : "" }, { "dropping-particle" : "", "family" : "Rye", "given" : "Caroline", "non-dropping-particle" : "", "parse-names" : false, "suffix" : "" }, { "dropping-particle" : "", "family" : "Lowe", "given" : "Robert", "non-dropping-particle" : "", "parse-names" : false, "suffix" : "" }, { "dropping-particle" : "", "family" : "Oreszczyn", "given" : "Tadj", "non-dropping-particle" : "", "parse-names" : false, "suffix" : "" } ], "container-title" : "Energy and Buildings", "id" : "ITEM-1", "issued" : { "date-parts" : [ [ "2014", "8" ] ] }, "page" : "10-16", "title" : "Inferring the thermal resistance and effective thermal mass of a wall using frequent temperature and heat flux measurements", "type" : "article-journal", "volume" : "78" }, "uris" : [ "http://www.mendeley.com/documents/?uuid=2979a112-97b1-4b45-b2e1-5becd6a9980c" ] } ], "mendeley" : { "formattedCitation" : "(Biddulph &lt;i&gt;et al.&lt;/i&gt;, 2014)", "plainTextFormattedCitation" : "(Biddulph et al., 2014)", "previouslyFormattedCitation" : "(Biddulph &lt;i&gt;et al.&lt;/i&gt;, 2014)" }, "properties" : { "noteIndex" : 0 }, "schema" : "https://github.com/citation-style-language/schema/raw/master/csl-citation.json" }</w:instrText>
      </w:r>
      <w:r w:rsidRPr="005F3AA8">
        <w:rPr>
          <w:szCs w:val="24"/>
        </w:rPr>
        <w:fldChar w:fldCharType="separate"/>
      </w:r>
      <w:r w:rsidRPr="005F3AA8">
        <w:rPr>
          <w:noProof/>
          <w:szCs w:val="24"/>
        </w:rPr>
        <w:t xml:space="preserve">(Biddulph </w:t>
      </w:r>
      <w:r w:rsidRPr="005F3AA8">
        <w:rPr>
          <w:i/>
          <w:noProof/>
          <w:szCs w:val="24"/>
        </w:rPr>
        <w:t>et al.</w:t>
      </w:r>
      <w:r w:rsidRPr="005F3AA8">
        <w:rPr>
          <w:noProof/>
          <w:szCs w:val="24"/>
        </w:rPr>
        <w:t>, 2014)</w:t>
      </w:r>
      <w:r w:rsidRPr="005F3AA8">
        <w:rPr>
          <w:szCs w:val="24"/>
        </w:rPr>
        <w:fldChar w:fldCharType="end"/>
      </w:r>
      <w:r w:rsidRPr="005F3AA8">
        <w:rPr>
          <w:szCs w:val="24"/>
        </w:rPr>
        <w:t xml:space="preserve">, </w:t>
      </w:r>
      <w:r>
        <w:rPr>
          <w:szCs w:val="24"/>
        </w:rPr>
        <w:t>by modelling walls</w:t>
      </w:r>
      <w:r w:rsidRPr="005F3AA8">
        <w:rPr>
          <w:szCs w:val="24"/>
        </w:rPr>
        <w:t xml:space="preserve"> as two thermal resistances </w:t>
      </w:r>
      <w:r w:rsidRPr="005F3AA8">
        <w:rPr>
          <w:i/>
          <w:szCs w:val="24"/>
        </w:rPr>
        <w:t>R</w:t>
      </w:r>
      <w:r w:rsidRPr="005F3AA8">
        <w:rPr>
          <w:szCs w:val="24"/>
          <w:vertAlign w:val="subscript"/>
        </w:rPr>
        <w:t>1</w:t>
      </w:r>
      <w:r w:rsidRPr="005F3AA8">
        <w:rPr>
          <w:szCs w:val="24"/>
        </w:rPr>
        <w:t xml:space="preserve"> and </w:t>
      </w:r>
      <w:r w:rsidRPr="005F3AA8">
        <w:rPr>
          <w:i/>
          <w:szCs w:val="24"/>
        </w:rPr>
        <w:t>R</w:t>
      </w:r>
      <w:r w:rsidRPr="005F3AA8">
        <w:rPr>
          <w:szCs w:val="24"/>
          <w:vertAlign w:val="subscript"/>
        </w:rPr>
        <w:t>2</w:t>
      </w:r>
      <w:r w:rsidRPr="005F3AA8">
        <w:rPr>
          <w:szCs w:val="24"/>
        </w:rPr>
        <w:t xml:space="preserve">, linked to an internal wall heat capacity </w:t>
      </w:r>
      <w:r w:rsidRPr="005F3AA8">
        <w:rPr>
          <w:i/>
          <w:szCs w:val="24"/>
        </w:rPr>
        <w:t>C</w:t>
      </w:r>
      <w:r w:rsidRPr="005F3AA8">
        <w:rPr>
          <w:szCs w:val="24"/>
        </w:rPr>
        <w:t xml:space="preserve">, with the initial temperature of the wall interior parametrised as </w:t>
      </w:r>
      <w:proofErr w:type="spellStart"/>
      <w:r w:rsidRPr="005F3AA8">
        <w:rPr>
          <w:i/>
          <w:szCs w:val="24"/>
        </w:rPr>
        <w:t>T</w:t>
      </w:r>
      <w:r w:rsidRPr="005F3AA8">
        <w:rPr>
          <w:szCs w:val="24"/>
          <w:vertAlign w:val="subscript"/>
        </w:rPr>
        <w:t>m,init</w:t>
      </w:r>
      <w:proofErr w:type="spellEnd"/>
      <w:r w:rsidRPr="005F3AA8">
        <w:rPr>
          <w:szCs w:val="24"/>
        </w:rPr>
        <w:t xml:space="preserve">. </w:t>
      </w:r>
      <w:r>
        <w:rPr>
          <w:szCs w:val="24"/>
        </w:rPr>
        <w:t>A</w:t>
      </w:r>
      <w:r w:rsidRPr="005F3AA8">
        <w:rPr>
          <w:szCs w:val="24"/>
        </w:rPr>
        <w:t xml:space="preserve"> maximum likelihood estimation, using the </w:t>
      </w:r>
      <w:proofErr w:type="spellStart"/>
      <w:proofErr w:type="gramStart"/>
      <w:r w:rsidRPr="005F3AA8">
        <w:rPr>
          <w:szCs w:val="24"/>
        </w:rPr>
        <w:t>mle</w:t>
      </w:r>
      <w:proofErr w:type="spellEnd"/>
      <w:r w:rsidRPr="005F3AA8">
        <w:rPr>
          <w:szCs w:val="24"/>
        </w:rPr>
        <w:t>(</w:t>
      </w:r>
      <w:proofErr w:type="gramEnd"/>
      <w:r w:rsidRPr="005F3AA8">
        <w:rPr>
          <w:szCs w:val="24"/>
        </w:rPr>
        <w:t>) function in R</w:t>
      </w:r>
      <w:r>
        <w:rPr>
          <w:szCs w:val="24"/>
        </w:rPr>
        <w:t xml:space="preserve"> was used to find the best fit values of these parameters</w:t>
      </w:r>
      <w:r w:rsidRPr="005F3AA8">
        <w:rPr>
          <w:szCs w:val="24"/>
        </w:rPr>
        <w:t xml:space="preserve">.  </w:t>
      </w:r>
      <w:r>
        <w:rPr>
          <w:szCs w:val="24"/>
        </w:rPr>
        <w:t>T</w:t>
      </w:r>
      <w:r w:rsidRPr="005F3AA8">
        <w:rPr>
          <w:szCs w:val="24"/>
        </w:rPr>
        <w:t>emperature measurement</w:t>
      </w:r>
      <w:r>
        <w:rPr>
          <w:szCs w:val="24"/>
        </w:rPr>
        <w:t xml:space="preserve"> plots</w:t>
      </w:r>
      <w:r w:rsidRPr="005F3AA8">
        <w:rPr>
          <w:szCs w:val="24"/>
        </w:rPr>
        <w:t xml:space="preserve"> and real and modelled heat flow me</w:t>
      </w:r>
      <w:r>
        <w:rPr>
          <w:szCs w:val="24"/>
        </w:rPr>
        <w:t>asurements are shown in Figure 4</w:t>
      </w:r>
      <w:r w:rsidRPr="005F3AA8">
        <w:rPr>
          <w:szCs w:val="24"/>
        </w:rPr>
        <w:t xml:space="preserve">. </w:t>
      </w:r>
    </w:p>
    <w:p w:rsidR="0020406B" w:rsidRDefault="0020406B" w:rsidP="0020406B">
      <w:pPr>
        <w:rPr>
          <w:szCs w:val="24"/>
        </w:rPr>
      </w:pPr>
      <w:r w:rsidRPr="005F3AA8">
        <w:rPr>
          <w:szCs w:val="24"/>
        </w:rPr>
        <w:t xml:space="preserve">Results show Cottage D </w:t>
      </w:r>
      <w:r>
        <w:rPr>
          <w:szCs w:val="24"/>
        </w:rPr>
        <w:t xml:space="preserve">walls </w:t>
      </w:r>
      <w:r w:rsidRPr="005F3AA8">
        <w:rPr>
          <w:szCs w:val="24"/>
        </w:rPr>
        <w:t>have a thermal resistance of 2.65 W</w:t>
      </w:r>
      <w:r w:rsidRPr="005F3AA8">
        <w:rPr>
          <w:szCs w:val="24"/>
          <w:vertAlign w:val="superscript"/>
        </w:rPr>
        <w:t>-1</w:t>
      </w:r>
      <w:r w:rsidRPr="005F3AA8">
        <w:rPr>
          <w:szCs w:val="24"/>
        </w:rPr>
        <w:t xml:space="preserve"> K m</w:t>
      </w:r>
      <w:r w:rsidRPr="005F3AA8">
        <w:rPr>
          <w:szCs w:val="24"/>
          <w:vertAlign w:val="superscript"/>
        </w:rPr>
        <w:t>2</w:t>
      </w:r>
      <w:r w:rsidRPr="005F3AA8">
        <w:rPr>
          <w:szCs w:val="24"/>
        </w:rPr>
        <w:t>, and a U-value of 0.39 W K</w:t>
      </w:r>
      <w:r w:rsidRPr="005F3AA8">
        <w:rPr>
          <w:szCs w:val="24"/>
          <w:vertAlign w:val="superscript"/>
        </w:rPr>
        <w:t>-1</w:t>
      </w:r>
      <w:r w:rsidRPr="005F3AA8">
        <w:rPr>
          <w:szCs w:val="24"/>
        </w:rPr>
        <w:t xml:space="preserve"> m</w:t>
      </w:r>
      <w:r w:rsidRPr="005F3AA8">
        <w:rPr>
          <w:szCs w:val="24"/>
          <w:vertAlign w:val="superscript"/>
        </w:rPr>
        <w:t>-2</w:t>
      </w:r>
      <w:r w:rsidRPr="005F3AA8">
        <w:rPr>
          <w:szCs w:val="24"/>
        </w:rPr>
        <w:t xml:space="preserve">, while </w:t>
      </w:r>
      <w:r>
        <w:rPr>
          <w:szCs w:val="24"/>
        </w:rPr>
        <w:t xml:space="preserve">those of </w:t>
      </w:r>
      <w:r w:rsidRPr="005F3AA8">
        <w:rPr>
          <w:szCs w:val="24"/>
        </w:rPr>
        <w:t>Cottage A are 2.96 W</w:t>
      </w:r>
      <w:r w:rsidRPr="005F3AA8">
        <w:rPr>
          <w:szCs w:val="24"/>
          <w:vertAlign w:val="superscript"/>
        </w:rPr>
        <w:t>-1</w:t>
      </w:r>
      <w:r w:rsidRPr="005F3AA8">
        <w:rPr>
          <w:szCs w:val="24"/>
        </w:rPr>
        <w:t xml:space="preserve"> K m</w:t>
      </w:r>
      <w:r w:rsidRPr="005F3AA8">
        <w:rPr>
          <w:szCs w:val="24"/>
          <w:vertAlign w:val="superscript"/>
        </w:rPr>
        <w:t xml:space="preserve">2 </w:t>
      </w:r>
      <w:r w:rsidRPr="005F3AA8">
        <w:rPr>
          <w:szCs w:val="24"/>
        </w:rPr>
        <w:t>and 0.34 W K</w:t>
      </w:r>
      <w:r w:rsidRPr="005F3AA8">
        <w:rPr>
          <w:szCs w:val="24"/>
          <w:vertAlign w:val="superscript"/>
        </w:rPr>
        <w:t>-1</w:t>
      </w:r>
      <w:r w:rsidRPr="005F3AA8">
        <w:rPr>
          <w:szCs w:val="24"/>
        </w:rPr>
        <w:t xml:space="preserve"> m</w:t>
      </w:r>
      <w:r w:rsidRPr="005F3AA8">
        <w:rPr>
          <w:szCs w:val="24"/>
          <w:vertAlign w:val="superscript"/>
        </w:rPr>
        <w:t>-2</w:t>
      </w:r>
      <w:r w:rsidRPr="005F3AA8">
        <w:rPr>
          <w:szCs w:val="24"/>
        </w:rPr>
        <w:t>.  A bare wall U value measurement of Cottage A before insulation was 1.3 W K</w:t>
      </w:r>
      <w:r w:rsidRPr="005F3AA8">
        <w:rPr>
          <w:szCs w:val="24"/>
          <w:vertAlign w:val="superscript"/>
        </w:rPr>
        <w:t>-1</w:t>
      </w:r>
      <w:r w:rsidRPr="005F3AA8">
        <w:rPr>
          <w:szCs w:val="24"/>
        </w:rPr>
        <w:t xml:space="preserve"> m</w:t>
      </w:r>
      <w:r w:rsidRPr="005F3AA8">
        <w:rPr>
          <w:szCs w:val="24"/>
          <w:vertAlign w:val="superscript"/>
        </w:rPr>
        <w:t>-2</w:t>
      </w:r>
      <w:r w:rsidRPr="005F3AA8">
        <w:rPr>
          <w:szCs w:val="24"/>
        </w:rPr>
        <w:t>.</w:t>
      </w:r>
      <w:r>
        <w:rPr>
          <w:szCs w:val="24"/>
        </w:rPr>
        <w:t xml:space="preserve"> This reduced U value difference </w:t>
      </w:r>
      <w:r w:rsidRPr="005F3AA8">
        <w:rPr>
          <w:szCs w:val="24"/>
        </w:rPr>
        <w:t>impact</w:t>
      </w:r>
      <w:r>
        <w:rPr>
          <w:szCs w:val="24"/>
        </w:rPr>
        <w:t>s</w:t>
      </w:r>
      <w:r w:rsidRPr="005F3AA8">
        <w:rPr>
          <w:szCs w:val="24"/>
        </w:rPr>
        <w:t xml:space="preserve"> on the</w:t>
      </w:r>
      <w:r>
        <w:rPr>
          <w:szCs w:val="24"/>
        </w:rPr>
        <w:t xml:space="preserve"> </w:t>
      </w:r>
      <w:r w:rsidRPr="005F3AA8">
        <w:rPr>
          <w:szCs w:val="24"/>
        </w:rPr>
        <w:t>relative life-cycle impacts of the two type</w:t>
      </w:r>
      <w:r w:rsidR="006F3EA7">
        <w:rPr>
          <w:szCs w:val="24"/>
        </w:rPr>
        <w:t>s</w:t>
      </w:r>
      <w:r w:rsidRPr="005F3AA8">
        <w:rPr>
          <w:szCs w:val="24"/>
        </w:rPr>
        <w:t xml:space="preserve"> of construction.</w:t>
      </w:r>
      <w:r>
        <w:rPr>
          <w:szCs w:val="24"/>
        </w:rPr>
        <w:t xml:space="preserve"> An </w:t>
      </w:r>
      <w:r>
        <w:rPr>
          <w:szCs w:val="24"/>
        </w:rPr>
        <w:lastRenderedPageBreak/>
        <w:t>esti</w:t>
      </w:r>
      <w:bookmarkStart w:id="0" w:name="_GoBack"/>
      <w:bookmarkEnd w:id="0"/>
      <w:r>
        <w:rPr>
          <w:szCs w:val="24"/>
        </w:rPr>
        <w:t xml:space="preserve">mate of </w:t>
      </w:r>
      <w:r w:rsidR="006F3EA7">
        <w:rPr>
          <w:szCs w:val="24"/>
        </w:rPr>
        <w:t xml:space="preserve">specific </w:t>
      </w:r>
      <w:r>
        <w:rPr>
          <w:szCs w:val="24"/>
        </w:rPr>
        <w:t>embodied and in use carbon and energy use (including demolition and disposal) was made comparing the cottage conversion to a similar sized new building.  This used a</w:t>
      </w:r>
      <w:r w:rsidRPr="005F3AA8">
        <w:rPr>
          <w:szCs w:val="24"/>
        </w:rPr>
        <w:t xml:space="preserve"> process </w:t>
      </w:r>
      <w:r>
        <w:rPr>
          <w:szCs w:val="24"/>
        </w:rPr>
        <w:t>LCA</w:t>
      </w:r>
      <w:r w:rsidR="007C2834">
        <w:rPr>
          <w:szCs w:val="24"/>
        </w:rPr>
        <w:t xml:space="preserve">, with data from the Bath University Inventory of Carbon and Energy </w:t>
      </w:r>
      <w:r>
        <w:rPr>
          <w:szCs w:val="24"/>
        </w:rPr>
        <w:t xml:space="preserve"> </w:t>
      </w:r>
      <w:r w:rsidRPr="005F3AA8">
        <w:rPr>
          <w:szCs w:val="24"/>
        </w:rPr>
        <w:fldChar w:fldCharType="begin" w:fldLock="1"/>
      </w:r>
      <w:r w:rsidRPr="005F3AA8">
        <w:rPr>
          <w:szCs w:val="24"/>
        </w:rPr>
        <w:instrText>ADDIN CSL_CITATION { "citationItems" : [ { "id" : "ITEM-1", "itemData" : { "author" : [ { "dropping-particle" : "", "family" : "Hammond", "given" : "Geoffrey", "non-dropping-particle" : "", "parse-names" : false, "suffix" : "" }, { "dropping-particle" : "", "family" : "Jones", "given" : "Craig", "non-dropping-particle" : "", "parse-names" : false, "suffix" : "" } ], "id" : "ITEM-1", "issued" : { "date-parts" : [ [ "2011" ] ] }, "publisher" : "BSRIA", "title" : "Embodied Carbon: The Inventory of Carbon and Energy", "type" : "article" }, "uris" : [ "http://www.mendeley.com/documents/?uuid=93c16974-cb33-4f1b-8549-02b8f21bbf3c" ] } ], "mendeley" : { "formattedCitation" : "(Hammond and Jones, 2011)", "plainTextFormattedCitation" : "(Hammond and Jones, 2011)", "previouslyFormattedCitation" : "(Hammond and Jones, 2011)" }, "properties" : { "noteIndex" : 0 }, "schema" : "https://github.com/citation-style-language/schema/raw/master/csl-citation.json" }</w:instrText>
      </w:r>
      <w:r w:rsidRPr="005F3AA8">
        <w:rPr>
          <w:szCs w:val="24"/>
        </w:rPr>
        <w:fldChar w:fldCharType="separate"/>
      </w:r>
      <w:r w:rsidRPr="005F3AA8">
        <w:rPr>
          <w:noProof/>
          <w:szCs w:val="24"/>
        </w:rPr>
        <w:t>(Hammond and Jones, 2011)</w:t>
      </w:r>
      <w:r w:rsidRPr="005F3AA8">
        <w:rPr>
          <w:szCs w:val="24"/>
        </w:rPr>
        <w:fldChar w:fldCharType="end"/>
      </w:r>
      <w:r>
        <w:rPr>
          <w:szCs w:val="24"/>
        </w:rPr>
        <w:t xml:space="preserve"> and a </w:t>
      </w:r>
      <w:r w:rsidRPr="005F3AA8">
        <w:rPr>
          <w:szCs w:val="24"/>
        </w:rPr>
        <w:t xml:space="preserve">simplified building physics model based on SAP </w:t>
      </w:r>
      <w:r w:rsidRPr="0002129D">
        <w:rPr>
          <w:szCs w:val="24"/>
        </w:rPr>
        <w:fldChar w:fldCharType="begin" w:fldLock="1"/>
      </w:r>
      <w:r w:rsidRPr="0002129D">
        <w:rPr>
          <w:szCs w:val="24"/>
        </w:rPr>
        <w:instrText>ADDIN CSL_CITATION { "citationItems" : [ { "id" : "ITEM-1", "itemData" : { "URL" : "http://www.bre.co.uk/sap2012/page.jsp?id=2759", "accessed" : { "date-parts" : [ [ "2016", "5", "27" ] ] }, "author" : [ { "dropping-particle" : "", "family" : "BRE", "given" : "", "non-dropping-particle" : "", "parse-names" : false, "suffix" : "" } ], "id" : "ITEM-1", "issued" : { "date-parts" : [ [ "2012" ] ] }, "title" : "Standard Assessment Procedure (SAP 2012)", "type" : "webpage" }, "uris" : [ "http://www.mendeley.com/documents/?uuid=96dd3ee0-7302-4cfe-b21f-b5b6ccc0aa32" ] } ], "mendeley" : { "formattedCitation" : "(BRE, 2012)", "plainTextFormattedCitation" : "(BRE, 2012)", "previouslyFormattedCitation" : "(BRE, 2012)" }, "properties" : { "noteIndex" : 0 }, "schema" : "https://github.com/citation-style-language/schema/raw/master/csl-citation.json" }</w:instrText>
      </w:r>
      <w:r w:rsidRPr="0002129D">
        <w:rPr>
          <w:szCs w:val="24"/>
        </w:rPr>
        <w:fldChar w:fldCharType="separate"/>
      </w:r>
      <w:r w:rsidRPr="0002129D">
        <w:rPr>
          <w:noProof/>
          <w:szCs w:val="24"/>
        </w:rPr>
        <w:t>(BRE, 2012)</w:t>
      </w:r>
      <w:r w:rsidRPr="0002129D">
        <w:rPr>
          <w:szCs w:val="24"/>
        </w:rPr>
        <w:fldChar w:fldCharType="end"/>
      </w:r>
      <w:r w:rsidRPr="005F3AA8">
        <w:rPr>
          <w:szCs w:val="24"/>
        </w:rPr>
        <w:t xml:space="preserve">. </w:t>
      </w:r>
      <w:r>
        <w:rPr>
          <w:szCs w:val="24"/>
        </w:rPr>
        <w:t>It was assumed from</w:t>
      </w:r>
      <w:r w:rsidRPr="005F3AA8">
        <w:rPr>
          <w:szCs w:val="24"/>
        </w:rPr>
        <w:fldChar w:fldCharType="begin" w:fldLock="1"/>
      </w:r>
      <w:r w:rsidR="00850786">
        <w:rPr>
          <w:szCs w:val="24"/>
        </w:rPr>
        <w:instrText>ADDIN CSL_CITATION { "citationItems" : [ { "id" : "ITEM-1", "itemData" : { "DOI" : "10.1016/j.enbuild.2013.07.046", "ISSN" : "03787788", "abstract" : "As operational impacts from buildings are reduced, embodied impacts are increasing. However, the latter are seldom calculated in the UK; when they are, they tend to be calculated after the building has been constructed, or are underestimated by considering only the initial materials stage. In 2010, the UK Government recommended that a standard methodology for calculating embodied impacts of buildings be developed for early stage design decisions. This was followed in 2011\u201312 by the publication of the European TC350 standards defining the \u2018cradle to grave\u2019 impact of buildings and products through a process Life Cycle Analysis. This paper describes a new whole life embodied carbon and energy of buildings (ECEB) tool, designed as a usable empirical-based approach for early stage design decisions for UK buildings. The tool complies where possible with the TC350 standards. Initial results for a simple masonry construction dwelling are given in terms of the percentage contribution of each life cycle stage. The main difficulty in obtaining these results is found to be the lack of data, and the paper suggests that the construction and manufacturing industries now have a responsibility to develop new data in order to support this task.", "author" : [ { "dropping-particle" : "", "family" : "Moncaster", "given" : "A.M.", "non-dropping-particle" : "", "parse-names" : false, "suffix" : "" }, { "dropping-particle" : "", "family" : "Symons", "given" : "K.E.", "non-dropping-particle" : "", "parse-names" : false, "suffix" : "" } ], "container-title" : "Energy and Buildings", "id" : "ITEM-1", "issued" : { "date-parts" : [ [ "2013", "11" ] ] }, "page" : "514-523", "title" : "A method and tool for \u2018cradle to grave\u2019 embodied carbon and energy impacts of UK buildings in compliance with the new TC350 standards", "type" : "article-journal", "volume" : "66" }, "uris" : [ "http://www.mendeley.com/documents/?uuid=1ff4ede1-d0c1-4cfc-af4d-b1e51e32b1ed" ] } ], "mendeley" : { "formattedCitation" : "(Moncaster and Symons, 2013)", "manualFormatting" : " Moncaster and Symons, (2013)", "plainTextFormattedCitation" : "(Moncaster and Symons, 2013)", "previouslyFormattedCitation" : "(Moncaster and Symons, 2013)" }, "properties" : { "noteIndex" : 0 }, "schema" : "https://github.com/citation-style-language/schema/raw/master/csl-citation.json" }</w:instrText>
      </w:r>
      <w:r w:rsidRPr="005F3AA8">
        <w:rPr>
          <w:szCs w:val="24"/>
        </w:rPr>
        <w:fldChar w:fldCharType="separate"/>
      </w:r>
      <w:r>
        <w:rPr>
          <w:noProof/>
          <w:szCs w:val="24"/>
        </w:rPr>
        <w:t xml:space="preserve"> </w:t>
      </w:r>
      <w:r w:rsidRPr="005F3AA8">
        <w:rPr>
          <w:noProof/>
          <w:szCs w:val="24"/>
        </w:rPr>
        <w:t xml:space="preserve">Moncaster and Symons, </w:t>
      </w:r>
      <w:r w:rsidR="00850786">
        <w:rPr>
          <w:noProof/>
          <w:szCs w:val="24"/>
        </w:rPr>
        <w:t>(</w:t>
      </w:r>
      <w:r w:rsidRPr="005F3AA8">
        <w:rPr>
          <w:noProof/>
          <w:szCs w:val="24"/>
        </w:rPr>
        <w:t>2013)</w:t>
      </w:r>
      <w:r w:rsidRPr="005F3AA8">
        <w:rPr>
          <w:szCs w:val="24"/>
        </w:rPr>
        <w:fldChar w:fldCharType="end"/>
      </w:r>
      <w:r>
        <w:rPr>
          <w:szCs w:val="24"/>
        </w:rPr>
        <w:t>,</w:t>
      </w:r>
      <w:r w:rsidRPr="005F3AA8">
        <w:rPr>
          <w:szCs w:val="24"/>
        </w:rPr>
        <w:t>that th</w:t>
      </w:r>
      <w:r w:rsidR="00850786">
        <w:rPr>
          <w:szCs w:val="24"/>
        </w:rPr>
        <w:t>e demolition</w:t>
      </w:r>
      <w:r w:rsidRPr="005F3AA8">
        <w:rPr>
          <w:szCs w:val="24"/>
        </w:rPr>
        <w:t xml:space="preserve"> life cycle</w:t>
      </w:r>
      <w:r>
        <w:rPr>
          <w:szCs w:val="24"/>
        </w:rPr>
        <w:t xml:space="preserve"> part</w:t>
      </w:r>
      <w:r w:rsidRPr="005F3AA8">
        <w:rPr>
          <w:szCs w:val="24"/>
        </w:rPr>
        <w:t xml:space="preserve"> </w:t>
      </w:r>
      <w:r w:rsidR="007C2834">
        <w:rPr>
          <w:szCs w:val="24"/>
        </w:rPr>
        <w:t xml:space="preserve">included in the total for the new build </w:t>
      </w:r>
      <w:r w:rsidRPr="005F3AA8">
        <w:rPr>
          <w:szCs w:val="24"/>
        </w:rPr>
        <w:t>accounts for 21% of embodied carbon and 5% of embodied energy</w:t>
      </w:r>
      <w:r>
        <w:rPr>
          <w:szCs w:val="24"/>
        </w:rPr>
        <w:t>.</w:t>
      </w:r>
      <w:r w:rsidRPr="005F3AA8">
        <w:rPr>
          <w:szCs w:val="24"/>
        </w:rPr>
        <w:t xml:space="preserve"> </w:t>
      </w:r>
      <w:r>
        <w:rPr>
          <w:szCs w:val="24"/>
        </w:rPr>
        <w:t>R</w:t>
      </w:r>
      <w:r w:rsidRPr="005F3AA8">
        <w:rPr>
          <w:szCs w:val="24"/>
        </w:rPr>
        <w:t xml:space="preserve">esults are summarised in </w:t>
      </w:r>
      <w:r w:rsidR="007C2834">
        <w:rPr>
          <w:szCs w:val="24"/>
        </w:rPr>
        <w:t>Figure 5.</w:t>
      </w:r>
    </w:p>
    <w:p w:rsidR="00233CBF" w:rsidRDefault="000D4584" w:rsidP="000D4584">
      <w:pPr>
        <w:rPr>
          <w:b/>
        </w:rPr>
      </w:pPr>
      <w:r>
        <w:rPr>
          <w:b/>
          <w:noProof/>
          <w:lang w:eastAsia="en-GB"/>
        </w:rPr>
        <w:drawing>
          <wp:inline distT="0" distB="0" distL="0" distR="0">
            <wp:extent cx="4816907" cy="285940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v002.png"/>
                    <pic:cNvPicPr/>
                  </pic:nvPicPr>
                  <pic:blipFill>
                    <a:blip r:embed="rId12">
                      <a:extLst>
                        <a:ext uri="{28A0092B-C50C-407E-A947-70E740481C1C}">
                          <a14:useLocalDpi xmlns:a14="http://schemas.microsoft.com/office/drawing/2010/main" val="0"/>
                        </a:ext>
                      </a:extLst>
                    </a:blip>
                    <a:stretch>
                      <a:fillRect/>
                    </a:stretch>
                  </pic:blipFill>
                  <pic:spPr>
                    <a:xfrm>
                      <a:off x="0" y="0"/>
                      <a:ext cx="4832774" cy="2868824"/>
                    </a:xfrm>
                    <a:prstGeom prst="rect">
                      <a:avLst/>
                    </a:prstGeom>
                  </pic:spPr>
                </pic:pic>
              </a:graphicData>
            </a:graphic>
          </wp:inline>
        </w:drawing>
      </w:r>
    </w:p>
    <w:p w:rsidR="00761006" w:rsidRPr="00874FDA" w:rsidRDefault="00761006" w:rsidP="00761006">
      <w:pPr>
        <w:ind w:firstLine="0"/>
        <w:rPr>
          <w:b/>
          <w:i/>
          <w:color w:val="000000"/>
          <w:sz w:val="20"/>
          <w:szCs w:val="20"/>
        </w:rPr>
      </w:pPr>
      <w:r w:rsidRPr="00874FDA">
        <w:rPr>
          <w:b/>
          <w:i/>
          <w:color w:val="000000"/>
          <w:sz w:val="20"/>
          <w:szCs w:val="20"/>
        </w:rPr>
        <w:t xml:space="preserve">Figure 4: Left panels show interior and exterior wall surface temperatures of the two retrofitted cottages.    Right panels show modelled </w:t>
      </w:r>
      <w:r w:rsidR="00E545A1" w:rsidRPr="00874FDA">
        <w:rPr>
          <w:b/>
          <w:i/>
          <w:color w:val="000000"/>
          <w:sz w:val="20"/>
          <w:szCs w:val="20"/>
        </w:rPr>
        <w:t xml:space="preserve">(green) and measured (grey) </w:t>
      </w:r>
      <w:r w:rsidRPr="00874FDA">
        <w:rPr>
          <w:b/>
          <w:i/>
          <w:color w:val="000000"/>
          <w:sz w:val="20"/>
          <w:szCs w:val="20"/>
        </w:rPr>
        <w:t>heat fluxes through the walls of these units</w:t>
      </w:r>
    </w:p>
    <w:p w:rsidR="00535A9B" w:rsidRDefault="00086270" w:rsidP="00850786">
      <w:pPr>
        <w:ind w:firstLine="0"/>
        <w:jc w:val="center"/>
        <w:rPr>
          <w:szCs w:val="24"/>
        </w:rPr>
      </w:pPr>
      <w:r>
        <w:rPr>
          <w:noProof/>
          <w:szCs w:val="24"/>
          <w:lang w:eastAsia="en-GB"/>
        </w:rPr>
        <w:drawing>
          <wp:inline distT="0" distB="0" distL="0" distR="0">
            <wp:extent cx="56673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png"/>
                    <pic:cNvPicPr/>
                  </pic:nvPicPr>
                  <pic:blipFill>
                    <a:blip r:embed="rId13">
                      <a:extLst>
                        <a:ext uri="{28A0092B-C50C-407E-A947-70E740481C1C}">
                          <a14:useLocalDpi xmlns:a14="http://schemas.microsoft.com/office/drawing/2010/main" val="0"/>
                        </a:ext>
                      </a:extLst>
                    </a:blip>
                    <a:stretch>
                      <a:fillRect/>
                    </a:stretch>
                  </pic:blipFill>
                  <pic:spPr>
                    <a:xfrm>
                      <a:off x="0" y="0"/>
                      <a:ext cx="5667375" cy="3333750"/>
                    </a:xfrm>
                    <a:prstGeom prst="rect">
                      <a:avLst/>
                    </a:prstGeom>
                  </pic:spPr>
                </pic:pic>
              </a:graphicData>
            </a:graphic>
          </wp:inline>
        </w:drawing>
      </w:r>
    </w:p>
    <w:p w:rsidR="00552425" w:rsidRPr="00552425" w:rsidRDefault="00850786" w:rsidP="00552425">
      <w:pPr>
        <w:ind w:firstLine="0"/>
        <w:rPr>
          <w:b/>
          <w:i/>
          <w:sz w:val="20"/>
          <w:szCs w:val="20"/>
        </w:rPr>
      </w:pPr>
      <w:r>
        <w:rPr>
          <w:b/>
          <w:i/>
          <w:sz w:val="20"/>
          <w:szCs w:val="20"/>
        </w:rPr>
        <w:t>Figure 5</w:t>
      </w:r>
      <w:r w:rsidRPr="00B01292">
        <w:rPr>
          <w:b/>
          <w:i/>
          <w:sz w:val="20"/>
          <w:szCs w:val="20"/>
        </w:rPr>
        <w:t xml:space="preserve">: Summary of the </w:t>
      </w:r>
      <w:r w:rsidR="00552425">
        <w:rPr>
          <w:b/>
          <w:i/>
          <w:sz w:val="20"/>
          <w:szCs w:val="20"/>
        </w:rPr>
        <w:t xml:space="preserve">specific </w:t>
      </w:r>
      <w:r w:rsidRPr="00B01292">
        <w:rPr>
          <w:b/>
          <w:i/>
          <w:sz w:val="20"/>
          <w:szCs w:val="20"/>
        </w:rPr>
        <w:t>lifetime (50 year) energy and carbon of the two retrofitted units</w:t>
      </w:r>
      <w:r w:rsidR="00086270">
        <w:rPr>
          <w:b/>
          <w:i/>
          <w:sz w:val="20"/>
          <w:szCs w:val="20"/>
        </w:rPr>
        <w:t xml:space="preserve"> (</w:t>
      </w:r>
      <w:proofErr w:type="gramStart"/>
      <w:r w:rsidR="00086270">
        <w:rPr>
          <w:b/>
          <w:i/>
          <w:sz w:val="20"/>
          <w:szCs w:val="20"/>
        </w:rPr>
        <w:t>A</w:t>
      </w:r>
      <w:proofErr w:type="gramEnd"/>
      <w:r w:rsidR="00086270">
        <w:rPr>
          <w:b/>
          <w:i/>
          <w:sz w:val="20"/>
          <w:szCs w:val="20"/>
        </w:rPr>
        <w:t xml:space="preserve"> </w:t>
      </w:r>
      <w:proofErr w:type="spellStart"/>
      <w:r w:rsidR="00086270">
        <w:rPr>
          <w:b/>
          <w:i/>
          <w:sz w:val="20"/>
          <w:szCs w:val="20"/>
        </w:rPr>
        <w:t>nd</w:t>
      </w:r>
      <w:proofErr w:type="spellEnd"/>
      <w:r w:rsidR="00086270">
        <w:rPr>
          <w:b/>
          <w:i/>
          <w:sz w:val="20"/>
          <w:szCs w:val="20"/>
        </w:rPr>
        <w:t xml:space="preserve"> D)</w:t>
      </w:r>
      <w:r w:rsidRPr="00B01292">
        <w:rPr>
          <w:b/>
          <w:i/>
          <w:sz w:val="20"/>
          <w:szCs w:val="20"/>
        </w:rPr>
        <w:t xml:space="preserve"> and</w:t>
      </w:r>
      <w:r w:rsidR="00552425">
        <w:rPr>
          <w:b/>
          <w:i/>
          <w:sz w:val="20"/>
          <w:szCs w:val="20"/>
        </w:rPr>
        <w:t xml:space="preserve"> of</w:t>
      </w:r>
      <w:r w:rsidRPr="00B01292">
        <w:rPr>
          <w:b/>
          <w:i/>
          <w:sz w:val="20"/>
          <w:szCs w:val="20"/>
        </w:rPr>
        <w:t xml:space="preserve"> a conventional new-build </w:t>
      </w:r>
      <w:r w:rsidR="00086270">
        <w:rPr>
          <w:b/>
          <w:i/>
          <w:sz w:val="20"/>
          <w:szCs w:val="20"/>
        </w:rPr>
        <w:t xml:space="preserve">(N) </w:t>
      </w:r>
      <w:r w:rsidRPr="00B01292">
        <w:rPr>
          <w:b/>
          <w:i/>
          <w:sz w:val="20"/>
          <w:szCs w:val="20"/>
        </w:rPr>
        <w:t>of the same size</w:t>
      </w:r>
      <w:r w:rsidR="00552425">
        <w:rPr>
          <w:b/>
          <w:i/>
          <w:sz w:val="20"/>
          <w:szCs w:val="20"/>
        </w:rPr>
        <w:t xml:space="preserve">, under </w:t>
      </w:r>
      <w:r w:rsidR="007C2834">
        <w:rPr>
          <w:b/>
          <w:i/>
          <w:sz w:val="20"/>
          <w:szCs w:val="20"/>
        </w:rPr>
        <w:t>steady-s</w:t>
      </w:r>
      <w:r w:rsidR="00552425">
        <w:rPr>
          <w:b/>
          <w:i/>
          <w:sz w:val="20"/>
          <w:szCs w:val="20"/>
        </w:rPr>
        <w:t>tate and dynamic heat flow models</w:t>
      </w:r>
      <w:r w:rsidRPr="00B01292">
        <w:rPr>
          <w:b/>
          <w:i/>
          <w:sz w:val="20"/>
          <w:szCs w:val="20"/>
        </w:rPr>
        <w:t>.</w:t>
      </w:r>
    </w:p>
    <w:p w:rsidR="008E4E39" w:rsidRPr="0020406B" w:rsidRDefault="008E4E39" w:rsidP="0020406B">
      <w:pPr>
        <w:ind w:firstLine="0"/>
        <w:jc w:val="left"/>
      </w:pPr>
      <w:r>
        <w:rPr>
          <w:b/>
          <w:szCs w:val="24"/>
        </w:rPr>
        <w:lastRenderedPageBreak/>
        <w:t>3.3</w:t>
      </w:r>
      <w:r>
        <w:rPr>
          <w:b/>
          <w:szCs w:val="24"/>
        </w:rPr>
        <w:tab/>
      </w:r>
      <w:r w:rsidRPr="009631F6">
        <w:rPr>
          <w:b/>
          <w:szCs w:val="24"/>
        </w:rPr>
        <w:t xml:space="preserve"> Conclusion</w:t>
      </w:r>
    </w:p>
    <w:p w:rsidR="008E4E39" w:rsidRPr="009631F6" w:rsidRDefault="008E4E39" w:rsidP="008E4E39">
      <w:pPr>
        <w:rPr>
          <w:b/>
          <w:szCs w:val="24"/>
        </w:rPr>
      </w:pPr>
    </w:p>
    <w:p w:rsidR="008E4E39" w:rsidRDefault="008E4E39" w:rsidP="008E4E39">
      <w:pPr>
        <w:pStyle w:val="ListParagraph"/>
        <w:numPr>
          <w:ilvl w:val="0"/>
          <w:numId w:val="36"/>
        </w:numPr>
        <w:spacing w:before="0" w:after="160" w:line="259" w:lineRule="auto"/>
        <w:jc w:val="left"/>
        <w:rPr>
          <w:szCs w:val="24"/>
        </w:rPr>
      </w:pPr>
      <w:r w:rsidRPr="00D86300">
        <w:rPr>
          <w:szCs w:val="24"/>
        </w:rPr>
        <w:t>The dynamic nature of heat flow through the thick solid walls show</w:t>
      </w:r>
      <w:r w:rsidR="00E545A1">
        <w:rPr>
          <w:szCs w:val="24"/>
        </w:rPr>
        <w:t>s</w:t>
      </w:r>
      <w:r w:rsidRPr="00D86300">
        <w:rPr>
          <w:szCs w:val="24"/>
        </w:rPr>
        <w:t xml:space="preserve"> that lifetime carbon emissions of the retrofitted cottages are comparable to those of the new build, even for </w:t>
      </w:r>
      <w:r w:rsidR="007C2834">
        <w:rPr>
          <w:szCs w:val="24"/>
        </w:rPr>
        <w:t xml:space="preserve">a </w:t>
      </w:r>
      <w:r w:rsidRPr="00D86300">
        <w:rPr>
          <w:szCs w:val="24"/>
        </w:rPr>
        <w:t xml:space="preserve">cottage where less thermally insulating cork layer was used. Using this dynamic treatment significantly reduces lifetime emissions </w:t>
      </w:r>
      <w:r>
        <w:rPr>
          <w:szCs w:val="24"/>
        </w:rPr>
        <w:t>assumptions</w:t>
      </w:r>
      <w:r w:rsidR="007C2834">
        <w:rPr>
          <w:szCs w:val="24"/>
        </w:rPr>
        <w:t xml:space="preserve"> in this case</w:t>
      </w:r>
      <w:proofErr w:type="gramStart"/>
      <w:r w:rsidR="007C2834">
        <w:rPr>
          <w:szCs w:val="24"/>
        </w:rPr>
        <w:t>.</w:t>
      </w:r>
      <w:r>
        <w:rPr>
          <w:szCs w:val="24"/>
        </w:rPr>
        <w:t>.</w:t>
      </w:r>
      <w:proofErr w:type="gramEnd"/>
    </w:p>
    <w:p w:rsidR="008E4E39" w:rsidRPr="00D86300" w:rsidRDefault="008E4E39" w:rsidP="008E4E39">
      <w:pPr>
        <w:pStyle w:val="ListParagraph"/>
        <w:numPr>
          <w:ilvl w:val="0"/>
          <w:numId w:val="36"/>
        </w:numPr>
        <w:spacing w:before="0" w:after="160" w:line="259" w:lineRule="auto"/>
        <w:jc w:val="left"/>
        <w:rPr>
          <w:szCs w:val="24"/>
        </w:rPr>
      </w:pPr>
      <w:r>
        <w:rPr>
          <w:szCs w:val="24"/>
        </w:rPr>
        <w:t>There is</w:t>
      </w:r>
      <w:r w:rsidRPr="00D86300">
        <w:rPr>
          <w:szCs w:val="24"/>
        </w:rPr>
        <w:t xml:space="preserve"> scope for the natural product retrofit in particular to achieve lower emissions than either the modern material or new build options, given the likely reduction over coming decades in the carbon intensity of electricity, if space and water heating were switched to an electrical form. </w:t>
      </w:r>
    </w:p>
    <w:p w:rsidR="008E4E39" w:rsidRPr="00E9465C" w:rsidRDefault="008E4E39" w:rsidP="008E4E39">
      <w:pPr>
        <w:pStyle w:val="ListParagraph"/>
        <w:numPr>
          <w:ilvl w:val="0"/>
          <w:numId w:val="36"/>
        </w:numPr>
        <w:spacing w:before="0" w:after="160" w:line="259" w:lineRule="auto"/>
        <w:jc w:val="left"/>
        <w:rPr>
          <w:szCs w:val="24"/>
        </w:rPr>
      </w:pPr>
      <w:r>
        <w:rPr>
          <w:szCs w:val="24"/>
        </w:rPr>
        <w:t>C</w:t>
      </w:r>
      <w:r w:rsidRPr="00E9465C">
        <w:rPr>
          <w:szCs w:val="24"/>
        </w:rPr>
        <w:t xml:space="preserve">ork boards and plasters used in Cottage D, as well as </w:t>
      </w:r>
      <w:r>
        <w:rPr>
          <w:szCs w:val="24"/>
        </w:rPr>
        <w:t xml:space="preserve">all roofing </w:t>
      </w:r>
      <w:r w:rsidRPr="00E9465C">
        <w:rPr>
          <w:szCs w:val="24"/>
        </w:rPr>
        <w:t xml:space="preserve">slates were imported from Portugal and Spain. </w:t>
      </w:r>
      <w:r>
        <w:rPr>
          <w:szCs w:val="24"/>
        </w:rPr>
        <w:t>C</w:t>
      </w:r>
      <w:r w:rsidRPr="00E9465C">
        <w:rPr>
          <w:szCs w:val="24"/>
        </w:rPr>
        <w:t xml:space="preserve">arbon intensities supplied by DEFRA </w:t>
      </w:r>
      <w:r>
        <w:rPr>
          <w:szCs w:val="24"/>
        </w:rPr>
        <w:t xml:space="preserve">show </w:t>
      </w:r>
      <w:r w:rsidRPr="00E9465C">
        <w:rPr>
          <w:szCs w:val="24"/>
        </w:rPr>
        <w:t>that the additional  transport emissions due to this distance of travel are less than 1% of the lifetime building emissions, and thus not a major consideration.</w:t>
      </w:r>
    </w:p>
    <w:p w:rsidR="008E4E39" w:rsidRDefault="008E4E39" w:rsidP="008E4E39">
      <w:pPr>
        <w:pStyle w:val="ListParagraph"/>
        <w:numPr>
          <w:ilvl w:val="0"/>
          <w:numId w:val="36"/>
        </w:numPr>
        <w:spacing w:before="0" w:after="160" w:line="259" w:lineRule="auto"/>
        <w:jc w:val="left"/>
        <w:rPr>
          <w:szCs w:val="24"/>
        </w:rPr>
      </w:pPr>
      <w:r>
        <w:rPr>
          <w:szCs w:val="24"/>
        </w:rPr>
        <w:t xml:space="preserve">Full detailed results </w:t>
      </w:r>
      <w:r w:rsidR="00E545A1">
        <w:rPr>
          <w:szCs w:val="24"/>
        </w:rPr>
        <w:t xml:space="preserve">and analysis </w:t>
      </w:r>
      <w:r>
        <w:rPr>
          <w:szCs w:val="24"/>
        </w:rPr>
        <w:t xml:space="preserve">from the ongoing thermal and air quality monitoring carried out in the stable block will be available for the conference in October. </w:t>
      </w:r>
    </w:p>
    <w:p w:rsidR="008E4E39" w:rsidRPr="00D86300" w:rsidRDefault="008E4E39" w:rsidP="008E4E39">
      <w:pPr>
        <w:pStyle w:val="ListParagraph"/>
        <w:ind w:firstLine="0"/>
        <w:rPr>
          <w:szCs w:val="24"/>
        </w:rPr>
      </w:pPr>
    </w:p>
    <w:p w:rsidR="008E4E39" w:rsidRPr="005F3AA8" w:rsidRDefault="008E4E39" w:rsidP="008E4E39">
      <w:pPr>
        <w:ind w:firstLine="0"/>
        <w:rPr>
          <w:b/>
          <w:szCs w:val="24"/>
        </w:rPr>
      </w:pPr>
      <w:r>
        <w:rPr>
          <w:b/>
          <w:szCs w:val="24"/>
        </w:rPr>
        <w:t>4</w:t>
      </w:r>
      <w:r w:rsidRPr="005F3AA8">
        <w:rPr>
          <w:b/>
          <w:szCs w:val="24"/>
        </w:rPr>
        <w:t>.0</w:t>
      </w:r>
      <w:r w:rsidRPr="005F3AA8">
        <w:rPr>
          <w:b/>
          <w:szCs w:val="24"/>
        </w:rPr>
        <w:tab/>
        <w:t>References</w:t>
      </w:r>
    </w:p>
    <w:p w:rsidR="008E4E39" w:rsidRPr="009631F6" w:rsidRDefault="008E4E39" w:rsidP="00E5028E">
      <w:pPr>
        <w:ind w:left="709" w:hanging="709"/>
        <w:jc w:val="left"/>
        <w:rPr>
          <w:sz w:val="20"/>
          <w:szCs w:val="20"/>
        </w:rPr>
      </w:pPr>
      <w:r w:rsidRPr="005F3AA8">
        <w:rPr>
          <w:szCs w:val="24"/>
        </w:rPr>
        <w:t>[</w:t>
      </w:r>
      <w:r w:rsidRPr="009631F6">
        <w:rPr>
          <w:sz w:val="20"/>
          <w:szCs w:val="20"/>
        </w:rPr>
        <w:t>1]</w:t>
      </w:r>
      <w:r w:rsidRPr="009631F6">
        <w:rPr>
          <w:sz w:val="20"/>
          <w:szCs w:val="20"/>
        </w:rPr>
        <w:tab/>
        <w:t>A traditional skills training programme summary and ‘Improving Energy efficiency in Co</w:t>
      </w:r>
      <w:r>
        <w:rPr>
          <w:sz w:val="20"/>
          <w:szCs w:val="20"/>
        </w:rPr>
        <w:t xml:space="preserve">rnish Historic Buildings’ guide </w:t>
      </w:r>
      <w:r w:rsidRPr="009631F6">
        <w:rPr>
          <w:sz w:val="20"/>
          <w:szCs w:val="20"/>
        </w:rPr>
        <w:t xml:space="preserve">and can be accessed from the Camborne, </w:t>
      </w:r>
      <w:proofErr w:type="spellStart"/>
      <w:r w:rsidRPr="009631F6">
        <w:rPr>
          <w:sz w:val="20"/>
          <w:szCs w:val="20"/>
        </w:rPr>
        <w:t>Roskear</w:t>
      </w:r>
      <w:proofErr w:type="spellEnd"/>
      <w:r w:rsidRPr="009631F6">
        <w:rPr>
          <w:sz w:val="20"/>
          <w:szCs w:val="20"/>
        </w:rPr>
        <w:t xml:space="preserve">, </w:t>
      </w:r>
      <w:proofErr w:type="spellStart"/>
      <w:r w:rsidRPr="009631F6">
        <w:rPr>
          <w:sz w:val="20"/>
          <w:szCs w:val="20"/>
        </w:rPr>
        <w:t>Tuckingmill</w:t>
      </w:r>
      <w:proofErr w:type="spellEnd"/>
      <w:r w:rsidRPr="009631F6">
        <w:rPr>
          <w:sz w:val="20"/>
          <w:szCs w:val="20"/>
        </w:rPr>
        <w:t xml:space="preserve"> Regeneration, Energy and Skills </w:t>
      </w:r>
      <w:r>
        <w:rPr>
          <w:sz w:val="20"/>
          <w:szCs w:val="20"/>
        </w:rPr>
        <w:t>THI website:</w:t>
      </w:r>
      <w:hyperlink r:id="rId14" w:history="1">
        <w:r w:rsidRPr="009631F6">
          <w:rPr>
            <w:rStyle w:val="Hyperlink"/>
            <w:sz w:val="20"/>
            <w:szCs w:val="20"/>
          </w:rPr>
          <w:t>http://www.cornwall.gov.uk/environment-and-planning/conservation/heritage-led-regeneration/camborne-roskear-tuckingmill-townscape-heritage-initiatives/</w:t>
        </w:r>
      </w:hyperlink>
    </w:p>
    <w:p w:rsidR="008E4E39" w:rsidRPr="009631F6" w:rsidRDefault="008E4E39" w:rsidP="00E5028E">
      <w:pPr>
        <w:ind w:left="709" w:hanging="709"/>
        <w:jc w:val="left"/>
        <w:rPr>
          <w:sz w:val="20"/>
          <w:szCs w:val="20"/>
        </w:rPr>
      </w:pPr>
      <w:r>
        <w:rPr>
          <w:sz w:val="20"/>
          <w:szCs w:val="20"/>
        </w:rPr>
        <w:t>[2]</w:t>
      </w:r>
      <w:r>
        <w:rPr>
          <w:sz w:val="20"/>
          <w:szCs w:val="20"/>
        </w:rPr>
        <w:tab/>
        <w:t>Heritage</w:t>
      </w:r>
      <w:r w:rsidRPr="009631F6">
        <w:rPr>
          <w:sz w:val="20"/>
          <w:szCs w:val="20"/>
        </w:rPr>
        <w:t>Lot</w:t>
      </w:r>
      <w:r>
        <w:rPr>
          <w:sz w:val="20"/>
          <w:szCs w:val="20"/>
        </w:rPr>
        <w:t>teryFundTownscapeHeritage</w:t>
      </w:r>
      <w:proofErr w:type="gramStart"/>
      <w:r>
        <w:rPr>
          <w:sz w:val="20"/>
          <w:szCs w:val="20"/>
        </w:rPr>
        <w:t>:</w:t>
      </w:r>
      <w:proofErr w:type="gramEnd"/>
      <w:hyperlink r:id="rId15" w:history="1">
        <w:r w:rsidRPr="009631F6">
          <w:rPr>
            <w:rStyle w:val="Hyperlink"/>
            <w:sz w:val="20"/>
            <w:szCs w:val="20"/>
          </w:rPr>
          <w:t>https://www.hlf.org.uk/looking-funding/our-grant-programmes/townscape-heritage</w:t>
        </w:r>
      </w:hyperlink>
    </w:p>
    <w:p w:rsidR="008E4E39" w:rsidRPr="009631F6" w:rsidRDefault="008E4E39" w:rsidP="00E5028E">
      <w:pPr>
        <w:ind w:left="709" w:hanging="709"/>
        <w:jc w:val="left"/>
        <w:rPr>
          <w:sz w:val="20"/>
          <w:szCs w:val="20"/>
        </w:rPr>
      </w:pPr>
      <w:r w:rsidRPr="009631F6">
        <w:rPr>
          <w:sz w:val="20"/>
          <w:szCs w:val="20"/>
        </w:rPr>
        <w:t>[3]</w:t>
      </w:r>
      <w:r w:rsidRPr="009631F6">
        <w:rPr>
          <w:sz w:val="20"/>
          <w:szCs w:val="20"/>
        </w:rPr>
        <w:tab/>
      </w:r>
      <w:proofErr w:type="spellStart"/>
      <w:r w:rsidRPr="009631F6">
        <w:rPr>
          <w:sz w:val="20"/>
          <w:szCs w:val="20"/>
        </w:rPr>
        <w:t>Hukseflux</w:t>
      </w:r>
      <w:proofErr w:type="spellEnd"/>
      <w:r w:rsidRPr="009631F6">
        <w:rPr>
          <w:sz w:val="20"/>
          <w:szCs w:val="20"/>
        </w:rPr>
        <w:t xml:space="preserve"> heat flux, thermocouple sensors and NRG data loggers: </w:t>
      </w:r>
      <w:hyperlink r:id="rId16" w:history="1">
        <w:r w:rsidRPr="009631F6">
          <w:rPr>
            <w:rStyle w:val="Hyperlink"/>
            <w:sz w:val="20"/>
            <w:szCs w:val="20"/>
          </w:rPr>
          <w:t>http://www.hukseflux.com/page/products-services</w:t>
        </w:r>
      </w:hyperlink>
      <w:r w:rsidRPr="009631F6">
        <w:rPr>
          <w:sz w:val="20"/>
          <w:szCs w:val="20"/>
        </w:rPr>
        <w:t xml:space="preserve"> </w:t>
      </w:r>
    </w:p>
    <w:p w:rsidR="008E4E39" w:rsidRPr="009631F6" w:rsidRDefault="008E4E39" w:rsidP="00E5028E">
      <w:pPr>
        <w:ind w:left="709" w:hanging="709"/>
        <w:jc w:val="left"/>
        <w:rPr>
          <w:sz w:val="20"/>
          <w:szCs w:val="20"/>
        </w:rPr>
      </w:pPr>
      <w:r w:rsidRPr="009631F6">
        <w:rPr>
          <w:sz w:val="20"/>
          <w:szCs w:val="20"/>
        </w:rPr>
        <w:t>[4]</w:t>
      </w:r>
      <w:r w:rsidRPr="009631F6">
        <w:rPr>
          <w:sz w:val="20"/>
          <w:szCs w:val="20"/>
        </w:rPr>
        <w:tab/>
        <w:t xml:space="preserve">EVM-7 Air Quality Monitors: </w:t>
      </w:r>
      <w:hyperlink r:id="rId17" w:history="1">
        <w:r w:rsidRPr="009631F6">
          <w:rPr>
            <w:rStyle w:val="Hyperlink"/>
            <w:sz w:val="20"/>
            <w:szCs w:val="20"/>
          </w:rPr>
          <w:t>http://www.shawcity.co.uk/air-and-dust-quality/gravimetric-sampling/evm-7-all-in-one-environmental-monitor-temperature-rh-pid-co2-co-particulates</w:t>
        </w:r>
      </w:hyperlink>
      <w:r w:rsidRPr="009631F6">
        <w:rPr>
          <w:sz w:val="20"/>
          <w:szCs w:val="20"/>
        </w:rPr>
        <w:t xml:space="preserve"> </w:t>
      </w:r>
    </w:p>
    <w:p w:rsidR="008E4E39" w:rsidRPr="009631F6" w:rsidRDefault="008E4E39" w:rsidP="00E5028E">
      <w:pPr>
        <w:widowControl w:val="0"/>
        <w:autoSpaceDE w:val="0"/>
        <w:autoSpaceDN w:val="0"/>
        <w:adjustRightInd w:val="0"/>
        <w:spacing w:line="240" w:lineRule="auto"/>
        <w:ind w:left="720" w:hanging="720"/>
        <w:jc w:val="left"/>
        <w:rPr>
          <w:noProof/>
          <w:sz w:val="20"/>
          <w:szCs w:val="20"/>
        </w:rPr>
      </w:pPr>
      <w:r w:rsidRPr="009631F6">
        <w:rPr>
          <w:sz w:val="20"/>
          <w:szCs w:val="20"/>
        </w:rPr>
        <w:t>[5]</w:t>
      </w:r>
      <w:r w:rsidRPr="009631F6">
        <w:rPr>
          <w:sz w:val="20"/>
          <w:szCs w:val="20"/>
        </w:rPr>
        <w:tab/>
      </w:r>
      <w:r w:rsidRPr="009631F6">
        <w:rPr>
          <w:sz w:val="20"/>
          <w:szCs w:val="20"/>
        </w:rPr>
        <w:fldChar w:fldCharType="begin" w:fldLock="1"/>
      </w:r>
      <w:r w:rsidRPr="009631F6">
        <w:rPr>
          <w:sz w:val="20"/>
          <w:szCs w:val="20"/>
        </w:rPr>
        <w:instrText xml:space="preserve">ADDIN Mendeley Bibliography CSL_BIBLIOGRAPHY </w:instrText>
      </w:r>
      <w:r w:rsidRPr="009631F6">
        <w:rPr>
          <w:sz w:val="20"/>
          <w:szCs w:val="20"/>
        </w:rPr>
        <w:fldChar w:fldCharType="separate"/>
      </w:r>
      <w:r w:rsidRPr="009631F6">
        <w:rPr>
          <w:noProof/>
          <w:sz w:val="20"/>
          <w:szCs w:val="20"/>
        </w:rPr>
        <w:t>Baker, P. (2011) ‘Historic Scotland Technical Paper 10: U values and traditional buildings’. Historic Scotland. Available at: http://www.historic-scotland.gov.uk/technicalpaper10.pdf.</w:t>
      </w:r>
    </w:p>
    <w:p w:rsidR="008E4E39" w:rsidRPr="009631F6" w:rsidRDefault="008E4E39" w:rsidP="00E5028E">
      <w:pPr>
        <w:widowControl w:val="0"/>
        <w:autoSpaceDE w:val="0"/>
        <w:autoSpaceDN w:val="0"/>
        <w:adjustRightInd w:val="0"/>
        <w:spacing w:line="240" w:lineRule="auto"/>
        <w:ind w:left="720" w:hanging="720"/>
        <w:jc w:val="left"/>
        <w:rPr>
          <w:noProof/>
          <w:sz w:val="20"/>
          <w:szCs w:val="20"/>
        </w:rPr>
      </w:pPr>
      <w:r w:rsidRPr="009631F6">
        <w:rPr>
          <w:sz w:val="20"/>
          <w:szCs w:val="20"/>
        </w:rPr>
        <w:t>[6]</w:t>
      </w:r>
      <w:r w:rsidRPr="009631F6">
        <w:rPr>
          <w:sz w:val="20"/>
          <w:szCs w:val="20"/>
        </w:rPr>
        <w:tab/>
      </w:r>
      <w:r w:rsidRPr="009631F6">
        <w:rPr>
          <w:noProof/>
          <w:sz w:val="20"/>
          <w:szCs w:val="20"/>
        </w:rPr>
        <w:t xml:space="preserve">Biddulph, P., Gori, V., Elwell, C. A., Scott, C., Rye, C., Lowe, R. and Oreszczyn, T. (2014) ‘Inferring the thermal resistance and effective thermal mass of a wall using frequent temperature and heat flux measurements’, </w:t>
      </w:r>
      <w:r w:rsidRPr="009631F6">
        <w:rPr>
          <w:i/>
          <w:iCs/>
          <w:noProof/>
          <w:sz w:val="20"/>
          <w:szCs w:val="20"/>
        </w:rPr>
        <w:t>Energy and Buildings</w:t>
      </w:r>
      <w:r w:rsidRPr="009631F6">
        <w:rPr>
          <w:noProof/>
          <w:sz w:val="20"/>
          <w:szCs w:val="20"/>
        </w:rPr>
        <w:t>, 78, pp. 10–16. doi: http://dx.doi.org/10.1016/j.enbuild.2014.04.004.</w:t>
      </w:r>
    </w:p>
    <w:p w:rsidR="008E4E39" w:rsidRPr="009631F6" w:rsidRDefault="008E4E39" w:rsidP="00E5028E">
      <w:pPr>
        <w:widowControl w:val="0"/>
        <w:autoSpaceDE w:val="0"/>
        <w:autoSpaceDN w:val="0"/>
        <w:adjustRightInd w:val="0"/>
        <w:spacing w:line="240" w:lineRule="auto"/>
        <w:ind w:left="720" w:hanging="720"/>
        <w:jc w:val="left"/>
        <w:rPr>
          <w:noProof/>
          <w:sz w:val="20"/>
          <w:szCs w:val="20"/>
        </w:rPr>
      </w:pPr>
      <w:r w:rsidRPr="009631F6">
        <w:rPr>
          <w:sz w:val="20"/>
          <w:szCs w:val="20"/>
        </w:rPr>
        <w:t>[7]</w:t>
      </w:r>
      <w:r w:rsidRPr="009631F6">
        <w:rPr>
          <w:sz w:val="20"/>
          <w:szCs w:val="20"/>
        </w:rPr>
        <w:tab/>
      </w:r>
      <w:r w:rsidRPr="009631F6">
        <w:rPr>
          <w:noProof/>
          <w:sz w:val="20"/>
          <w:szCs w:val="20"/>
        </w:rPr>
        <w:t xml:space="preserve">BRE (2012) </w:t>
      </w:r>
      <w:r w:rsidRPr="009631F6">
        <w:rPr>
          <w:i/>
          <w:iCs/>
          <w:noProof/>
          <w:sz w:val="20"/>
          <w:szCs w:val="20"/>
        </w:rPr>
        <w:t>Standard Assessment Procedure (SAP 2012)</w:t>
      </w:r>
      <w:r w:rsidRPr="009631F6">
        <w:rPr>
          <w:noProof/>
          <w:sz w:val="20"/>
          <w:szCs w:val="20"/>
        </w:rPr>
        <w:t>. Available at: http://www.bre.co.uk/sap2012/page.jsp?id=2759 (Accessed: 27 May 2016).</w:t>
      </w:r>
    </w:p>
    <w:p w:rsidR="008E4E39" w:rsidRPr="009631F6" w:rsidRDefault="008E4E39" w:rsidP="00E5028E">
      <w:pPr>
        <w:widowControl w:val="0"/>
        <w:autoSpaceDE w:val="0"/>
        <w:autoSpaceDN w:val="0"/>
        <w:adjustRightInd w:val="0"/>
        <w:spacing w:line="240" w:lineRule="auto"/>
        <w:ind w:left="720" w:hanging="720"/>
        <w:jc w:val="left"/>
        <w:rPr>
          <w:noProof/>
          <w:sz w:val="20"/>
          <w:szCs w:val="20"/>
        </w:rPr>
      </w:pPr>
      <w:r w:rsidRPr="009631F6">
        <w:rPr>
          <w:sz w:val="20"/>
          <w:szCs w:val="20"/>
        </w:rPr>
        <w:t>[8]</w:t>
      </w:r>
      <w:r w:rsidRPr="009631F6">
        <w:rPr>
          <w:sz w:val="20"/>
          <w:szCs w:val="20"/>
        </w:rPr>
        <w:tab/>
      </w:r>
      <w:r w:rsidRPr="009631F6">
        <w:rPr>
          <w:noProof/>
          <w:sz w:val="20"/>
          <w:szCs w:val="20"/>
        </w:rPr>
        <w:t xml:space="preserve">Department for Environment, F. and R. A. (Defra) C. D. webmaster@defra. gsi. gov. u. (2015) </w:t>
      </w:r>
      <w:r w:rsidRPr="009631F6">
        <w:rPr>
          <w:i/>
          <w:iCs/>
          <w:noProof/>
          <w:sz w:val="20"/>
          <w:szCs w:val="20"/>
        </w:rPr>
        <w:t>DEFRA Carbon Factors</w:t>
      </w:r>
      <w:r w:rsidRPr="009631F6">
        <w:rPr>
          <w:noProof/>
          <w:sz w:val="20"/>
          <w:szCs w:val="20"/>
        </w:rPr>
        <w:t>. Available at: http://www.ukconversionfactorscarbonsmart.co.uk/ (Accessed: 12 December 2015).</w:t>
      </w:r>
    </w:p>
    <w:p w:rsidR="008E4E39" w:rsidRPr="009631F6" w:rsidRDefault="008E4E39" w:rsidP="00E5028E">
      <w:pPr>
        <w:widowControl w:val="0"/>
        <w:autoSpaceDE w:val="0"/>
        <w:autoSpaceDN w:val="0"/>
        <w:adjustRightInd w:val="0"/>
        <w:spacing w:line="240" w:lineRule="auto"/>
        <w:ind w:left="720" w:hanging="720"/>
        <w:jc w:val="left"/>
        <w:rPr>
          <w:noProof/>
          <w:sz w:val="20"/>
          <w:szCs w:val="20"/>
        </w:rPr>
      </w:pPr>
      <w:r w:rsidRPr="009631F6">
        <w:rPr>
          <w:sz w:val="20"/>
          <w:szCs w:val="20"/>
        </w:rPr>
        <w:t>[9]</w:t>
      </w:r>
      <w:r w:rsidRPr="009631F6">
        <w:rPr>
          <w:sz w:val="20"/>
          <w:szCs w:val="20"/>
        </w:rPr>
        <w:tab/>
      </w:r>
      <w:r w:rsidRPr="009631F6">
        <w:rPr>
          <w:noProof/>
          <w:sz w:val="20"/>
          <w:szCs w:val="20"/>
        </w:rPr>
        <w:t>Hammond, G. and Jones, C. (2011) ‘Embodied Carbon: The Inventory of Carbon and Energy’. BSRIA.</w:t>
      </w:r>
    </w:p>
    <w:p w:rsidR="008E4E39" w:rsidRPr="008E4E39" w:rsidRDefault="008E4E39" w:rsidP="00535A9B">
      <w:pPr>
        <w:widowControl w:val="0"/>
        <w:autoSpaceDE w:val="0"/>
        <w:autoSpaceDN w:val="0"/>
        <w:adjustRightInd w:val="0"/>
        <w:spacing w:line="240" w:lineRule="auto"/>
        <w:ind w:left="720" w:hanging="720"/>
        <w:jc w:val="left"/>
        <w:rPr>
          <w:szCs w:val="24"/>
        </w:rPr>
      </w:pPr>
      <w:r w:rsidRPr="009631F6">
        <w:rPr>
          <w:sz w:val="20"/>
          <w:szCs w:val="20"/>
        </w:rPr>
        <w:t>[10]</w:t>
      </w:r>
      <w:r w:rsidRPr="009631F6">
        <w:rPr>
          <w:sz w:val="20"/>
          <w:szCs w:val="20"/>
        </w:rPr>
        <w:tab/>
      </w:r>
      <w:r w:rsidRPr="009631F6">
        <w:rPr>
          <w:noProof/>
          <w:sz w:val="20"/>
          <w:szCs w:val="20"/>
        </w:rPr>
        <w:t xml:space="preserve">Moncaster, A. M. and Symons, K. E. (2013) ‘A method and tool for “cradle to grave” embodied carbon and energy impacts of UK buildings in compliance with the new TC350 standards’, </w:t>
      </w:r>
      <w:r w:rsidRPr="009631F6">
        <w:rPr>
          <w:i/>
          <w:iCs/>
          <w:noProof/>
          <w:sz w:val="20"/>
          <w:szCs w:val="20"/>
        </w:rPr>
        <w:t>Energy and Buildings</w:t>
      </w:r>
      <w:r w:rsidRPr="009631F6">
        <w:rPr>
          <w:noProof/>
          <w:sz w:val="20"/>
          <w:szCs w:val="20"/>
        </w:rPr>
        <w:t>, 66, pp. 514–523. doi: 10.1016/j.enbuild.2013.07.046.</w:t>
      </w:r>
      <w:r w:rsidRPr="009631F6">
        <w:rPr>
          <w:sz w:val="20"/>
          <w:szCs w:val="20"/>
        </w:rPr>
        <w:fldChar w:fldCharType="end"/>
      </w:r>
    </w:p>
    <w:sectPr w:rsidR="008E4E39" w:rsidRPr="008E4E39" w:rsidSect="00E5028E">
      <w:headerReference w:type="default" r:id="rId18"/>
      <w:headerReference w:type="first" r:id="rId19"/>
      <w:pgSz w:w="11906" w:h="16838"/>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C24" w:rsidRDefault="00291C24" w:rsidP="00B61865">
      <w:pPr>
        <w:spacing w:before="0" w:line="240" w:lineRule="auto"/>
      </w:pPr>
      <w:r>
        <w:separator/>
      </w:r>
    </w:p>
  </w:endnote>
  <w:endnote w:type="continuationSeparator" w:id="0">
    <w:p w:rsidR="00291C24" w:rsidRDefault="00291C24" w:rsidP="00B6186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C24" w:rsidRDefault="00291C24" w:rsidP="00B61865">
      <w:pPr>
        <w:spacing w:before="0" w:line="240" w:lineRule="auto"/>
      </w:pPr>
      <w:r>
        <w:separator/>
      </w:r>
    </w:p>
  </w:footnote>
  <w:footnote w:type="continuationSeparator" w:id="0">
    <w:p w:rsidR="00291C24" w:rsidRDefault="00291C24" w:rsidP="00B61865">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188" w:rsidRDefault="005E2188" w:rsidP="005E2188">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2188" w:rsidRDefault="00C1547F">
    <w:pPr>
      <w:pStyle w:val="Header"/>
    </w:pPr>
    <w:r>
      <w:rPr>
        <w:noProof/>
        <w:lang w:eastAsia="en-GB"/>
      </w:rPr>
      <w:drawing>
        <wp:anchor distT="0" distB="0" distL="114300" distR="114300" simplePos="0" relativeHeight="251657728" behindDoc="0" locked="0" layoutInCell="1" allowOverlap="1">
          <wp:simplePos x="0" y="0"/>
          <wp:positionH relativeFrom="margin">
            <wp:align>left</wp:align>
          </wp:positionH>
          <wp:positionV relativeFrom="paragraph">
            <wp:posOffset>74295</wp:posOffset>
          </wp:positionV>
          <wp:extent cx="2139950" cy="960755"/>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b="16592"/>
                  <a:stretch>
                    <a:fillRect/>
                  </a:stretch>
                </pic:blipFill>
                <pic:spPr bwMode="auto">
                  <a:xfrm>
                    <a:off x="0" y="0"/>
                    <a:ext cx="2139950" cy="96075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34B11"/>
    <w:multiLevelType w:val="multilevel"/>
    <w:tmpl w:val="03B8EBE6"/>
    <w:numStyleLink w:val="Style1"/>
  </w:abstractNum>
  <w:abstractNum w:abstractNumId="1" w15:restartNumberingAfterBreak="0">
    <w:nsid w:val="0B130D21"/>
    <w:multiLevelType w:val="hybridMultilevel"/>
    <w:tmpl w:val="A55AE8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11114A"/>
    <w:multiLevelType w:val="multilevel"/>
    <w:tmpl w:val="0362348E"/>
    <w:styleLink w:val="Style3"/>
    <w:lvl w:ilvl="0">
      <w:start w:val="1"/>
      <w:numFmt w:val="decimal"/>
      <w:pStyle w:val="EECHBReflist"/>
      <w:lvlText w:val="[%1]"/>
      <w:lvlJc w:val="left"/>
      <w:pPr>
        <w:ind w:left="432"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2B5BA5"/>
    <w:multiLevelType w:val="multilevel"/>
    <w:tmpl w:val="6C8CC116"/>
    <w:numStyleLink w:val="Style2"/>
  </w:abstractNum>
  <w:abstractNum w:abstractNumId="4" w15:restartNumberingAfterBreak="0">
    <w:nsid w:val="0DD25767"/>
    <w:multiLevelType w:val="hybridMultilevel"/>
    <w:tmpl w:val="8D2A18AA"/>
    <w:lvl w:ilvl="0" w:tplc="D62E3F5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A71AE3"/>
    <w:multiLevelType w:val="multilevel"/>
    <w:tmpl w:val="9ED28FDE"/>
    <w:numStyleLink w:val="Style4"/>
  </w:abstractNum>
  <w:abstractNum w:abstractNumId="6" w15:restartNumberingAfterBreak="0">
    <w:nsid w:val="12870B18"/>
    <w:multiLevelType w:val="multilevel"/>
    <w:tmpl w:val="6C8CC116"/>
    <w:numStyleLink w:val="Style2"/>
  </w:abstractNum>
  <w:abstractNum w:abstractNumId="7" w15:restartNumberingAfterBreak="0">
    <w:nsid w:val="13462065"/>
    <w:multiLevelType w:val="multilevel"/>
    <w:tmpl w:val="9ED28FDE"/>
    <w:numStyleLink w:val="Style4"/>
  </w:abstractNum>
  <w:abstractNum w:abstractNumId="8" w15:restartNumberingAfterBreak="0">
    <w:nsid w:val="25296224"/>
    <w:multiLevelType w:val="hybridMultilevel"/>
    <w:tmpl w:val="A1F27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49655E"/>
    <w:multiLevelType w:val="multilevel"/>
    <w:tmpl w:val="6C8CC116"/>
    <w:numStyleLink w:val="Style2"/>
  </w:abstractNum>
  <w:abstractNum w:abstractNumId="10" w15:restartNumberingAfterBreak="0">
    <w:nsid w:val="34CD58BF"/>
    <w:multiLevelType w:val="multilevel"/>
    <w:tmpl w:val="9ED28FDE"/>
    <w:numStyleLink w:val="Style4"/>
  </w:abstractNum>
  <w:abstractNum w:abstractNumId="11"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86B16B8"/>
    <w:multiLevelType w:val="multilevel"/>
    <w:tmpl w:val="6C8CC116"/>
    <w:styleLink w:val="Style2"/>
    <w:lvl w:ilvl="0">
      <w:start w:val="1"/>
      <w:numFmt w:val="bullet"/>
      <w:pStyle w:val="EECHBList"/>
      <w:lvlText w:val=""/>
      <w:lvlJc w:val="left"/>
      <w:pPr>
        <w:ind w:left="578" w:hanging="351"/>
      </w:pPr>
      <w:rPr>
        <w:rFonts w:ascii="Wingdings" w:hAnsi="Wingdings" w:hint="default"/>
      </w:rPr>
    </w:lvl>
    <w:lvl w:ilvl="1">
      <w:start w:val="1"/>
      <w:numFmt w:val="bullet"/>
      <w:lvlText w:val="▫"/>
      <w:lvlJc w:val="left"/>
      <w:pPr>
        <w:ind w:left="1009" w:hanging="433"/>
      </w:pPr>
      <w:rPr>
        <w:rFonts w:ascii="Courier New" w:hAnsi="Courier New" w:hint="default"/>
      </w:rPr>
    </w:lvl>
    <w:lvl w:ilvl="2">
      <w:start w:val="1"/>
      <w:numFmt w:val="bullet"/>
      <w:lvlText w:val=""/>
      <w:lvlJc w:val="left"/>
      <w:pPr>
        <w:ind w:left="1296" w:hanging="432"/>
      </w:pPr>
      <w:rPr>
        <w:rFonts w:ascii="Symbol" w:hAnsi="Symbol" w:hint="default"/>
      </w:rPr>
    </w:lvl>
    <w:lvl w:ilvl="3">
      <w:start w:val="1"/>
      <w:numFmt w:val="bullet"/>
      <w:lvlText w:val=""/>
      <w:lvlJc w:val="left"/>
      <w:pPr>
        <w:tabs>
          <w:tab w:val="num" w:pos="2866"/>
        </w:tabs>
        <w:ind w:left="3226" w:hanging="1930"/>
      </w:pPr>
      <w:rPr>
        <w:rFonts w:ascii="Symbol" w:hAnsi="Symbol" w:hint="default"/>
      </w:rPr>
    </w:lvl>
    <w:lvl w:ilvl="4">
      <w:start w:val="1"/>
      <w:numFmt w:val="bullet"/>
      <w:lvlText w:val="o"/>
      <w:lvlJc w:val="left"/>
      <w:pPr>
        <w:ind w:left="3946" w:hanging="360"/>
      </w:pPr>
      <w:rPr>
        <w:rFonts w:ascii="Courier New" w:hAnsi="Courier New" w:cs="Courier New" w:hint="default"/>
      </w:rPr>
    </w:lvl>
    <w:lvl w:ilvl="5">
      <w:start w:val="1"/>
      <w:numFmt w:val="bullet"/>
      <w:lvlText w:val=""/>
      <w:lvlJc w:val="left"/>
      <w:pPr>
        <w:ind w:left="4666" w:hanging="360"/>
      </w:pPr>
      <w:rPr>
        <w:rFonts w:ascii="Wingdings" w:hAnsi="Wingdings" w:hint="default"/>
      </w:rPr>
    </w:lvl>
    <w:lvl w:ilvl="6">
      <w:start w:val="1"/>
      <w:numFmt w:val="bullet"/>
      <w:lvlText w:val=""/>
      <w:lvlJc w:val="left"/>
      <w:pPr>
        <w:ind w:left="5386" w:hanging="360"/>
      </w:pPr>
      <w:rPr>
        <w:rFonts w:ascii="Symbol" w:hAnsi="Symbol" w:hint="default"/>
      </w:rPr>
    </w:lvl>
    <w:lvl w:ilvl="7">
      <w:start w:val="1"/>
      <w:numFmt w:val="bullet"/>
      <w:lvlText w:val="o"/>
      <w:lvlJc w:val="left"/>
      <w:pPr>
        <w:ind w:left="6106" w:hanging="360"/>
      </w:pPr>
      <w:rPr>
        <w:rFonts w:ascii="Courier New" w:hAnsi="Courier New" w:cs="Courier New" w:hint="default"/>
      </w:rPr>
    </w:lvl>
    <w:lvl w:ilvl="8">
      <w:start w:val="1"/>
      <w:numFmt w:val="bullet"/>
      <w:lvlText w:val=""/>
      <w:lvlJc w:val="left"/>
      <w:pPr>
        <w:ind w:left="6826" w:hanging="360"/>
      </w:pPr>
      <w:rPr>
        <w:rFonts w:ascii="Wingdings" w:hAnsi="Wingdings" w:hint="default"/>
      </w:rPr>
    </w:lvl>
  </w:abstractNum>
  <w:abstractNum w:abstractNumId="13" w15:restartNumberingAfterBreak="0">
    <w:nsid w:val="3905282B"/>
    <w:multiLevelType w:val="multilevel"/>
    <w:tmpl w:val="6C8CC116"/>
    <w:numStyleLink w:val="Style2"/>
  </w:abstractNum>
  <w:abstractNum w:abstractNumId="14" w15:restartNumberingAfterBreak="0">
    <w:nsid w:val="396D4960"/>
    <w:multiLevelType w:val="hybridMultilevel"/>
    <w:tmpl w:val="44D62B3C"/>
    <w:lvl w:ilvl="0" w:tplc="D62E3F5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D5212A"/>
    <w:multiLevelType w:val="hybridMultilevel"/>
    <w:tmpl w:val="F50698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E17DEC"/>
    <w:multiLevelType w:val="hybridMultilevel"/>
    <w:tmpl w:val="CF1CE9EC"/>
    <w:lvl w:ilvl="0" w:tplc="07FA47DA">
      <w:numFmt w:val="bullet"/>
      <w:lvlText w:val="•"/>
      <w:lvlJc w:val="left"/>
      <w:pPr>
        <w:ind w:left="1065" w:hanging="705"/>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481E43"/>
    <w:multiLevelType w:val="hybridMultilevel"/>
    <w:tmpl w:val="6ACC828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DC0144E"/>
    <w:multiLevelType w:val="multilevel"/>
    <w:tmpl w:val="23DE6474"/>
    <w:lvl w:ilvl="0">
      <w:start w:val="1"/>
      <w:numFmt w:val="decimal"/>
      <w:lvlText w:val="%1."/>
      <w:lvlJc w:val="left"/>
      <w:pPr>
        <w:ind w:left="1080" w:hanging="108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lowerLetter"/>
      <w:lvlText w:val="(%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5CD6AD3"/>
    <w:multiLevelType w:val="multilevel"/>
    <w:tmpl w:val="9ED28FDE"/>
    <w:styleLink w:val="Style4"/>
    <w:lvl w:ilvl="0">
      <w:start w:val="1"/>
      <w:numFmt w:val="decimal"/>
      <w:pStyle w:val="EECHBNumberedlist"/>
      <w:lvlText w:val="%1)"/>
      <w:lvlJc w:val="left"/>
      <w:pPr>
        <w:ind w:left="578" w:hanging="351"/>
      </w:pPr>
      <w:rPr>
        <w:rFonts w:hint="default"/>
      </w:rPr>
    </w:lvl>
    <w:lvl w:ilvl="1">
      <w:start w:val="1"/>
      <w:numFmt w:val="lowerLetter"/>
      <w:lvlText w:val="%2)"/>
      <w:lvlJc w:val="left"/>
      <w:pPr>
        <w:ind w:left="1009" w:hanging="431"/>
      </w:pPr>
      <w:rPr>
        <w:rFonts w:hint="default"/>
      </w:rPr>
    </w:lvl>
    <w:lvl w:ilvl="2">
      <w:start w:val="1"/>
      <w:numFmt w:val="lowerRoman"/>
      <w:lvlText w:val="%3)"/>
      <w:lvlJc w:val="left"/>
      <w:pPr>
        <w:ind w:left="1298" w:hanging="436"/>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C8A6FB0"/>
    <w:multiLevelType w:val="multilevel"/>
    <w:tmpl w:val="6C8CC116"/>
    <w:numStyleLink w:val="Style2"/>
  </w:abstractNum>
  <w:abstractNum w:abstractNumId="21" w15:restartNumberingAfterBreak="0">
    <w:nsid w:val="618D2D52"/>
    <w:multiLevelType w:val="hybridMultilevel"/>
    <w:tmpl w:val="E8A8279A"/>
    <w:lvl w:ilvl="0" w:tplc="9B1AC3FC">
      <w:start w:val="1"/>
      <w:numFmt w:val="bullet"/>
      <w:lvlText w:val=""/>
      <w:lvlJc w:val="left"/>
      <w:pPr>
        <w:ind w:left="1066" w:hanging="360"/>
      </w:pPr>
      <w:rPr>
        <w:rFonts w:ascii="Wingdings" w:hAnsi="Wingdings" w:hint="default"/>
      </w:rPr>
    </w:lvl>
    <w:lvl w:ilvl="1" w:tplc="040C0003">
      <w:start w:val="1"/>
      <w:numFmt w:val="bullet"/>
      <w:lvlText w:val="o"/>
      <w:lvlJc w:val="left"/>
      <w:pPr>
        <w:ind w:left="1786" w:hanging="360"/>
      </w:pPr>
      <w:rPr>
        <w:rFonts w:ascii="Courier New" w:hAnsi="Courier New" w:cs="Courier New" w:hint="default"/>
      </w:rPr>
    </w:lvl>
    <w:lvl w:ilvl="2" w:tplc="040C0005" w:tentative="1">
      <w:start w:val="1"/>
      <w:numFmt w:val="bullet"/>
      <w:lvlText w:val=""/>
      <w:lvlJc w:val="left"/>
      <w:pPr>
        <w:ind w:left="2506" w:hanging="360"/>
      </w:pPr>
      <w:rPr>
        <w:rFonts w:ascii="Wingdings" w:hAnsi="Wingdings" w:hint="default"/>
      </w:rPr>
    </w:lvl>
    <w:lvl w:ilvl="3" w:tplc="040C0001" w:tentative="1">
      <w:start w:val="1"/>
      <w:numFmt w:val="bullet"/>
      <w:lvlText w:val=""/>
      <w:lvlJc w:val="left"/>
      <w:pPr>
        <w:ind w:left="3226" w:hanging="360"/>
      </w:pPr>
      <w:rPr>
        <w:rFonts w:ascii="Symbol" w:hAnsi="Symbol" w:hint="default"/>
      </w:rPr>
    </w:lvl>
    <w:lvl w:ilvl="4" w:tplc="040C0003" w:tentative="1">
      <w:start w:val="1"/>
      <w:numFmt w:val="bullet"/>
      <w:lvlText w:val="o"/>
      <w:lvlJc w:val="left"/>
      <w:pPr>
        <w:ind w:left="3946" w:hanging="360"/>
      </w:pPr>
      <w:rPr>
        <w:rFonts w:ascii="Courier New" w:hAnsi="Courier New" w:cs="Courier New" w:hint="default"/>
      </w:rPr>
    </w:lvl>
    <w:lvl w:ilvl="5" w:tplc="040C0005" w:tentative="1">
      <w:start w:val="1"/>
      <w:numFmt w:val="bullet"/>
      <w:lvlText w:val=""/>
      <w:lvlJc w:val="left"/>
      <w:pPr>
        <w:ind w:left="4666" w:hanging="360"/>
      </w:pPr>
      <w:rPr>
        <w:rFonts w:ascii="Wingdings" w:hAnsi="Wingdings" w:hint="default"/>
      </w:rPr>
    </w:lvl>
    <w:lvl w:ilvl="6" w:tplc="040C0001" w:tentative="1">
      <w:start w:val="1"/>
      <w:numFmt w:val="bullet"/>
      <w:lvlText w:val=""/>
      <w:lvlJc w:val="left"/>
      <w:pPr>
        <w:ind w:left="5386" w:hanging="360"/>
      </w:pPr>
      <w:rPr>
        <w:rFonts w:ascii="Symbol" w:hAnsi="Symbol" w:hint="default"/>
      </w:rPr>
    </w:lvl>
    <w:lvl w:ilvl="7" w:tplc="040C0003" w:tentative="1">
      <w:start w:val="1"/>
      <w:numFmt w:val="bullet"/>
      <w:lvlText w:val="o"/>
      <w:lvlJc w:val="left"/>
      <w:pPr>
        <w:ind w:left="6106" w:hanging="360"/>
      </w:pPr>
      <w:rPr>
        <w:rFonts w:ascii="Courier New" w:hAnsi="Courier New" w:cs="Courier New" w:hint="default"/>
      </w:rPr>
    </w:lvl>
    <w:lvl w:ilvl="8" w:tplc="040C0005" w:tentative="1">
      <w:start w:val="1"/>
      <w:numFmt w:val="bullet"/>
      <w:lvlText w:val=""/>
      <w:lvlJc w:val="left"/>
      <w:pPr>
        <w:ind w:left="6826" w:hanging="360"/>
      </w:pPr>
      <w:rPr>
        <w:rFonts w:ascii="Wingdings" w:hAnsi="Wingdings" w:hint="default"/>
      </w:rPr>
    </w:lvl>
  </w:abstractNum>
  <w:abstractNum w:abstractNumId="22" w15:restartNumberingAfterBreak="0">
    <w:nsid w:val="61BF308E"/>
    <w:multiLevelType w:val="multilevel"/>
    <w:tmpl w:val="6C8CC116"/>
    <w:numStyleLink w:val="Style2"/>
  </w:abstractNum>
  <w:abstractNum w:abstractNumId="23" w15:restartNumberingAfterBreak="0">
    <w:nsid w:val="62756E34"/>
    <w:multiLevelType w:val="hybridMultilevel"/>
    <w:tmpl w:val="244CF1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BD6360E"/>
    <w:multiLevelType w:val="multilevel"/>
    <w:tmpl w:val="6C8CC116"/>
    <w:numStyleLink w:val="Style2"/>
  </w:abstractNum>
  <w:abstractNum w:abstractNumId="25" w15:restartNumberingAfterBreak="0">
    <w:nsid w:val="71D97134"/>
    <w:multiLevelType w:val="multilevel"/>
    <w:tmpl w:val="03B8EBE6"/>
    <w:styleLink w:val="Style1"/>
    <w:lvl w:ilvl="0">
      <w:start w:val="1"/>
      <w:numFmt w:val="decimal"/>
      <w:pStyle w:val="Heading1"/>
      <w:lvlText w:val="%1."/>
      <w:lvlJc w:val="left"/>
      <w:pPr>
        <w:ind w:left="576" w:hanging="576"/>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576" w:hanging="576"/>
      </w:pPr>
      <w:rPr>
        <w:rFonts w:hint="default"/>
      </w:rPr>
    </w:lvl>
    <w:lvl w:ilvl="3">
      <w:start w:val="1"/>
      <w:numFmt w:val="lowerLetter"/>
      <w:pStyle w:val="Heading4"/>
      <w:lvlText w:val="(%4)"/>
      <w:lvlJc w:val="left"/>
      <w:pPr>
        <w:ind w:left="576" w:hanging="576"/>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4D2791D"/>
    <w:multiLevelType w:val="multilevel"/>
    <w:tmpl w:val="6C8CC116"/>
    <w:numStyleLink w:val="Style2"/>
  </w:abstractNum>
  <w:abstractNum w:abstractNumId="27" w15:restartNumberingAfterBreak="0">
    <w:nsid w:val="75D538DA"/>
    <w:multiLevelType w:val="hybridMultilevel"/>
    <w:tmpl w:val="8AC05BFC"/>
    <w:lvl w:ilvl="0" w:tplc="D62E3F5C">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CB15445"/>
    <w:multiLevelType w:val="multilevel"/>
    <w:tmpl w:val="9ED28FDE"/>
    <w:numStyleLink w:val="Style4"/>
  </w:abstractNum>
  <w:abstractNum w:abstractNumId="29" w15:restartNumberingAfterBreak="0">
    <w:nsid w:val="7D5C7D46"/>
    <w:multiLevelType w:val="multilevel"/>
    <w:tmpl w:val="03B8EBE6"/>
    <w:numStyleLink w:val="Style1"/>
  </w:abstractNum>
  <w:abstractNum w:abstractNumId="30" w15:restartNumberingAfterBreak="0">
    <w:nsid w:val="7F8B4066"/>
    <w:multiLevelType w:val="multilevel"/>
    <w:tmpl w:val="9ED28FDE"/>
    <w:numStyleLink w:val="Style4"/>
  </w:abstractNum>
  <w:num w:numId="1">
    <w:abstractNumId w:val="25"/>
  </w:num>
  <w:num w:numId="2">
    <w:abstractNumId w:val="21"/>
  </w:num>
  <w:num w:numId="3">
    <w:abstractNumId w:val="11"/>
  </w:num>
  <w:num w:numId="4">
    <w:abstractNumId w:val="29"/>
  </w:num>
  <w:num w:numId="5">
    <w:abstractNumId w:val="0"/>
  </w:num>
  <w:num w:numId="6">
    <w:abstractNumId w:val="12"/>
  </w:num>
  <w:num w:numId="7">
    <w:abstractNumId w:val="9"/>
  </w:num>
  <w:num w:numId="8">
    <w:abstractNumId w:val="13"/>
  </w:num>
  <w:num w:numId="9">
    <w:abstractNumId w:val="20"/>
  </w:num>
  <w:num w:numId="10">
    <w:abstractNumId w:val="6"/>
  </w:num>
  <w:num w:numId="11">
    <w:abstractNumId w:val="24"/>
  </w:num>
  <w:num w:numId="12">
    <w:abstractNumId w:val="26"/>
  </w:num>
  <w:num w:numId="13">
    <w:abstractNumId w:val="18"/>
  </w:num>
  <w:num w:numId="14">
    <w:abstractNumId w:val="2"/>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0"/>
  </w:num>
  <w:num w:numId="19">
    <w:abstractNumId w:val="28"/>
  </w:num>
  <w:num w:numId="20">
    <w:abstractNumId w:val="30"/>
  </w:num>
  <w:num w:numId="21">
    <w:abstractNumId w:val="22"/>
  </w:num>
  <w:num w:numId="22">
    <w:abstractNumId w:val="7"/>
  </w:num>
  <w:num w:numId="23">
    <w:abstractNumId w:val="5"/>
  </w:num>
  <w:num w:numId="24">
    <w:abstractNumId w:val="3"/>
  </w:num>
  <w:num w:numId="25">
    <w:abstractNumId w:val="25"/>
    <w:lvlOverride w:ilvl="0">
      <w:startOverride w:val="2"/>
    </w:lvlOverride>
    <w:lvlOverride w:ilvl="1">
      <w:startOverride w:val="4"/>
    </w:lvlOverride>
  </w:num>
  <w:num w:numId="26">
    <w:abstractNumId w:val="1"/>
  </w:num>
  <w:num w:numId="27">
    <w:abstractNumId w:val="15"/>
  </w:num>
  <w:num w:numId="28">
    <w:abstractNumId w:val="25"/>
    <w:lvlOverride w:ilvl="0">
      <w:startOverride w:val="3"/>
    </w:lvlOverride>
    <w:lvlOverride w:ilvl="1">
      <w:startOverride w:val="2"/>
    </w:lvlOverride>
  </w:num>
  <w:num w:numId="29">
    <w:abstractNumId w:val="25"/>
    <w:lvlOverride w:ilvl="0">
      <w:startOverride w:val="3"/>
    </w:lvlOverride>
    <w:lvlOverride w:ilvl="1">
      <w:startOverride w:val="2"/>
    </w:lvlOverride>
  </w:num>
  <w:num w:numId="30">
    <w:abstractNumId w:val="4"/>
  </w:num>
  <w:num w:numId="31">
    <w:abstractNumId w:val="14"/>
  </w:num>
  <w:num w:numId="32">
    <w:abstractNumId w:val="16"/>
  </w:num>
  <w:num w:numId="33">
    <w:abstractNumId w:val="23"/>
  </w:num>
  <w:num w:numId="34">
    <w:abstractNumId w:val="27"/>
  </w:num>
  <w:num w:numId="35">
    <w:abstractNumId w:val="17"/>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6"/>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E05"/>
    <w:rsid w:val="00000A27"/>
    <w:rsid w:val="000025BD"/>
    <w:rsid w:val="000134F7"/>
    <w:rsid w:val="00016F79"/>
    <w:rsid w:val="00026C66"/>
    <w:rsid w:val="000304C4"/>
    <w:rsid w:val="0003119F"/>
    <w:rsid w:val="000319BB"/>
    <w:rsid w:val="000320A6"/>
    <w:rsid w:val="000409CA"/>
    <w:rsid w:val="00042E0E"/>
    <w:rsid w:val="0004477E"/>
    <w:rsid w:val="00047029"/>
    <w:rsid w:val="000660D0"/>
    <w:rsid w:val="000758C1"/>
    <w:rsid w:val="0007742C"/>
    <w:rsid w:val="00077CFD"/>
    <w:rsid w:val="00085EAE"/>
    <w:rsid w:val="00086270"/>
    <w:rsid w:val="0009325E"/>
    <w:rsid w:val="000B20B2"/>
    <w:rsid w:val="000B3814"/>
    <w:rsid w:val="000B75D6"/>
    <w:rsid w:val="000D4584"/>
    <w:rsid w:val="000E09F2"/>
    <w:rsid w:val="000E1A0E"/>
    <w:rsid w:val="000E7F99"/>
    <w:rsid w:val="000F0E39"/>
    <w:rsid w:val="000F7B0F"/>
    <w:rsid w:val="00102680"/>
    <w:rsid w:val="001149CE"/>
    <w:rsid w:val="001333CE"/>
    <w:rsid w:val="00142646"/>
    <w:rsid w:val="00144716"/>
    <w:rsid w:val="00144F2E"/>
    <w:rsid w:val="0015277C"/>
    <w:rsid w:val="00165A80"/>
    <w:rsid w:val="00173F16"/>
    <w:rsid w:val="001750FA"/>
    <w:rsid w:val="001824DD"/>
    <w:rsid w:val="00187DCD"/>
    <w:rsid w:val="001B37E5"/>
    <w:rsid w:val="001C1C13"/>
    <w:rsid w:val="001D34D1"/>
    <w:rsid w:val="001D5FDC"/>
    <w:rsid w:val="001E6D35"/>
    <w:rsid w:val="00202BE9"/>
    <w:rsid w:val="00202F53"/>
    <w:rsid w:val="0020406B"/>
    <w:rsid w:val="002045B8"/>
    <w:rsid w:val="00204C4D"/>
    <w:rsid w:val="0021216D"/>
    <w:rsid w:val="00213E4A"/>
    <w:rsid w:val="00226C33"/>
    <w:rsid w:val="00233CBF"/>
    <w:rsid w:val="00263843"/>
    <w:rsid w:val="002672CB"/>
    <w:rsid w:val="0027333D"/>
    <w:rsid w:val="0027416B"/>
    <w:rsid w:val="00280A9F"/>
    <w:rsid w:val="00291C24"/>
    <w:rsid w:val="00292C59"/>
    <w:rsid w:val="002A2602"/>
    <w:rsid w:val="002C4823"/>
    <w:rsid w:val="002C4E93"/>
    <w:rsid w:val="002D02C4"/>
    <w:rsid w:val="002D0571"/>
    <w:rsid w:val="002D605A"/>
    <w:rsid w:val="002E1AFF"/>
    <w:rsid w:val="002F3B16"/>
    <w:rsid w:val="002F7030"/>
    <w:rsid w:val="003017A2"/>
    <w:rsid w:val="00306C22"/>
    <w:rsid w:val="0032047F"/>
    <w:rsid w:val="00324706"/>
    <w:rsid w:val="00337CF8"/>
    <w:rsid w:val="00345BCE"/>
    <w:rsid w:val="00351C8D"/>
    <w:rsid w:val="00352E0E"/>
    <w:rsid w:val="00356C8F"/>
    <w:rsid w:val="00364A7D"/>
    <w:rsid w:val="00371CD9"/>
    <w:rsid w:val="003728A2"/>
    <w:rsid w:val="00375083"/>
    <w:rsid w:val="00382D84"/>
    <w:rsid w:val="00394147"/>
    <w:rsid w:val="003A18BE"/>
    <w:rsid w:val="003A3CA7"/>
    <w:rsid w:val="003A4104"/>
    <w:rsid w:val="003A45C7"/>
    <w:rsid w:val="003B2F66"/>
    <w:rsid w:val="003B77F8"/>
    <w:rsid w:val="003C6402"/>
    <w:rsid w:val="003C7E2E"/>
    <w:rsid w:val="003D0074"/>
    <w:rsid w:val="003D5C7C"/>
    <w:rsid w:val="003D5CB2"/>
    <w:rsid w:val="003F1917"/>
    <w:rsid w:val="003F2EB4"/>
    <w:rsid w:val="003F5657"/>
    <w:rsid w:val="00400858"/>
    <w:rsid w:val="004020ED"/>
    <w:rsid w:val="004067EF"/>
    <w:rsid w:val="00413585"/>
    <w:rsid w:val="00417578"/>
    <w:rsid w:val="00420A05"/>
    <w:rsid w:val="00423035"/>
    <w:rsid w:val="00426447"/>
    <w:rsid w:val="00433929"/>
    <w:rsid w:val="00434C03"/>
    <w:rsid w:val="0045074B"/>
    <w:rsid w:val="004536F8"/>
    <w:rsid w:val="00453769"/>
    <w:rsid w:val="0046248E"/>
    <w:rsid w:val="00476552"/>
    <w:rsid w:val="00485932"/>
    <w:rsid w:val="0048662C"/>
    <w:rsid w:val="00487E34"/>
    <w:rsid w:val="0049176C"/>
    <w:rsid w:val="004B307B"/>
    <w:rsid w:val="004B31C7"/>
    <w:rsid w:val="004C0258"/>
    <w:rsid w:val="004F56C1"/>
    <w:rsid w:val="004F7987"/>
    <w:rsid w:val="0050495F"/>
    <w:rsid w:val="00507E1B"/>
    <w:rsid w:val="00514847"/>
    <w:rsid w:val="005158DB"/>
    <w:rsid w:val="005269C5"/>
    <w:rsid w:val="00535A9B"/>
    <w:rsid w:val="00537DB1"/>
    <w:rsid w:val="0054239E"/>
    <w:rsid w:val="005445A9"/>
    <w:rsid w:val="00547060"/>
    <w:rsid w:val="00552425"/>
    <w:rsid w:val="00553FEE"/>
    <w:rsid w:val="005550FA"/>
    <w:rsid w:val="00571064"/>
    <w:rsid w:val="00584609"/>
    <w:rsid w:val="0058667A"/>
    <w:rsid w:val="005959B9"/>
    <w:rsid w:val="005A0FD9"/>
    <w:rsid w:val="005A4700"/>
    <w:rsid w:val="005B0A7B"/>
    <w:rsid w:val="005B37D6"/>
    <w:rsid w:val="005B407E"/>
    <w:rsid w:val="005B69F0"/>
    <w:rsid w:val="005B7743"/>
    <w:rsid w:val="005C50EB"/>
    <w:rsid w:val="005C5561"/>
    <w:rsid w:val="005C7F2F"/>
    <w:rsid w:val="005D04F3"/>
    <w:rsid w:val="005D5A9F"/>
    <w:rsid w:val="005D75AB"/>
    <w:rsid w:val="005E2188"/>
    <w:rsid w:val="005E2BB7"/>
    <w:rsid w:val="005F472E"/>
    <w:rsid w:val="006001A0"/>
    <w:rsid w:val="00621005"/>
    <w:rsid w:val="006260B4"/>
    <w:rsid w:val="00630366"/>
    <w:rsid w:val="00631ED5"/>
    <w:rsid w:val="00635F1D"/>
    <w:rsid w:val="00646630"/>
    <w:rsid w:val="006633C5"/>
    <w:rsid w:val="00667B4D"/>
    <w:rsid w:val="0067226E"/>
    <w:rsid w:val="00684262"/>
    <w:rsid w:val="00685C0E"/>
    <w:rsid w:val="00695513"/>
    <w:rsid w:val="006A0235"/>
    <w:rsid w:val="006A104B"/>
    <w:rsid w:val="006A3118"/>
    <w:rsid w:val="006B0519"/>
    <w:rsid w:val="006B176B"/>
    <w:rsid w:val="006B4623"/>
    <w:rsid w:val="006B7796"/>
    <w:rsid w:val="006C09CD"/>
    <w:rsid w:val="006C3595"/>
    <w:rsid w:val="006F0E90"/>
    <w:rsid w:val="006F234B"/>
    <w:rsid w:val="006F3EA7"/>
    <w:rsid w:val="007047CB"/>
    <w:rsid w:val="007059B0"/>
    <w:rsid w:val="00713E0F"/>
    <w:rsid w:val="00717270"/>
    <w:rsid w:val="0072416F"/>
    <w:rsid w:val="00726693"/>
    <w:rsid w:val="00732B40"/>
    <w:rsid w:val="007432EC"/>
    <w:rsid w:val="007525B9"/>
    <w:rsid w:val="007602A7"/>
    <w:rsid w:val="00761006"/>
    <w:rsid w:val="007964F2"/>
    <w:rsid w:val="007A07D4"/>
    <w:rsid w:val="007A308C"/>
    <w:rsid w:val="007B6631"/>
    <w:rsid w:val="007B7F8E"/>
    <w:rsid w:val="007C2834"/>
    <w:rsid w:val="007E7D96"/>
    <w:rsid w:val="007F02F7"/>
    <w:rsid w:val="007F0EE8"/>
    <w:rsid w:val="007F311D"/>
    <w:rsid w:val="007F7488"/>
    <w:rsid w:val="00803BF5"/>
    <w:rsid w:val="00811B85"/>
    <w:rsid w:val="00811C43"/>
    <w:rsid w:val="00813561"/>
    <w:rsid w:val="0081557E"/>
    <w:rsid w:val="00823CFC"/>
    <w:rsid w:val="00850786"/>
    <w:rsid w:val="00850DB0"/>
    <w:rsid w:val="00853507"/>
    <w:rsid w:val="00855530"/>
    <w:rsid w:val="00860479"/>
    <w:rsid w:val="008723C2"/>
    <w:rsid w:val="00874FDA"/>
    <w:rsid w:val="00876B0C"/>
    <w:rsid w:val="00883B67"/>
    <w:rsid w:val="00885602"/>
    <w:rsid w:val="008937B6"/>
    <w:rsid w:val="00895197"/>
    <w:rsid w:val="008B3A87"/>
    <w:rsid w:val="008B6B17"/>
    <w:rsid w:val="008B726A"/>
    <w:rsid w:val="008C52C1"/>
    <w:rsid w:val="008D00D9"/>
    <w:rsid w:val="008D3538"/>
    <w:rsid w:val="008E3CDC"/>
    <w:rsid w:val="008E4E39"/>
    <w:rsid w:val="008F23FF"/>
    <w:rsid w:val="008F3FB7"/>
    <w:rsid w:val="008F4878"/>
    <w:rsid w:val="008F7599"/>
    <w:rsid w:val="009003E8"/>
    <w:rsid w:val="0091373E"/>
    <w:rsid w:val="00922BE5"/>
    <w:rsid w:val="00924059"/>
    <w:rsid w:val="009262A4"/>
    <w:rsid w:val="00941D2F"/>
    <w:rsid w:val="009473B7"/>
    <w:rsid w:val="009500E1"/>
    <w:rsid w:val="009535C7"/>
    <w:rsid w:val="00957EA0"/>
    <w:rsid w:val="0096595D"/>
    <w:rsid w:val="00970823"/>
    <w:rsid w:val="009720AE"/>
    <w:rsid w:val="00995D37"/>
    <w:rsid w:val="009A71DC"/>
    <w:rsid w:val="009A761D"/>
    <w:rsid w:val="009B1BB0"/>
    <w:rsid w:val="009B7003"/>
    <w:rsid w:val="009C044C"/>
    <w:rsid w:val="009E0253"/>
    <w:rsid w:val="009E60B8"/>
    <w:rsid w:val="009E78B9"/>
    <w:rsid w:val="009F0547"/>
    <w:rsid w:val="009F3399"/>
    <w:rsid w:val="009F3B91"/>
    <w:rsid w:val="009F75A8"/>
    <w:rsid w:val="00A0009C"/>
    <w:rsid w:val="00A0357E"/>
    <w:rsid w:val="00A0411D"/>
    <w:rsid w:val="00A135A1"/>
    <w:rsid w:val="00A13E0B"/>
    <w:rsid w:val="00A1661A"/>
    <w:rsid w:val="00A33222"/>
    <w:rsid w:val="00A34B28"/>
    <w:rsid w:val="00A42114"/>
    <w:rsid w:val="00A54620"/>
    <w:rsid w:val="00A645A5"/>
    <w:rsid w:val="00A64802"/>
    <w:rsid w:val="00A907EC"/>
    <w:rsid w:val="00AA17E2"/>
    <w:rsid w:val="00AA3627"/>
    <w:rsid w:val="00AB41D0"/>
    <w:rsid w:val="00AC03D9"/>
    <w:rsid w:val="00AC16E3"/>
    <w:rsid w:val="00AC37AB"/>
    <w:rsid w:val="00AD18B6"/>
    <w:rsid w:val="00AD4279"/>
    <w:rsid w:val="00AD5591"/>
    <w:rsid w:val="00AD6565"/>
    <w:rsid w:val="00AE0002"/>
    <w:rsid w:val="00AE1700"/>
    <w:rsid w:val="00AE6C78"/>
    <w:rsid w:val="00AF4321"/>
    <w:rsid w:val="00AF479E"/>
    <w:rsid w:val="00B01965"/>
    <w:rsid w:val="00B102B7"/>
    <w:rsid w:val="00B16F69"/>
    <w:rsid w:val="00B17491"/>
    <w:rsid w:val="00B22804"/>
    <w:rsid w:val="00B266B8"/>
    <w:rsid w:val="00B35146"/>
    <w:rsid w:val="00B45901"/>
    <w:rsid w:val="00B45FCC"/>
    <w:rsid w:val="00B61865"/>
    <w:rsid w:val="00B64563"/>
    <w:rsid w:val="00B6636C"/>
    <w:rsid w:val="00B71A5F"/>
    <w:rsid w:val="00B816D8"/>
    <w:rsid w:val="00B91D92"/>
    <w:rsid w:val="00BA2460"/>
    <w:rsid w:val="00BA7A08"/>
    <w:rsid w:val="00BB312D"/>
    <w:rsid w:val="00BB4003"/>
    <w:rsid w:val="00BB401A"/>
    <w:rsid w:val="00BC2AE3"/>
    <w:rsid w:val="00BD059D"/>
    <w:rsid w:val="00BE677C"/>
    <w:rsid w:val="00BE7D7C"/>
    <w:rsid w:val="00BF167F"/>
    <w:rsid w:val="00C1547F"/>
    <w:rsid w:val="00C21D50"/>
    <w:rsid w:val="00C36E28"/>
    <w:rsid w:val="00C44D6A"/>
    <w:rsid w:val="00C4541E"/>
    <w:rsid w:val="00C5415E"/>
    <w:rsid w:val="00C61807"/>
    <w:rsid w:val="00C633A8"/>
    <w:rsid w:val="00C726E7"/>
    <w:rsid w:val="00C742C5"/>
    <w:rsid w:val="00C8516C"/>
    <w:rsid w:val="00C9157B"/>
    <w:rsid w:val="00C915BF"/>
    <w:rsid w:val="00CA137A"/>
    <w:rsid w:val="00CA7734"/>
    <w:rsid w:val="00CC5F0D"/>
    <w:rsid w:val="00CD4CBD"/>
    <w:rsid w:val="00CF6DC5"/>
    <w:rsid w:val="00CF6F60"/>
    <w:rsid w:val="00D022A3"/>
    <w:rsid w:val="00D030F1"/>
    <w:rsid w:val="00D14512"/>
    <w:rsid w:val="00D2380A"/>
    <w:rsid w:val="00D33B43"/>
    <w:rsid w:val="00D37C10"/>
    <w:rsid w:val="00D47385"/>
    <w:rsid w:val="00D53A5F"/>
    <w:rsid w:val="00D64E56"/>
    <w:rsid w:val="00D71A8E"/>
    <w:rsid w:val="00D72E3E"/>
    <w:rsid w:val="00D75655"/>
    <w:rsid w:val="00D82B3C"/>
    <w:rsid w:val="00D901D7"/>
    <w:rsid w:val="00D93262"/>
    <w:rsid w:val="00DA1B49"/>
    <w:rsid w:val="00DA3110"/>
    <w:rsid w:val="00DA72B4"/>
    <w:rsid w:val="00DC484E"/>
    <w:rsid w:val="00DD4B49"/>
    <w:rsid w:val="00DD50C6"/>
    <w:rsid w:val="00DD5CFD"/>
    <w:rsid w:val="00DE15D8"/>
    <w:rsid w:val="00DE1A8A"/>
    <w:rsid w:val="00E05337"/>
    <w:rsid w:val="00E0709E"/>
    <w:rsid w:val="00E249D2"/>
    <w:rsid w:val="00E32CB7"/>
    <w:rsid w:val="00E36BD7"/>
    <w:rsid w:val="00E435B0"/>
    <w:rsid w:val="00E44B8E"/>
    <w:rsid w:val="00E5028E"/>
    <w:rsid w:val="00E505F4"/>
    <w:rsid w:val="00E545A1"/>
    <w:rsid w:val="00E5713E"/>
    <w:rsid w:val="00E712E1"/>
    <w:rsid w:val="00E77935"/>
    <w:rsid w:val="00E77E05"/>
    <w:rsid w:val="00E956C7"/>
    <w:rsid w:val="00E96611"/>
    <w:rsid w:val="00E97952"/>
    <w:rsid w:val="00EB79FE"/>
    <w:rsid w:val="00EC40F3"/>
    <w:rsid w:val="00EC5D43"/>
    <w:rsid w:val="00EC6683"/>
    <w:rsid w:val="00ED78F9"/>
    <w:rsid w:val="00EE30BF"/>
    <w:rsid w:val="00EF066F"/>
    <w:rsid w:val="00EF3627"/>
    <w:rsid w:val="00EF4956"/>
    <w:rsid w:val="00EF5475"/>
    <w:rsid w:val="00EF6112"/>
    <w:rsid w:val="00F314E0"/>
    <w:rsid w:val="00F33298"/>
    <w:rsid w:val="00F34716"/>
    <w:rsid w:val="00F35E98"/>
    <w:rsid w:val="00F4087C"/>
    <w:rsid w:val="00F45749"/>
    <w:rsid w:val="00F52B58"/>
    <w:rsid w:val="00F62AAD"/>
    <w:rsid w:val="00F835F2"/>
    <w:rsid w:val="00F84143"/>
    <w:rsid w:val="00F84460"/>
    <w:rsid w:val="00F845E3"/>
    <w:rsid w:val="00F94A84"/>
    <w:rsid w:val="00F9719D"/>
    <w:rsid w:val="00FA7603"/>
    <w:rsid w:val="00FB2439"/>
    <w:rsid w:val="00FB4601"/>
    <w:rsid w:val="00FC0E99"/>
    <w:rsid w:val="00FC1C5B"/>
    <w:rsid w:val="00FE0D75"/>
    <w:rsid w:val="00FF0108"/>
    <w:rsid w:val="00FF0633"/>
    <w:rsid w:val="00FF0BC8"/>
    <w:rsid w:val="00FF1663"/>
    <w:rsid w:val="00FF44A4"/>
    <w:rsid w:val="00FF4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C1E546-FE8E-4B57-A4B8-537BBC5C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ECHB Normal"/>
    <w:qFormat/>
    <w:rsid w:val="007F7488"/>
    <w:pPr>
      <w:spacing w:before="160" w:line="300" w:lineRule="atLeast"/>
      <w:ind w:firstLine="576"/>
      <w:jc w:val="both"/>
    </w:pPr>
    <w:rPr>
      <w:rFonts w:ascii="Times New Roman" w:hAnsi="Times New Roman"/>
      <w:sz w:val="24"/>
      <w:szCs w:val="22"/>
      <w:lang w:eastAsia="en-US"/>
    </w:rPr>
  </w:style>
  <w:style w:type="paragraph" w:styleId="Heading1">
    <w:name w:val="heading 1"/>
    <w:aliases w:val="EECHB Heading 1"/>
    <w:basedOn w:val="Normal"/>
    <w:next w:val="Normal"/>
    <w:link w:val="Heading1Char"/>
    <w:uiPriority w:val="9"/>
    <w:qFormat/>
    <w:rsid w:val="002D605A"/>
    <w:pPr>
      <w:keepNext/>
      <w:keepLines/>
      <w:numPr>
        <w:numId w:val="1"/>
      </w:numPr>
      <w:spacing w:before="480"/>
      <w:outlineLvl w:val="0"/>
    </w:pPr>
    <w:rPr>
      <w:rFonts w:eastAsia="Times New Roman"/>
      <w:b/>
      <w:caps/>
      <w:szCs w:val="32"/>
    </w:rPr>
  </w:style>
  <w:style w:type="paragraph" w:styleId="Heading2">
    <w:name w:val="heading 2"/>
    <w:aliases w:val="EECHB Heading 2"/>
    <w:basedOn w:val="Normal"/>
    <w:next w:val="Normal"/>
    <w:link w:val="Heading2Char"/>
    <w:uiPriority w:val="9"/>
    <w:unhideWhenUsed/>
    <w:qFormat/>
    <w:rsid w:val="002D605A"/>
    <w:pPr>
      <w:keepNext/>
      <w:keepLines/>
      <w:numPr>
        <w:ilvl w:val="1"/>
        <w:numId w:val="1"/>
      </w:numPr>
      <w:spacing w:before="240"/>
      <w:outlineLvl w:val="1"/>
    </w:pPr>
    <w:rPr>
      <w:rFonts w:eastAsia="Times New Roman"/>
      <w:b/>
      <w:caps/>
      <w:sz w:val="20"/>
      <w:szCs w:val="26"/>
    </w:rPr>
  </w:style>
  <w:style w:type="paragraph" w:styleId="Heading3">
    <w:name w:val="heading 3"/>
    <w:aliases w:val="EECHB Heading 3"/>
    <w:basedOn w:val="Normal"/>
    <w:next w:val="Normal"/>
    <w:link w:val="Heading3Char"/>
    <w:uiPriority w:val="9"/>
    <w:unhideWhenUsed/>
    <w:qFormat/>
    <w:rsid w:val="002D605A"/>
    <w:pPr>
      <w:keepNext/>
      <w:keepLines/>
      <w:numPr>
        <w:ilvl w:val="2"/>
        <w:numId w:val="1"/>
      </w:numPr>
      <w:spacing w:before="240"/>
      <w:outlineLvl w:val="2"/>
    </w:pPr>
    <w:rPr>
      <w:rFonts w:eastAsia="Times New Roman"/>
      <w:b/>
      <w:i/>
      <w:color w:val="000000"/>
      <w:sz w:val="20"/>
      <w:szCs w:val="24"/>
    </w:rPr>
  </w:style>
  <w:style w:type="paragraph" w:styleId="Heading4">
    <w:name w:val="heading 4"/>
    <w:aliases w:val="EECHB Heading 4"/>
    <w:basedOn w:val="Normal"/>
    <w:next w:val="Normal"/>
    <w:link w:val="Heading4Char"/>
    <w:uiPriority w:val="9"/>
    <w:unhideWhenUsed/>
    <w:qFormat/>
    <w:rsid w:val="002D605A"/>
    <w:pPr>
      <w:keepNext/>
      <w:keepLines/>
      <w:numPr>
        <w:ilvl w:val="3"/>
        <w:numId w:val="1"/>
      </w:numPr>
      <w:spacing w:before="240"/>
      <w:outlineLvl w:val="3"/>
    </w:pPr>
    <w:rPr>
      <w:rFonts w:eastAsia="Times New Roman"/>
      <w:b/>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CHBTitle">
    <w:name w:val="EECHB Title"/>
    <w:basedOn w:val="Normal"/>
    <w:link w:val="EECHBTitleChar"/>
    <w:qFormat/>
    <w:rsid w:val="00B01965"/>
    <w:pPr>
      <w:spacing w:after="360" w:line="240" w:lineRule="auto"/>
      <w:ind w:firstLine="0"/>
      <w:jc w:val="left"/>
    </w:pPr>
    <w:rPr>
      <w:color w:val="1F4E79"/>
      <w:sz w:val="40"/>
    </w:rPr>
  </w:style>
  <w:style w:type="paragraph" w:customStyle="1" w:styleId="EECHBAuthors">
    <w:name w:val="EECHB Authors"/>
    <w:link w:val="EECHBAuthorsChar"/>
    <w:qFormat/>
    <w:rsid w:val="00FF0BC8"/>
    <w:pPr>
      <w:pBdr>
        <w:bottom w:val="single" w:sz="8" w:space="1" w:color="1F4E79"/>
      </w:pBdr>
      <w:spacing w:after="240" w:line="259" w:lineRule="auto"/>
    </w:pPr>
    <w:rPr>
      <w:rFonts w:ascii="Times New Roman" w:hAnsi="Times New Roman"/>
      <w:color w:val="1F4E79"/>
      <w:sz w:val="28"/>
      <w:szCs w:val="22"/>
      <w:lang w:val="en-US" w:eastAsia="en-US"/>
    </w:rPr>
  </w:style>
  <w:style w:type="character" w:customStyle="1" w:styleId="EECHBTitleChar">
    <w:name w:val="EECHB Title Char"/>
    <w:link w:val="EECHBTitle"/>
    <w:rsid w:val="00B01965"/>
    <w:rPr>
      <w:rFonts w:ascii="Times New Roman" w:hAnsi="Times New Roman"/>
      <w:color w:val="1F4E79"/>
      <w:sz w:val="40"/>
      <w:szCs w:val="22"/>
      <w:lang w:val="en-GB" w:eastAsia="en-US"/>
    </w:rPr>
  </w:style>
  <w:style w:type="paragraph" w:customStyle="1" w:styleId="EECHBAffiliation">
    <w:name w:val="EECHB Affiliation"/>
    <w:link w:val="EECHBAffiliationChar"/>
    <w:qFormat/>
    <w:rsid w:val="00FF0BC8"/>
    <w:pPr>
      <w:spacing w:after="160" w:line="259" w:lineRule="auto"/>
    </w:pPr>
    <w:rPr>
      <w:rFonts w:ascii="Times New Roman" w:hAnsi="Times New Roman"/>
      <w:szCs w:val="22"/>
      <w:lang w:val="en-US" w:eastAsia="en-US"/>
    </w:rPr>
  </w:style>
  <w:style w:type="character" w:customStyle="1" w:styleId="EECHBAuthorsChar">
    <w:name w:val="EECHB Authors Char"/>
    <w:link w:val="EECHBAuthors"/>
    <w:rsid w:val="00FF0BC8"/>
    <w:rPr>
      <w:rFonts w:ascii="Times New Roman" w:hAnsi="Times New Roman" w:cs="Times New Roman"/>
      <w:color w:val="1F4E79"/>
      <w:sz w:val="28"/>
      <w:lang w:val="en-US"/>
    </w:rPr>
  </w:style>
  <w:style w:type="paragraph" w:customStyle="1" w:styleId="EECHBAbstract">
    <w:name w:val="EECHB Abstract"/>
    <w:link w:val="EECHBAbstractChar"/>
    <w:qFormat/>
    <w:rsid w:val="009B1BB0"/>
    <w:pPr>
      <w:spacing w:before="120" w:line="259" w:lineRule="auto"/>
    </w:pPr>
    <w:rPr>
      <w:rFonts w:ascii="Times New Roman" w:hAnsi="Times New Roman"/>
      <w:i/>
      <w:szCs w:val="22"/>
      <w:lang w:val="en-US" w:eastAsia="en-US"/>
    </w:rPr>
  </w:style>
  <w:style w:type="character" w:customStyle="1" w:styleId="EECHBAffiliationChar">
    <w:name w:val="EECHB Affiliation Char"/>
    <w:link w:val="EECHBAffiliation"/>
    <w:rsid w:val="00FF0BC8"/>
    <w:rPr>
      <w:rFonts w:ascii="Times New Roman" w:hAnsi="Times New Roman" w:cs="Times New Roman"/>
      <w:color w:val="1F4E79"/>
      <w:sz w:val="20"/>
      <w:lang w:val="en-US"/>
    </w:rPr>
  </w:style>
  <w:style w:type="paragraph" w:styleId="Header">
    <w:name w:val="header"/>
    <w:basedOn w:val="Normal"/>
    <w:link w:val="HeaderChar"/>
    <w:uiPriority w:val="99"/>
    <w:unhideWhenUsed/>
    <w:rsid w:val="00B61865"/>
    <w:pPr>
      <w:tabs>
        <w:tab w:val="center" w:pos="4513"/>
        <w:tab w:val="right" w:pos="9026"/>
      </w:tabs>
      <w:spacing w:line="240" w:lineRule="auto"/>
    </w:pPr>
  </w:style>
  <w:style w:type="character" w:customStyle="1" w:styleId="EECHBAbstractChar">
    <w:name w:val="EECHB Abstract Char"/>
    <w:link w:val="EECHBAbstract"/>
    <w:rsid w:val="009B1BB0"/>
    <w:rPr>
      <w:rFonts w:ascii="Times New Roman" w:hAnsi="Times New Roman" w:cs="Times New Roman"/>
      <w:i/>
      <w:color w:val="1F4E79"/>
      <w:sz w:val="20"/>
      <w:lang w:val="en-US"/>
    </w:rPr>
  </w:style>
  <w:style w:type="character" w:customStyle="1" w:styleId="HeaderChar">
    <w:name w:val="Header Char"/>
    <w:link w:val="Header"/>
    <w:uiPriority w:val="99"/>
    <w:rsid w:val="00B61865"/>
    <w:rPr>
      <w:rFonts w:ascii="Times New Roman" w:hAnsi="Times New Roman"/>
    </w:rPr>
  </w:style>
  <w:style w:type="paragraph" w:styleId="Footer">
    <w:name w:val="footer"/>
    <w:basedOn w:val="Normal"/>
    <w:link w:val="FooterChar"/>
    <w:uiPriority w:val="99"/>
    <w:unhideWhenUsed/>
    <w:rsid w:val="00B61865"/>
    <w:pPr>
      <w:tabs>
        <w:tab w:val="center" w:pos="4513"/>
        <w:tab w:val="right" w:pos="9026"/>
      </w:tabs>
      <w:spacing w:line="240" w:lineRule="auto"/>
    </w:pPr>
  </w:style>
  <w:style w:type="character" w:customStyle="1" w:styleId="FooterChar">
    <w:name w:val="Footer Char"/>
    <w:link w:val="Footer"/>
    <w:uiPriority w:val="99"/>
    <w:rsid w:val="00B61865"/>
    <w:rPr>
      <w:rFonts w:ascii="Times New Roman" w:hAnsi="Times New Roman"/>
    </w:rPr>
  </w:style>
  <w:style w:type="character" w:customStyle="1" w:styleId="Heading1Char">
    <w:name w:val="Heading 1 Char"/>
    <w:aliases w:val="EECHB Heading 1 Char"/>
    <w:link w:val="Heading1"/>
    <w:uiPriority w:val="9"/>
    <w:rsid w:val="00F9719D"/>
    <w:rPr>
      <w:rFonts w:ascii="Times New Roman" w:eastAsia="Times New Roman" w:hAnsi="Times New Roman" w:cs="Times New Roman"/>
      <w:b/>
      <w:caps/>
      <w:sz w:val="24"/>
      <w:szCs w:val="32"/>
      <w:lang w:val="en-US"/>
    </w:rPr>
  </w:style>
  <w:style w:type="character" w:customStyle="1" w:styleId="Heading2Char">
    <w:name w:val="Heading 2 Char"/>
    <w:aliases w:val="EECHB Heading 2 Char"/>
    <w:link w:val="Heading2"/>
    <w:uiPriority w:val="9"/>
    <w:rsid w:val="00F9719D"/>
    <w:rPr>
      <w:rFonts w:ascii="Times New Roman" w:eastAsia="Times New Roman" w:hAnsi="Times New Roman" w:cs="Times New Roman"/>
      <w:b/>
      <w:caps/>
      <w:sz w:val="20"/>
      <w:szCs w:val="26"/>
      <w:lang w:val="en-US"/>
    </w:rPr>
  </w:style>
  <w:style w:type="numbering" w:customStyle="1" w:styleId="Style1">
    <w:name w:val="Style1"/>
    <w:uiPriority w:val="99"/>
    <w:rsid w:val="002D605A"/>
    <w:pPr>
      <w:numPr>
        <w:numId w:val="1"/>
      </w:numPr>
    </w:pPr>
  </w:style>
  <w:style w:type="table" w:styleId="TableGrid">
    <w:name w:val="Table Grid"/>
    <w:basedOn w:val="TableNormal"/>
    <w:uiPriority w:val="39"/>
    <w:rsid w:val="00102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aliases w:val="EECHB Heading 3 Char"/>
    <w:link w:val="Heading3"/>
    <w:uiPriority w:val="9"/>
    <w:rsid w:val="00F9719D"/>
    <w:rPr>
      <w:rFonts w:ascii="Times New Roman" w:eastAsia="Times New Roman" w:hAnsi="Times New Roman" w:cs="Times New Roman"/>
      <w:b/>
      <w:i/>
      <w:color w:val="000000"/>
      <w:sz w:val="20"/>
      <w:szCs w:val="24"/>
      <w:lang w:val="en-US"/>
    </w:rPr>
  </w:style>
  <w:style w:type="character" w:customStyle="1" w:styleId="Heading4Char">
    <w:name w:val="Heading 4 Char"/>
    <w:aliases w:val="EECHB Heading 4 Char"/>
    <w:link w:val="Heading4"/>
    <w:uiPriority w:val="9"/>
    <w:rsid w:val="00F9719D"/>
    <w:rPr>
      <w:rFonts w:ascii="Times New Roman" w:eastAsia="Times New Roman" w:hAnsi="Times New Roman" w:cs="Times New Roman"/>
      <w:b/>
      <w:i/>
      <w:iCs/>
      <w:sz w:val="20"/>
      <w:lang w:val="en-US"/>
    </w:rPr>
  </w:style>
  <w:style w:type="paragraph" w:styleId="BodyText">
    <w:name w:val="Body Text"/>
    <w:basedOn w:val="Normal"/>
    <w:link w:val="BodyTextChar"/>
    <w:uiPriority w:val="99"/>
    <w:rsid w:val="004020ED"/>
    <w:pPr>
      <w:tabs>
        <w:tab w:val="left" w:pos="288"/>
      </w:tabs>
      <w:spacing w:after="120" w:line="228" w:lineRule="auto"/>
    </w:pPr>
    <w:rPr>
      <w:rFonts w:eastAsia="MS Mincho"/>
      <w:spacing w:val="-1"/>
      <w:sz w:val="20"/>
      <w:szCs w:val="20"/>
    </w:rPr>
  </w:style>
  <w:style w:type="character" w:customStyle="1" w:styleId="BodyTextChar">
    <w:name w:val="Body Text Char"/>
    <w:link w:val="BodyText"/>
    <w:uiPriority w:val="99"/>
    <w:rsid w:val="004020ED"/>
    <w:rPr>
      <w:rFonts w:ascii="Times New Roman" w:eastAsia="MS Mincho" w:hAnsi="Times New Roman" w:cs="Times New Roman"/>
      <w:spacing w:val="-1"/>
      <w:sz w:val="20"/>
      <w:szCs w:val="20"/>
      <w:lang w:val="en-US"/>
    </w:rPr>
  </w:style>
  <w:style w:type="paragraph" w:styleId="Caption">
    <w:name w:val="caption"/>
    <w:aliases w:val="EECHB Caption Figures"/>
    <w:basedOn w:val="Normal"/>
    <w:next w:val="Normal"/>
    <w:link w:val="CaptionChar"/>
    <w:uiPriority w:val="99"/>
    <w:unhideWhenUsed/>
    <w:qFormat/>
    <w:rsid w:val="00D53A5F"/>
    <w:pPr>
      <w:spacing w:before="120" w:after="240" w:line="240" w:lineRule="auto"/>
      <w:ind w:firstLine="0"/>
      <w:jc w:val="center"/>
    </w:pPr>
    <w:rPr>
      <w:b/>
      <w:i/>
      <w:iCs/>
      <w:sz w:val="20"/>
      <w:szCs w:val="18"/>
    </w:rPr>
  </w:style>
  <w:style w:type="paragraph" w:customStyle="1" w:styleId="EECHBTablecaption">
    <w:name w:val="EECHB Table caption"/>
    <w:basedOn w:val="Caption"/>
    <w:link w:val="EECHBTablecaptionChar"/>
    <w:rsid w:val="00FB4601"/>
    <w:pPr>
      <w:keepNext/>
    </w:pPr>
    <w:rPr>
      <w:b w:val="0"/>
      <w:i w:val="0"/>
    </w:rPr>
  </w:style>
  <w:style w:type="paragraph" w:customStyle="1" w:styleId="EECHBCaptiontable">
    <w:name w:val="EECHB_Caption table"/>
    <w:basedOn w:val="Caption"/>
    <w:link w:val="EECHBCaptiontableChar"/>
    <w:rsid w:val="00C633A8"/>
  </w:style>
  <w:style w:type="character" w:customStyle="1" w:styleId="CaptionChar">
    <w:name w:val="Caption Char"/>
    <w:aliases w:val="EECHB Caption Figures Char"/>
    <w:link w:val="Caption"/>
    <w:uiPriority w:val="35"/>
    <w:rsid w:val="00D53A5F"/>
    <w:rPr>
      <w:rFonts w:ascii="Times New Roman" w:hAnsi="Times New Roman"/>
      <w:b/>
      <w:i/>
      <w:iCs/>
      <w:sz w:val="20"/>
      <w:szCs w:val="18"/>
      <w:lang w:val="en-US"/>
    </w:rPr>
  </w:style>
  <w:style w:type="character" w:customStyle="1" w:styleId="EECHBTablecaptionChar">
    <w:name w:val="EECHB Table caption Char"/>
    <w:link w:val="EECHBTablecaption"/>
    <w:rsid w:val="00FB4601"/>
    <w:rPr>
      <w:rFonts w:ascii="Times New Roman" w:hAnsi="Times New Roman"/>
      <w:b w:val="0"/>
      <w:i w:val="0"/>
      <w:iCs/>
      <w:sz w:val="20"/>
      <w:szCs w:val="18"/>
      <w:lang w:val="en-US"/>
    </w:rPr>
  </w:style>
  <w:style w:type="paragraph" w:customStyle="1" w:styleId="EECHBlinespace">
    <w:name w:val="EECHB line_space"/>
    <w:basedOn w:val="EECHBAffiliation"/>
    <w:link w:val="EECHBlinespaceChar"/>
    <w:qFormat/>
    <w:rsid w:val="00026C66"/>
    <w:pPr>
      <w:spacing w:after="0"/>
    </w:pPr>
  </w:style>
  <w:style w:type="character" w:customStyle="1" w:styleId="EECHBCaptiontableChar">
    <w:name w:val="EECHB_Caption table Char"/>
    <w:link w:val="EECHBCaptiontable"/>
    <w:rsid w:val="00C633A8"/>
    <w:rPr>
      <w:rFonts w:ascii="Times New Roman" w:hAnsi="Times New Roman"/>
      <w:b/>
      <w:i/>
      <w:iCs/>
      <w:sz w:val="20"/>
      <w:szCs w:val="18"/>
      <w:lang w:val="en-US"/>
    </w:rPr>
  </w:style>
  <w:style w:type="paragraph" w:styleId="BalloonText">
    <w:name w:val="Balloon Text"/>
    <w:basedOn w:val="Normal"/>
    <w:link w:val="BalloonTextChar"/>
    <w:uiPriority w:val="99"/>
    <w:semiHidden/>
    <w:unhideWhenUsed/>
    <w:rsid w:val="00957EA0"/>
    <w:pPr>
      <w:spacing w:line="240" w:lineRule="auto"/>
    </w:pPr>
    <w:rPr>
      <w:rFonts w:ascii="Segoe UI" w:hAnsi="Segoe UI" w:cs="Segoe UI"/>
      <w:sz w:val="18"/>
      <w:szCs w:val="18"/>
    </w:rPr>
  </w:style>
  <w:style w:type="character" w:customStyle="1" w:styleId="EECHBlinespaceChar">
    <w:name w:val="EECHB line_space Char"/>
    <w:link w:val="EECHBlinespace"/>
    <w:rsid w:val="00026C66"/>
    <w:rPr>
      <w:rFonts w:ascii="Times New Roman" w:hAnsi="Times New Roman" w:cs="Times New Roman"/>
      <w:color w:val="1F4E79"/>
      <w:sz w:val="20"/>
      <w:lang w:val="en-US"/>
    </w:rPr>
  </w:style>
  <w:style w:type="character" w:customStyle="1" w:styleId="BalloonTextChar">
    <w:name w:val="Balloon Text Char"/>
    <w:link w:val="BalloonText"/>
    <w:uiPriority w:val="99"/>
    <w:semiHidden/>
    <w:rsid w:val="00957EA0"/>
    <w:rPr>
      <w:rFonts w:ascii="Segoe UI" w:hAnsi="Segoe UI" w:cs="Segoe UI"/>
      <w:sz w:val="18"/>
      <w:szCs w:val="18"/>
      <w:lang w:val="en-US"/>
    </w:rPr>
  </w:style>
  <w:style w:type="paragraph" w:customStyle="1" w:styleId="EECHBKeywords">
    <w:name w:val="EECHB Keywords"/>
    <w:link w:val="EECHBKeywordsChar"/>
    <w:qFormat/>
    <w:rsid w:val="009B1BB0"/>
    <w:pPr>
      <w:spacing w:before="480" w:after="600" w:line="259" w:lineRule="auto"/>
    </w:pPr>
    <w:rPr>
      <w:rFonts w:ascii="Times New Roman" w:hAnsi="Times New Roman"/>
      <w:b/>
      <w:i/>
      <w:szCs w:val="22"/>
      <w:lang w:val="en-US" w:eastAsia="en-US"/>
    </w:rPr>
  </w:style>
  <w:style w:type="paragraph" w:styleId="ListParagraph">
    <w:name w:val="List Paragraph"/>
    <w:basedOn w:val="Normal"/>
    <w:link w:val="ListParagraphChar"/>
    <w:uiPriority w:val="34"/>
    <w:qFormat/>
    <w:rsid w:val="00957EA0"/>
    <w:pPr>
      <w:ind w:left="720"/>
      <w:contextualSpacing/>
    </w:pPr>
  </w:style>
  <w:style w:type="character" w:customStyle="1" w:styleId="EECHBKeywordsChar">
    <w:name w:val="EECHB Keywords Char"/>
    <w:link w:val="EECHBKeywords"/>
    <w:rsid w:val="009B1BB0"/>
    <w:rPr>
      <w:rFonts w:ascii="Times New Roman" w:hAnsi="Times New Roman" w:cs="Times New Roman"/>
      <w:b/>
      <w:i/>
      <w:color w:val="1F4E79"/>
      <w:sz w:val="20"/>
      <w:lang w:val="en-US"/>
    </w:rPr>
  </w:style>
  <w:style w:type="paragraph" w:customStyle="1" w:styleId="EECHBList">
    <w:name w:val="EECHB List"/>
    <w:basedOn w:val="ListParagraph"/>
    <w:link w:val="EECHBListChar"/>
    <w:qFormat/>
    <w:rsid w:val="00AD18B6"/>
    <w:pPr>
      <w:numPr>
        <w:numId w:val="24"/>
      </w:numPr>
      <w:spacing w:after="120"/>
    </w:pPr>
  </w:style>
  <w:style w:type="paragraph" w:customStyle="1" w:styleId="bulletlist">
    <w:name w:val="bullet list"/>
    <w:basedOn w:val="BodyText"/>
    <w:rsid w:val="00957EA0"/>
    <w:pPr>
      <w:numPr>
        <w:numId w:val="3"/>
      </w:numPr>
      <w:tabs>
        <w:tab w:val="clear" w:pos="648"/>
      </w:tabs>
      <w:ind w:left="576" w:hanging="288"/>
    </w:pPr>
  </w:style>
  <w:style w:type="character" w:customStyle="1" w:styleId="ListParagraphChar">
    <w:name w:val="List Paragraph Char"/>
    <w:link w:val="ListParagraph"/>
    <w:uiPriority w:val="34"/>
    <w:rsid w:val="00957EA0"/>
    <w:rPr>
      <w:rFonts w:ascii="Times New Roman" w:hAnsi="Times New Roman"/>
      <w:sz w:val="24"/>
      <w:lang w:val="en-US"/>
    </w:rPr>
  </w:style>
  <w:style w:type="character" w:customStyle="1" w:styleId="EECHBListChar">
    <w:name w:val="EECHB List Char"/>
    <w:link w:val="EECHBList"/>
    <w:rsid w:val="00957EA0"/>
    <w:rPr>
      <w:rFonts w:ascii="Times New Roman" w:hAnsi="Times New Roman"/>
      <w:sz w:val="24"/>
      <w:lang w:val="en-US"/>
    </w:rPr>
  </w:style>
  <w:style w:type="paragraph" w:customStyle="1" w:styleId="EECHBTabletext">
    <w:name w:val="EECHB Table text"/>
    <w:basedOn w:val="Normal"/>
    <w:link w:val="EECHBTabletextChar"/>
    <w:qFormat/>
    <w:rsid w:val="00D75655"/>
    <w:pPr>
      <w:framePr w:hSpace="144" w:wrap="around" w:vAnchor="text" w:hAnchor="text" w:y="1"/>
      <w:spacing w:before="40" w:after="40" w:line="240" w:lineRule="auto"/>
      <w:ind w:firstLine="0"/>
      <w:suppressOverlap/>
      <w:jc w:val="center"/>
    </w:pPr>
    <w:rPr>
      <w:sz w:val="20"/>
    </w:rPr>
  </w:style>
  <w:style w:type="numbering" w:customStyle="1" w:styleId="Style2">
    <w:name w:val="Style2"/>
    <w:uiPriority w:val="99"/>
    <w:rsid w:val="00855530"/>
    <w:pPr>
      <w:numPr>
        <w:numId w:val="6"/>
      </w:numPr>
    </w:pPr>
  </w:style>
  <w:style w:type="character" w:customStyle="1" w:styleId="EECHBTabletextChar">
    <w:name w:val="EECHB Table text Char"/>
    <w:link w:val="EECHBTabletext"/>
    <w:rsid w:val="00D75655"/>
    <w:rPr>
      <w:rFonts w:ascii="Times New Roman" w:hAnsi="Times New Roman"/>
      <w:sz w:val="20"/>
      <w:lang w:val="en-US"/>
    </w:rPr>
  </w:style>
  <w:style w:type="paragraph" w:customStyle="1" w:styleId="EECHBReflist">
    <w:name w:val="EECHB Reflist"/>
    <w:basedOn w:val="Normal"/>
    <w:link w:val="EECHBReflistChar"/>
    <w:qFormat/>
    <w:rsid w:val="009A761D"/>
    <w:pPr>
      <w:numPr>
        <w:numId w:val="14"/>
      </w:numPr>
      <w:autoSpaceDE w:val="0"/>
      <w:autoSpaceDN w:val="0"/>
      <w:adjustRightInd w:val="0"/>
      <w:spacing w:before="0" w:line="240" w:lineRule="auto"/>
      <w:jc w:val="left"/>
    </w:pPr>
    <w:rPr>
      <w:sz w:val="20"/>
      <w:szCs w:val="20"/>
    </w:rPr>
  </w:style>
  <w:style w:type="paragraph" w:styleId="Bibliography">
    <w:name w:val="Bibliography"/>
    <w:basedOn w:val="Normal"/>
    <w:next w:val="Normal"/>
    <w:uiPriority w:val="37"/>
    <w:unhideWhenUsed/>
    <w:rsid w:val="00476552"/>
    <w:pPr>
      <w:tabs>
        <w:tab w:val="left" w:pos="384"/>
      </w:tabs>
      <w:spacing w:line="240" w:lineRule="exact"/>
      <w:ind w:left="384" w:hanging="384"/>
    </w:pPr>
  </w:style>
  <w:style w:type="character" w:customStyle="1" w:styleId="EECHBReflistChar">
    <w:name w:val="EECHB Reflist Char"/>
    <w:link w:val="EECHBReflist"/>
    <w:rsid w:val="009A761D"/>
    <w:rPr>
      <w:rFonts w:ascii="Times New Roman" w:hAnsi="Times New Roman" w:cs="Times New Roman"/>
      <w:sz w:val="20"/>
      <w:szCs w:val="20"/>
      <w:lang w:val="en-US"/>
    </w:rPr>
  </w:style>
  <w:style w:type="numbering" w:customStyle="1" w:styleId="Style3">
    <w:name w:val="Style3"/>
    <w:uiPriority w:val="99"/>
    <w:rsid w:val="009A761D"/>
    <w:pPr>
      <w:numPr>
        <w:numId w:val="14"/>
      </w:numPr>
    </w:pPr>
  </w:style>
  <w:style w:type="character" w:styleId="PlaceholderText">
    <w:name w:val="Placeholder Text"/>
    <w:uiPriority w:val="99"/>
    <w:semiHidden/>
    <w:rsid w:val="00077CFD"/>
    <w:rPr>
      <w:color w:val="808080"/>
    </w:rPr>
  </w:style>
  <w:style w:type="paragraph" w:customStyle="1" w:styleId="EECHBFigure">
    <w:name w:val="EECHB Figure"/>
    <w:basedOn w:val="Normal"/>
    <w:link w:val="EECHBFigureChar"/>
    <w:qFormat/>
    <w:rsid w:val="00685C0E"/>
    <w:pPr>
      <w:spacing w:before="240"/>
      <w:ind w:firstLine="0"/>
      <w:jc w:val="center"/>
    </w:pPr>
  </w:style>
  <w:style w:type="paragraph" w:customStyle="1" w:styleId="EECHBCaptionTable0">
    <w:name w:val="EECHB Caption Table"/>
    <w:basedOn w:val="Caption"/>
    <w:link w:val="EECHBCaptionTableChar0"/>
    <w:qFormat/>
    <w:rsid w:val="00D53A5F"/>
    <w:pPr>
      <w:spacing w:before="240" w:after="120"/>
    </w:pPr>
  </w:style>
  <w:style w:type="character" w:customStyle="1" w:styleId="EECHBFigureChar">
    <w:name w:val="EECHB Figure Char"/>
    <w:link w:val="EECHBFigure"/>
    <w:rsid w:val="00685C0E"/>
    <w:rPr>
      <w:rFonts w:ascii="Times New Roman" w:hAnsi="Times New Roman"/>
      <w:sz w:val="24"/>
      <w:lang w:val="en-US"/>
    </w:rPr>
  </w:style>
  <w:style w:type="character" w:customStyle="1" w:styleId="EECHBCaptionTableChar0">
    <w:name w:val="EECHB Caption Table Char"/>
    <w:link w:val="EECHBCaptionTable0"/>
    <w:rsid w:val="00D53A5F"/>
    <w:rPr>
      <w:rFonts w:ascii="Times New Roman" w:hAnsi="Times New Roman"/>
      <w:b/>
      <w:i/>
      <w:iCs/>
      <w:sz w:val="20"/>
      <w:szCs w:val="18"/>
      <w:lang w:val="en-US"/>
    </w:rPr>
  </w:style>
  <w:style w:type="character" w:styleId="Hyperlink">
    <w:name w:val="Hyperlink"/>
    <w:uiPriority w:val="99"/>
    <w:unhideWhenUsed/>
    <w:rsid w:val="007F7488"/>
    <w:rPr>
      <w:color w:val="0563C1"/>
      <w:u w:val="single"/>
    </w:rPr>
  </w:style>
  <w:style w:type="paragraph" w:customStyle="1" w:styleId="EECHBNumberedlist">
    <w:name w:val="EECHB Numbered list"/>
    <w:basedOn w:val="Normal"/>
    <w:link w:val="EECHBNumberedlistChar"/>
    <w:qFormat/>
    <w:rsid w:val="00AD18B6"/>
    <w:pPr>
      <w:numPr>
        <w:numId w:val="23"/>
      </w:numPr>
      <w:ind w:left="579" w:hanging="352"/>
      <w:contextualSpacing/>
    </w:pPr>
  </w:style>
  <w:style w:type="numbering" w:customStyle="1" w:styleId="Style4">
    <w:name w:val="Style4"/>
    <w:uiPriority w:val="99"/>
    <w:rsid w:val="00AD18B6"/>
    <w:pPr>
      <w:numPr>
        <w:numId w:val="17"/>
      </w:numPr>
    </w:pPr>
  </w:style>
  <w:style w:type="character" w:customStyle="1" w:styleId="EECHBNumberedlistChar">
    <w:name w:val="EECHB Numbered list Char"/>
    <w:link w:val="EECHBNumberedlist"/>
    <w:rsid w:val="00AD18B6"/>
    <w:rPr>
      <w:rFonts w:ascii="Times New Roman" w:hAnsi="Times New Roman"/>
      <w:sz w:val="24"/>
      <w:szCs w:val="22"/>
      <w:lang w:val="en-GB" w:eastAsia="en-US"/>
    </w:rPr>
  </w:style>
  <w:style w:type="paragraph" w:styleId="FootnoteText">
    <w:name w:val="footnote text"/>
    <w:basedOn w:val="Normal"/>
    <w:link w:val="FootnoteTextChar"/>
    <w:uiPriority w:val="99"/>
    <w:semiHidden/>
    <w:unhideWhenUsed/>
    <w:rsid w:val="008D00D9"/>
    <w:rPr>
      <w:sz w:val="20"/>
      <w:szCs w:val="20"/>
    </w:rPr>
  </w:style>
  <w:style w:type="character" w:customStyle="1" w:styleId="FootnoteTextChar">
    <w:name w:val="Footnote Text Char"/>
    <w:link w:val="FootnoteText"/>
    <w:uiPriority w:val="99"/>
    <w:semiHidden/>
    <w:rsid w:val="008D00D9"/>
    <w:rPr>
      <w:rFonts w:ascii="Times New Roman" w:hAnsi="Times New Roman"/>
      <w:lang w:val="en-GB" w:eastAsia="en-US"/>
    </w:rPr>
  </w:style>
  <w:style w:type="character" w:styleId="FootnoteReference">
    <w:name w:val="footnote reference"/>
    <w:uiPriority w:val="99"/>
    <w:semiHidden/>
    <w:unhideWhenUsed/>
    <w:rsid w:val="008D00D9"/>
    <w:rPr>
      <w:vertAlign w:val="superscript"/>
    </w:rPr>
  </w:style>
  <w:style w:type="character" w:styleId="FollowedHyperlink">
    <w:name w:val="FollowedHyperlink"/>
    <w:uiPriority w:val="99"/>
    <w:semiHidden/>
    <w:unhideWhenUsed/>
    <w:rsid w:val="000E09F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15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drew.richards@cornwall.gov.uk"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shawcity.co.uk/air-and-dust-quality/gravimetric-sampling/evm-7-all-in-one-environmental-monitor-temperature-rh-pid-co2-co-particulates" TargetMode="External"/><Relationship Id="rId2" Type="http://schemas.openxmlformats.org/officeDocument/2006/relationships/numbering" Target="numbering.xml"/><Relationship Id="rId16" Type="http://schemas.openxmlformats.org/officeDocument/2006/relationships/hyperlink" Target="http://www.hukseflux.com/page/products-servi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www.hlf.org.uk/looking-funding/our-grant-programmes/townscape-heritage" TargetMode="External"/><Relationship Id="rId10" Type="http://schemas.openxmlformats.org/officeDocument/2006/relationships/image" Target="media/image1.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michael.hunt@cornwall.ac.uk" TargetMode="External"/><Relationship Id="rId14" Type="http://schemas.openxmlformats.org/officeDocument/2006/relationships/hyperlink" Target="http://www.cornwall.gov.uk/environment-and-planning/conservation/heritage-led-regeneration/camborne-roskear-tuckingmill-townscape-heritage-initiativ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04E11-8121-47FA-B573-D1D8CC516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3344</Words>
  <Characters>19063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Cornwall Council</Company>
  <LinksUpToDate>false</LinksUpToDate>
  <CharactersWithSpaces>22363</CharactersWithSpaces>
  <SharedDoc>false</SharedDoc>
  <HLinks>
    <vt:vector size="36" baseType="variant">
      <vt:variant>
        <vt:i4>1966150</vt:i4>
      </vt:variant>
      <vt:variant>
        <vt:i4>27</vt:i4>
      </vt:variant>
      <vt:variant>
        <vt:i4>0</vt:i4>
      </vt:variant>
      <vt:variant>
        <vt:i4>5</vt:i4>
      </vt:variant>
      <vt:variant>
        <vt:lpwstr>http://www.shawcity.co.uk/air-and-dust-quality/gravimetric-sampling/evm-7-all-in-one-environmental-monitor-temperature-rh-pid-co2-co-particulates</vt:lpwstr>
      </vt:variant>
      <vt:variant>
        <vt:lpwstr/>
      </vt:variant>
      <vt:variant>
        <vt:i4>6553708</vt:i4>
      </vt:variant>
      <vt:variant>
        <vt:i4>24</vt:i4>
      </vt:variant>
      <vt:variant>
        <vt:i4>0</vt:i4>
      </vt:variant>
      <vt:variant>
        <vt:i4>5</vt:i4>
      </vt:variant>
      <vt:variant>
        <vt:lpwstr>http://www.hukseflux.com/page/products-services</vt:lpwstr>
      </vt:variant>
      <vt:variant>
        <vt:lpwstr/>
      </vt:variant>
      <vt:variant>
        <vt:i4>2359413</vt:i4>
      </vt:variant>
      <vt:variant>
        <vt:i4>21</vt:i4>
      </vt:variant>
      <vt:variant>
        <vt:i4>0</vt:i4>
      </vt:variant>
      <vt:variant>
        <vt:i4>5</vt:i4>
      </vt:variant>
      <vt:variant>
        <vt:lpwstr>https://www.hlf.org.uk/looking-funding/our-grant-programmes/townscape-heritage</vt:lpwstr>
      </vt:variant>
      <vt:variant>
        <vt:lpwstr/>
      </vt:variant>
      <vt:variant>
        <vt:i4>8257584</vt:i4>
      </vt:variant>
      <vt:variant>
        <vt:i4>18</vt:i4>
      </vt:variant>
      <vt:variant>
        <vt:i4>0</vt:i4>
      </vt:variant>
      <vt:variant>
        <vt:i4>5</vt:i4>
      </vt:variant>
      <vt:variant>
        <vt:lpwstr>http://www.cornwall.gov.uk/environment-and-planning/conservation/heritage-led-regeneration/camborne-roskear-tuckingmill-townscape-heritage-initiatives/</vt:lpwstr>
      </vt:variant>
      <vt:variant>
        <vt:lpwstr/>
      </vt:variant>
      <vt:variant>
        <vt:i4>983091</vt:i4>
      </vt:variant>
      <vt:variant>
        <vt:i4>3</vt:i4>
      </vt:variant>
      <vt:variant>
        <vt:i4>0</vt:i4>
      </vt:variant>
      <vt:variant>
        <vt:i4>5</vt:i4>
      </vt:variant>
      <vt:variant>
        <vt:lpwstr>mailto:michael.hunt@cornwall.ac.uk</vt:lpwstr>
      </vt:variant>
      <vt:variant>
        <vt:lpwstr/>
      </vt:variant>
      <vt:variant>
        <vt:i4>2228253</vt:i4>
      </vt:variant>
      <vt:variant>
        <vt:i4>0</vt:i4>
      </vt:variant>
      <vt:variant>
        <vt:i4>0</vt:i4>
      </vt:variant>
      <vt:variant>
        <vt:i4>5</vt:i4>
      </vt:variant>
      <vt:variant>
        <vt:lpwstr>mailto:Andrew.richards@cornwall.gov.uk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Dubois</dc:creator>
  <cp:keywords/>
  <cp:lastModifiedBy>Michael Hunt</cp:lastModifiedBy>
  <cp:revision>2</cp:revision>
  <cp:lastPrinted>2016-01-07T16:25:00Z</cp:lastPrinted>
  <dcterms:created xsi:type="dcterms:W3CDTF">2016-05-30T07:27:00Z</dcterms:created>
  <dcterms:modified xsi:type="dcterms:W3CDTF">2016-05-30T07:27:00Z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id="XLgUJIX9"/&gt;&lt;style id="http://www.zotero.org/styles/ieee" locale="en-US" hasBibliography="1" bibliographyStyleHasBeenSet="1"/&gt;&lt;prefs&gt;&lt;pref name="fieldType" value="Field"/&gt;&lt;pref name="storeRefere</vt:lpwstr>
  </property>
  <property fmtid="{D5CDD505-2E9C-101B-9397-08002B2CF9AE}" pid="3" name="ZOTERO_PREF_2">
    <vt:lpwstr>nces" value="true"/&gt;&lt;pref name="automaticJournalAbbreviations" value="true"/&gt;&lt;pref name="noteType" value=""/&gt;&lt;/prefs&gt;&lt;/data&gt;</vt:lpwstr>
  </property>
</Properties>
</file>