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48"/>
          <w:szCs w:val="48"/>
        </w:rPr>
        <w:t xml:space="preserve">Due Diligence</w:t>
      </w:r>
    </w:p>
    <w:p>
      <w:pPr>
        <w:spacing w:before="0" w:after="120"/>
        <w:jc w:val="center"/>
      </w:pPr>
      <w:r>
        <w:rPr>
          <w:rFonts w:ascii="Arial" w:cs="Arial" w:eastAsia="Arial" w:hAnsi="Arial"/>
          <w:color w:val="2E75B6"/>
          <w:sz w:val="36"/>
          <w:szCs w:val="36"/>
        </w:rPr>
        <w:t xml:space="preserve">Market Opportunity Briefs: Gap-analyse</w:t>
      </w:r>
    </w:p>
    <w:p>
      <w:pPr>
        <w:spacing w:before="0" w:after="480"/>
        <w:jc w:val="center"/>
      </w:pPr>
      <w:r>
        <w:rPr>
          <w:rFonts w:ascii="Arial" w:cs="Arial" w:eastAsia="Arial" w:hAnsi="Arial"/>
          <w:color w:val="555555"/>
          <w:sz w:val="24"/>
          <w:szCs w:val="24"/>
        </w:rPr>
        <w:t xml:space="preserve">NIS2 · DORA · AI Act — vertaling naar verkoopbare IT-diensten</w:t>
      </w:r>
    </w:p>
    <w:p>
      <w:pPr>
        <w:spacing w:before="0" w:after="60"/>
        <w:jc w:val="center"/>
      </w:pPr>
      <w:r>
        <w:rPr>
          <w:rFonts w:ascii="Arial" w:cs="Arial" w:eastAsia="Arial" w:hAnsi="Arial"/>
          <w:b/>
          <w:bCs/>
          <w:sz w:val="20"/>
          <w:szCs w:val="20"/>
        </w:rPr>
        <w:t xml:space="preserve">Referentiemodel: CRA Market Opportunity Brief</w:t>
      </w:r>
    </w:p>
    <w:p>
      <w:pPr>
        <w:spacing w:before="0" w:after="60"/>
        <w:jc w:val="center"/>
      </w:pPr>
      <w:r>
        <w:rPr>
          <w:rFonts w:ascii="Arial" w:cs="Arial" w:eastAsia="Arial" w:hAnsi="Arial"/>
          <w:color w:val="555555"/>
          <w:sz w:val="20"/>
          <w:szCs w:val="20"/>
        </w:rPr>
        <w:t xml:space="preserve">4 service pillars · €22K instap + €2.5K/maand · TAM 90K+ bedrijven (NL)</w:t>
      </w:r>
    </w:p>
    <w:p>
      <w:pPr>
        <w:spacing w:before="80" w:after="8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Bevindingen op een rij</w:t>
      </w:r>
    </w:p>
    <w:p>
      <w:pPr>
        <w:spacing w:before="60" w:after="60"/>
      </w:pPr>
      <w:r>
        <w:rPr>
          <w:rFonts w:ascii="Arial" w:cs="Arial" w:eastAsia="Arial" w:hAnsi="Arial"/>
          <w:sz w:val="20"/>
          <w:szCs w:val="20"/>
        </w:rPr>
        <w:t xml:space="preserve">Dit document geeft antwoord op één centrale vraag: wat ontbreekt er om voor NIS2, DORA en de AI Act een Market Opportunity Brief te maken in hetzelfde format als de CRA-brief?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Regulering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Wat aanwezig is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Wat ontbreekt voor volledige brief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NIS2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Achtergrond regelgeving, scope 18 sectoren, boetes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Concrete 4-pillar service structuur, prijsmodel, case-voorbeeld vergelijkbaar met ElanWave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DORA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DORA pillars bekend, 22.000 financiële entiteiten in scope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IT-partner specifieke diensten, TAM voor middelgrote fintech/verzekeraar, retainer-model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AI Act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Risicocategorieën, deadlines, boetes tot €35M</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Engineering-specifieke diensten (audit, registry, testing), TAM engineering sector NL, revenue per klant</w:t>
            </w:r>
          </w:p>
        </w:tc>
      </w:tr>
    </w:tbl>
    <w:p>
      <w:pPr>
        <w:spacing w:before="80" w:after="80"/>
      </w:pPr>
      <w:r>
        <w:t xml:space="preserve"/>
      </w:r>
    </w:p>
    <w:p>
      <w:pPr>
        <w:spacing w:before="60" w:after="60"/>
      </w:pPr>
      <w:r>
        <w:rPr>
          <w:rFonts w:ascii="Arial" w:cs="Arial" w:eastAsia="Arial" w:hAnsi="Arial"/>
          <w:sz w:val="20"/>
          <w:szCs w:val="20"/>
        </w:rPr>
        <w:t xml:space="preserve">De onderstaande secties bevatten per regulering: (1) de bruikbare data die al beschikbaar is, (2) de voorgestelde 4-pillar vertaling naar verkoopbare diensten, en (3) een indicatief revenue model + TAM-schatting.</w:t>
      </w:r>
    </w:p>
    <w:p>
      <w:pPr>
        <w:pBdr>
          <w:bottom w:val="single" w:color="CCCCCC" w:sz="4" w:space="1"/>
        </w:pBdr>
        <w:spacing w:before="120" w:after="12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NIS2 — Cybersecurity voor 18 kritieke sectoren</w:t>
      </w:r>
    </w:p>
    <w:p>
      <w:pPr>
        <w:pStyle w:val="Heading2"/>
        <w:spacing w:before="240" w:after="80"/>
      </w:pPr>
      <w:r>
        <w:rPr>
          <w:rFonts w:ascii="Arial" w:cs="Arial" w:eastAsia="Arial" w:hAnsi="Arial"/>
          <w:b/>
          <w:bCs/>
          <w:color w:val="2E75B6"/>
          <w:sz w:val="26"/>
          <w:szCs w:val="26"/>
        </w:rPr>
        <w:t xml:space="preserve">1.1 Wat weten we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Reguleringsfeiten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Marktcontext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 kracht: 18 oktober 2024 (NL: Cyberbeveiligingswet nog in parlementair traject)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 transposition loopt vertraging op — bedrijven wachten af maar moeten voorbereid zijn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18 kritieke sectoren (energie, transport, zorg, water, digitale infra, overheid, etc.)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Maat-regel: alle middelgrote (50+ fte, €10M+ omzet) en grote bedrijven in scope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verplichtingen: risicobeheer, corporate accountability, incidentrapportage, bedrijfscontinuïteit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KPMG 2025: 92% bewust van NIS2, maar implementatie loopt sterk achter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Boetes: €10M of 2% mondiale omzet (essentieel) / €7M of 1.4% (belangrijk)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Directeuren persoonlijk aansprakelijk — boardroom urgentie is hoog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 Wbni blijft van kracht totdat de Cyberbeveiligingswet in werking treedt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security verplichting: ook leveranciers van NIS2-bedrijven worden geraakt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 Gap: wat ontbreekt voor de brief</w:t>
      </w:r>
    </w:p>
    <w:p>
      <w:pPr>
        <w:spacing w:before="60" w:after="60"/>
      </w:pPr>
      <w:r>
        <w:rPr>
          <w:rFonts w:ascii="Arial" w:cs="Arial" w:eastAsia="Arial" w:hAnsi="Arial"/>
          <w:sz w:val="20"/>
          <w:szCs w:val="20"/>
        </w:rPr>
        <w:t xml:space="preserve">De beschikbare PDFs beschrijven wat NIS2 vereist. Wat mist is de vertaling: welke concrete diensten biedt een engineering firm aan, en wat kost dat?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1.3 Voorgestelde 4-pillar service structuur (NIS2)</w:t>
      </w:r>
    </w:p>
    <w:p>
      <w:pPr>
        <w:spacing w:before="60" w:after="60"/>
      </w:pPr>
      <w:r>
        <w:rPr>
          <w:rFonts w:ascii="Arial" w:cs="Arial" w:eastAsia="Arial" w:hAnsi="Arial"/>
          <w:sz w:val="20"/>
          <w:szCs w:val="20"/>
        </w:rPr>
        <w:t xml:space="preserve">Gebaseerd op de verplichte Article 21 maatregelen + marktpraktijk van spelers zoals Protiviti NL en New Paradigm Security: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Wat levert de IT-partner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Indicatief tarief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1
Scope &amp; Classify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NIS2-scopebepaling (essential vs. important), sector-mapping, management-briefing. Resultaat: compliance scope rapport + bestuursbesluit.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€4.500 – €8.000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2
Gap Assessment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van bestaande IT-controls tegen 10 NIS2 duty-of-care artikelen. Inclusief OT/ICS indien van toepassing. Resultaat: Red/Green scorecard + prioriteitenmatrix.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€8.000 – €15.000 eenmalig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3
Implementation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Technische implementatie: SIEM/logging setup, access controls, patch management, incident response plan, supply chain security beleid. Resultaat: audit-ready technische baseline.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€15.000 – €40.000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4
Managed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Doorlopend beheer: incident monitoring, jaarlijkse heraudit, incidentrapportage-proces (24h/72h/1mo deadlines), CSIRT-aansluiting, supplier review. Resultaat: continue compliance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€2.500 – €4.500/maand retainer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1.4 Indicatief revenue model per klant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NIS2 Klantwaarde — middelgrote organisatie (50–250 fte, 1 sector)</w:t>
            </w:r>
          </w:p>
          <w:p>
            <w:r>
              <w:rPr>
                <w:rFonts w:ascii="Arial" w:cs="Arial" w:eastAsia="Arial" w:hAnsi="Arial"/>
                <w:sz w:val="20"/>
                <w:szCs w:val="20"/>
              </w:rPr>
              <w:t xml:space="preserve">Pillar 1+2: €12.500 instap (scope + gap assessment)   |   Pillar 3: €25.000 implementatie   |   Pillar 4: €3.000/maand retainer
→ Jaar 1 totaal: ca. €74.500   |   Recurring vanaf jaar 2: €36.000/jaar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1.5 TAM-schatting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Geschat aantal NL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Indicatieve SAM (5% penetratie)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Essentiële entiteiten (18 sectoren, large)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 2.500 – 4.000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~125-200 klanten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Belangrijke entiteiten (medium, in-scope sectoren)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12.000 – 20.000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~600-1.000 klanten</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Supply chain leveranciers van bovenstaande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veelvoud — 50K+</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Grootste kans: pull-through via klanten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r>
              <w:rPr>
                <w:rFonts w:ascii="Arial" w:cs="Arial" w:eastAsia="Arial" w:hAnsi="Arial"/>
                <w:b/>
                <w:bCs/>
                <w:color w:val="1F4E79"/>
                <w:sz w:val="20"/>
                <w:szCs w:val="20"/>
              </w:rPr>
              <w:t xml:space="preserve">Sleutelverschil met CRA</w:t>
            </w:r>
          </w:p>
          <w:p>
            <w:r>
              <w:rPr>
                <w:rFonts w:ascii="Arial" w:cs="Arial" w:eastAsia="Arial" w:hAnsi="Arial"/>
                <w:sz w:val="20"/>
                <w:szCs w:val="20"/>
              </w:rPr>
              <w:t xml:space="preserve">CRA raakt primair softwareontwikkelaars en productbedrijven (90K+ in NL). NIS2 raakt sectoren breder maar minder diep op technisch niveau — de kans zit meer in governance + monitoring dan in code-level remediatie. Het pull-through effect via supply chain is de multiplicator.</w:t>
            </w:r>
          </w:p>
        </w:tc>
      </w:tr>
    </w:tbl>
    <w:p>
      <w:pPr>
        <w:pBdr>
          <w:bottom w:val="single" w:color="CCCCCC" w:sz="4" w:space="1"/>
        </w:pBdr>
        <w:spacing w:before="120" w:after="12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DORA — Digital Operational Resilience voor financiële sector</w:t>
      </w:r>
    </w:p>
    <w:p>
      <w:pPr>
        <w:pStyle w:val="Heading2"/>
        <w:spacing w:before="240" w:after="80"/>
      </w:pPr>
      <w:r>
        <w:rPr>
          <w:rFonts w:ascii="Arial" w:cs="Arial" w:eastAsia="Arial" w:hAnsi="Arial"/>
          <w:b/>
          <w:bCs/>
          <w:color w:val="2E75B6"/>
          <w:sz w:val="26"/>
          <w:szCs w:val="26"/>
        </w:rPr>
        <w:t xml:space="preserve">2.1 Wat weten we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Reguleringsfeiten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Marktcontext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 kracht: 17 januari 2025 (directe EU-verordening, geen nationale transpositie nodig)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22.000 financiële entiteiten in scope EU-breed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DORA Pillars: ICT risk mgmt, incident reporting, resilience testing, third-party risk, info sharing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Gemiddeld implementatiebudget grote bank: €5M–€15M (initieel), incl. €100M bij grote groepen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banken, verzekeraars, beleggingsfirma's, betaalinstellingen, crypto, fintech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van instellingen verwacht permanent hogere IT/compliance-kosten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Boetes: 10% jaarlijkse omzet of €10M voor instellingen; CTPPs tot 1% dagomzet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 19 ICT-aanbieders (AWS, Azure, Google) als kritieke CTPP aangewezen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30: alle ICT-contracten moeten DORA-conforme clausules bevatten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Kleinere fintech/vermogensbeheerders hebben extern hulp nodig — intern te weinig capaciteit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 Gap: wat ontbreekt voor de brief</w:t>
      </w:r>
    </w:p>
    <w:p>
      <w:pPr>
        <w:spacing w:before="60" w:after="60"/>
      </w:pPr>
      <w:r>
        <w:rPr>
          <w:rFonts w:ascii="Arial" w:cs="Arial" w:eastAsia="Arial" w:hAnsi="Arial"/>
          <w:sz w:val="20"/>
          <w:szCs w:val="20"/>
        </w:rPr>
        <w:t xml:space="preserve">DORA is dieper technisch dan NIS2 — de kans voor IT-partners is specifiek rondom de 5 pillars als concrete services. Wat mist: welke diensten past een middelgrote engineering firm aan bij een fintech of regionale bank (niet de Big4-klanten), en wat is de prijsopbouw?</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 Voorgestelde 4-pillar service structuur (DORA)</w:t>
      </w:r>
    </w:p>
    <w:p>
      <w:pPr>
        <w:spacing w:before="60" w:after="60"/>
      </w:pPr>
      <w:r>
        <w:rPr>
          <w:rFonts w:ascii="Arial" w:cs="Arial" w:eastAsia="Arial" w:hAnsi="Arial"/>
          <w:sz w:val="20"/>
          <w:szCs w:val="20"/>
        </w:rPr>
        <w:t xml:space="preserve">Let op: DORA heeft officieel 5 pillars. Onderstaande condenseert dit naar 4 verkoopbare service clusters: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Wat levert de IT-partner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Indicatief tarief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1
ICT Risk Baseline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Gap-assessment tegen DORA ICT risk framework (Chapter II). Resultaat: 'Red/Green' scorecard voor AFM/DNB + geprioriteerde roadmap. Inclusief ICT asset inventory.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€10.000 – €20.000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2
Incident &amp;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Opzetten incidentrapportage-workflow (major incident = 4h notificatie EBA). TLPT/DAST resilience testing voor kritieke systemen. Incident response playbook.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€15.000 – €35.000 eenmalig + €5K/jaar hertest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3
Third-party Register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Opbouwen ICT third-party register conform Art. 28 (verplicht register van alle IT-leveranciers). Contract review op DORA Art. 30 clausules. Kritieke vs. niet-kritieke leveranciers classifcatie.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€12.000 – €25.000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4
Continuous Oversight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Doorlopend: monitoring ICT incidents, leveranciersreview, jaarlijkse resilience test, rapportage aan AFM/DNB. DORA-conforme SLA-templates voor nieuwe contracten.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€3.500 – €6.000/maand retainer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 Indicatief revenue model per klant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DORA Klantwaarde — middelgrote fintech/vermogensbeheerder (€50M-€500M AUM of omzet)</w:t>
            </w:r>
          </w:p>
          <w:p>
            <w:r>
              <w:rPr>
                <w:rFonts w:ascii="Arial" w:cs="Arial" w:eastAsia="Arial" w:hAnsi="Arial"/>
                <w:sz w:val="20"/>
                <w:szCs w:val="20"/>
              </w:rPr>
              <w:t xml:space="preserve">Pillar 1: €15.000   |   Pillar 2: €25.000   |   Pillar 3: €18.000   |   Implementatie totaal: €58.000
Pillar 4 retainer: €4.500/maand
→ Jaar 1 totaal: ca. €112.000   |   Recurring vanaf jaar 2: €54.000/jaar
OPMERKING: Grote banken gaan naar Big4 / Deloitte. De kans voor engineering firms zit bij middelgrote fintechs, betalingsinstellingen en regionale verzekeraars.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 TAM-schatting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Segment (NL)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Geschat aantal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Noot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Banken + kredietinstellingen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(incl. branches)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Grote instellingen: Big4 terrein. Midden-segment kans.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Verzekeraars + pensioenen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Veel middelgrote spelers, minder Big4 penetratie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Betaalinstellingen + EMI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~150–200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Sterk groeiend segment, onderbediend door consultants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ICT-dienstverleners aan financiële sector (ook in scope DORA)</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500–2.000</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Als CTPP: zelf ook DORA-verplichtingen. Dubbele kans.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r>
              <w:rPr>
                <w:rFonts w:ascii="Arial" w:cs="Arial" w:eastAsia="Arial" w:hAnsi="Arial"/>
                <w:b/>
                <w:bCs/>
                <w:color w:val="1F4E79"/>
                <w:sz w:val="20"/>
                <w:szCs w:val="20"/>
              </w:rPr>
              <w:t xml:space="preserve">Strategisch inzicht DORA vs. CRA</w:t>
            </w:r>
          </w:p>
          <w:p>
            <w:r>
              <w:rPr>
                <w:rFonts w:ascii="Arial" w:cs="Arial" w:eastAsia="Arial" w:hAnsi="Arial"/>
                <w:sz w:val="20"/>
                <w:szCs w:val="20"/>
              </w:rPr>
              <w:t xml:space="preserve">DORA is smaller maar dieper dan CRA of NIS2 qua TAM. De absolute klantwaarde per engagement is echter hoger (€100K+ vs. €25K bij CRA). Het sweet spot is de middelgrote fintech en betalingsinstelling die te klein is voor Deloitte maar te complex voor generieke IT-bureau's. Een engineering firm met fintech-ervaring kan hier als 'dedicated regulatory partner' positioneren.</w:t>
            </w:r>
          </w:p>
        </w:tc>
      </w:tr>
    </w:tbl>
    <w:p>
      <w:pPr>
        <w:pBdr>
          <w:bottom w:val="single" w:color="CCCCCC" w:sz="4" w:space="1"/>
        </w:pBdr>
        <w:spacing w:before="120" w:after="12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EU AI Act — Risicogebaseerde AI-governance</w:t>
      </w:r>
    </w:p>
    <w:p>
      <w:pPr>
        <w:pStyle w:val="Heading2"/>
        <w:spacing w:before="240" w:after="80"/>
      </w:pPr>
      <w:r>
        <w:rPr>
          <w:rFonts w:ascii="Arial" w:cs="Arial" w:eastAsia="Arial" w:hAnsi="Arial"/>
          <w:b/>
          <w:bCs/>
          <w:color w:val="2E75B6"/>
          <w:sz w:val="26"/>
          <w:szCs w:val="26"/>
        </w:rPr>
        <w:t xml:space="preserve">3.1 Wat weten we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Reguleringsfeiten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Marktcontext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Gefaseerde inwerkingtreding: verboden prakijken feb 2025, GPAI aug 2025, high-risk AI aug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65.000+ high-risk AI systemen verwacht in scope EU-breed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Risicocategorieën: verboden / hoog-risico / beperkt risico / minimaal risico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markt geschat op €3.4B/jaar (base case) tot €17B cumulatief in 2030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High-risk: biometrie, kritieke infra, onderwijs, HR/recruitment, creditscoring, justitie, gezondheid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2026: piekperiode — duizenden bedrijven tegelijk naar conformiteitsbeoordeling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Boetes: tot €35M of 7% mondiale omzet (verboden AI); €15M of 3% (high-risk schendingen)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Onvoldoende Notified Bodies (certificeringsinstanties) beschikbaar — capaciteitsknelpunt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GPAI-providers (OpenAI, Google, Anthropic) moeten transparantie + copyright documentatie leveren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bedrijven die AI inzetten in beslissingen over mensen zijn in scope — niet alleen tech</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3.2 Gap: wat ontbreekt voor de brief</w:t>
      </w:r>
    </w:p>
    <w:p>
      <w:pPr>
        <w:spacing w:before="60" w:after="60"/>
      </w:pPr>
      <w:r>
        <w:rPr>
          <w:rFonts w:ascii="Arial" w:cs="Arial" w:eastAsia="Arial" w:hAnsi="Arial"/>
          <w:sz w:val="20"/>
          <w:szCs w:val="20"/>
        </w:rPr>
        <w:t xml:space="preserve">De AI Act is de minst 'uitgerijpte' opportunity voor engineering firms in de korte termijn — veel hangt af van nationale interpretatie en Notified Body-capaciteit. Toch zijn er concrete diensten mogelijk, met name rondom AI system inventory, risk classification en conformity documentation.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3.3 Voorgestelde 4-pillar service structuur (AI Act)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Wat levert de IT-partner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Indicatief tarief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1
AI Inventory &amp; Classify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Catalogiseren van alle AI-systemen in gebruik (intern én vendor-supplied). Risicocategorisatie: verboden / high-risk / limited / minimal. Resultaat: AI registry met compliance-status per systeem.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€6.000 – €12.000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2
High-Risk Conformity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Voor high-risk AI systemen: opstellen technische documentatie (Art. 11), risicobeheerssysteem (Art. 9), data governance beleid (Art. 10), registratie in EU-database. Resultaat: conformity documentation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€15.000 – €40.000 per systeem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Pillar 3
GPAI &amp; Procurement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 van GPAI-tools in gebruik (Copilot, ChatGPT Enterprise, Gemini). Contractuele transparantie-eisen richting providers. Procurement framework voor AI-tools. Resultaat: GPAI compliance beleid + leveranciersdossier.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75623"/>
                <w:sz w:val="20"/>
                <w:szCs w:val="20"/>
              </w:rPr>
              <w:t xml:space="preserve">€8.000 – €18.000 eenmalig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Pillar 4
AI Governance Program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Inrichting AI governance structuur: AI literacy training voor medewerkers (Art. 4 verplichting), interne AI-policy, jaarlijkse herclassificatie naarmate systemen en regelgeving evolueren. Resultaat: ongoing governance programma.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€2.000 – €3.500/maand retainer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3.4 Indicatief revenue model per klant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AI Act Klantwaarde — middelgrote organisatie met 5–15 AI-systemen in gebruik</w:t>
            </w:r>
          </w:p>
          <w:p>
            <w:r>
              <w:rPr>
                <w:rFonts w:ascii="Arial" w:cs="Arial" w:eastAsia="Arial" w:hAnsi="Arial"/>
                <w:sz w:val="20"/>
                <w:szCs w:val="20"/>
              </w:rPr>
              <w:t xml:space="preserve">Pillar 1: €9.000   |   Pillar 2: gemiddeld 3 high-risk systemen × €22.000 = €66.000   |   Pillar 3: €12.000
Pillar 4 retainer: €2.800/maand
→ Jaar 1 totaal: ca. €120.600   |   Recurring vanaf jaar 2: €33.600/jaar
OPMERKING: Pillar 2 is variabel en afhankelijk van het aantal high-risk systemen. Elke nieuw ingezet AI-systeem in een high-risk categorie = nieuw project.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3.5 TAM-schatting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Segment (NL)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In-scope reden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Urgentie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HR-tech / recruitment software bedrijven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in hiring = high-risk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HOOG — deadline aug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 MedTech (AI-diagnostiek)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Medische AI = high-risk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HOOG — overlap met MDR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Financiële sector (creditscoring, fraud detection AI)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Creditscoring = high-risk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HOOG — combinatie met DORA</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Alle bedrijven die GPAI-tools (Copilot, etc.) operationeel inzetten</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GPAI deployer-verplichtingen</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Brede instapkans met laag instaptarief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r>
              <w:rPr>
                <w:rFonts w:ascii="Arial" w:cs="Arial" w:eastAsia="Arial" w:hAnsi="Arial"/>
                <w:b/>
                <w:bCs/>
                <w:color w:val="1F4E79"/>
                <w:sz w:val="20"/>
                <w:szCs w:val="20"/>
              </w:rPr>
              <w:t xml:space="preserve">AI Act timing risico</w:t>
            </w:r>
          </w:p>
          <w:p>
            <w:r>
              <w:rPr>
                <w:rFonts w:ascii="Arial" w:cs="Arial" w:eastAsia="Arial" w:hAnsi="Arial"/>
                <w:sz w:val="20"/>
                <w:szCs w:val="20"/>
              </w:rPr>
              <w:t xml:space="preserve">De AI Act heeft een complexere 'urgentie-curve' dan CRA of NIS2. Enforcement start pas echt aug 2026 voor high-risk. Het risico voor een brief nu: klanten zijn zich nog niet bewust. De kans zit in vroeg positioneren als 'de AI Act partner' zodat klanten in Q1-Q2 2026 direct binnenkomen. Het GPAI-inventory product (Pillar 1 voor GPAI-gebruikers) is de laaghangendste vrucht — bijna elk middelgroot bedrijf heeft Microsoft Copilot, ChatGPT Enterprise of vergelijkbaar.</w:t>
            </w:r>
          </w:p>
        </w:tc>
      </w:tr>
    </w:tbl>
    <w:p>
      <w:pPr>
        <w:pBdr>
          <w:bottom w:val="single" w:color="CCCCCC" w:sz="4" w:space="1"/>
        </w:pBdr>
        <w:spacing w:before="120" w:after="120"/>
      </w:pPr>
      <w:r>
        <w:t xml:space="preserve"/>
      </w:r>
    </w:p>
    <w:p>
      <w:pPr>
        <w:pageBreakBefore/>
      </w:pPr>
      <w:r>
        <w:t xml:space="preserve"/>
      </w:r>
    </w:p>
    <w:p>
      <w:pPr>
        <w:pStyle w:val="Heading1"/>
        <w:spacing w:before="360" w:after="120"/>
      </w:pPr>
      <w:r>
        <w:rPr>
          <w:rFonts w:ascii="Arial" w:cs="Arial" w:eastAsia="Arial" w:hAnsi="Arial"/>
          <w:b/>
          <w:bCs/>
          <w:color w:val="1F4E79"/>
          <w:sz w:val="32"/>
          <w:szCs w:val="32"/>
        </w:rPr>
        <w:t xml:space="preserve">Synthese: prioriteitenmatrix voor brief-ontwikkeling</w:t>
      </w:r>
    </w:p>
    <w:p>
      <w:pPr>
        <w:pStyle w:val="Heading2"/>
        <w:spacing w:before="240" w:after="80"/>
      </w:pPr>
      <w:r>
        <w:rPr>
          <w:rFonts w:ascii="Arial" w:cs="Arial" w:eastAsia="Arial" w:hAnsi="Arial"/>
          <w:b/>
          <w:bCs/>
          <w:color w:val="2E75B6"/>
          <w:sz w:val="26"/>
          <w:szCs w:val="26"/>
        </w:rPr>
        <w:t xml:space="preserve">4.1 Vergelijking drie regelgevingen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Dimensie</w:t>
            </w:r>
          </w:p>
        </w:tc>
        <w:tc>
          <w:tcPr>
            <w:tcW w:type="dxa" w:w="238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NIS2</w:t>
            </w:r>
          </w:p>
        </w:tc>
        <w:tc>
          <w:tcPr>
            <w:tcW w:type="dxa" w:w="2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DORA</w:t>
            </w:r>
          </w:p>
        </w:tc>
        <w:tc>
          <w:tcPr>
            <w:tcW w:type="dxa" w:w="2388"/>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AI Act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TAM breedte</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Grootst (18 sectoren, 15K+ NL-bedrijven)</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Niche (financieel, maar diep)</w:t>
            </w:r>
          </w:p>
        </w:tc>
        <w:tc>
          <w:tcPr>
            <w:tcW w:type="dxa" w:w="238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Breed maar gefaseerd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Urgentie nu</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Wet in aantocht, bedrijven bewust maar passief</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 van kracht jan 2025</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Piek aug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Klantwaarde (jaar 1)</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€50K–€120K</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€80K–€160K</w:t>
            </w:r>
          </w:p>
        </w:tc>
        <w:tc>
          <w:tcPr>
            <w:tcW w:type="dxa" w:w="238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€60K–€150K (afhankelijk van # high-risk systemen)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potentie</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€30K–€55K/jaar</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€42K–€72K/jaar</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€24K–€42K/jaar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Concurrentie-intensiteit</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Hoog (veel spelers) maar market nog onvolwassen</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Hoog bij grote banken, laag bij mid-segment</w:t>
            </w:r>
          </w:p>
        </w:tc>
        <w:tc>
          <w:tcPr>
            <w:tcW w:type="dxa" w:w="238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Laag — markt pril</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Brief-prioriteit</w:t>
            </w:r>
          </w:p>
        </w:tc>
        <w:tc>
          <w:tcPr>
            <w:tcW w:type="dxa" w:w="23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Schrijven nu</w:t>
            </w:r>
          </w:p>
        </w:tc>
        <w:tc>
          <w:tcPr>
            <w:tcW w:type="dxa" w:w="23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Meest urgente brief</w:t>
            </w:r>
          </w:p>
        </w:tc>
        <w:tc>
          <w:tcPr>
            <w:tcW w:type="dxa" w:w="238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Brief nu, kans piek 2026</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4.2 Aanbevolen volgorde brief-ontwikkeling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2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Regulering</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Reden voor volgorde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Sleutelonderscheid vs. CRA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DORA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 van kracht. Klanten zoeken actief hulp. Hogere klantwaarde per engagement. Niche = minder concurrentie in mid-segment.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Kleinere TAM maar hogere ticket. Fintech-specifiek.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Cyberbeveiligingswet NL in aantocht. Brede markt. Supply chain effect vergroot TAM aanzienlijk.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Breder dan CRA maar minder code-technisch. Governance + monitoring focus.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Act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Markt pril maar strategisch belangrijk. Positioneren nu = voordeel in 2026. GPAI-inventory is laaghangend.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Uniek in scope: elke sector. Regelgeving evolueert nog — briefs moeten bijgewerkt worden.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4.3 Wat nog mist voor definitieve briefs</w:t>
      </w:r>
    </w:p>
    <w:p>
      <w:pPr>
        <w:spacing w:before="60" w:after="60"/>
      </w:pPr>
      <w:r>
        <w:rPr>
          <w:rFonts w:ascii="Arial" w:cs="Arial" w:eastAsia="Arial" w:hAnsi="Arial"/>
          <w:sz w:val="20"/>
          <w:szCs w:val="20"/>
        </w:rPr>
        <w:t xml:space="preserve">Dit document levert de analytische basis. Voor briefs in exact hetzelfde format als de CRA-brief zijn nog drie elementen nodig per regulering:</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Een klant-case of hypothetisch voorbeeld (equivalent aan ElanWave bij CRA) — bijv. een fictieve NIS2-klant in de energiesector, een DORA-klant in de betalingssector, en een AI Act-klant in HR-tech</w:t>
      </w:r>
    </w:p>
    <w:p>
      <w:pPr>
        <w:pStyle w:val="ListParagraph"/>
        <w:numPr>
          <w:ilvl w:val="0"/>
          <w:numId w:val="2"/>
        </w:numPr>
        <w:spacing w:before="40" w:after="40"/>
      </w:pPr>
      <w:r>
        <w:rPr>
          <w:rFonts w:ascii="Arial" w:cs="Arial" w:eastAsia="Arial" w:hAnsi="Arial"/>
          <w:sz w:val="20"/>
          <w:szCs w:val="20"/>
        </w:rPr>
        <w:t xml:space="preserve">Bevestiging van de exacte pillar-namen en volgorde die de opdrachtgever wil gebruiken in commerciële communicatie</w:t>
      </w:r>
    </w:p>
    <w:p>
      <w:pPr>
        <w:pStyle w:val="ListParagraph"/>
        <w:numPr>
          <w:ilvl w:val="0"/>
          <w:numId w:val="2"/>
        </w:numPr>
        <w:spacing w:before="40" w:after="40"/>
      </w:pPr>
      <w:r>
        <w:rPr>
          <w:rFonts w:ascii="Arial" w:cs="Arial" w:eastAsia="Arial" w:hAnsi="Arial"/>
          <w:sz w:val="20"/>
          <w:szCs w:val="20"/>
        </w:rPr>
        <w:t xml:space="preserve">Eventuele sector-specifieke aanpassingen per brief (bijv. aparte NIS2-brief voor zorgsector vs. energiesector)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Gebruik van dit document</w:t>
            </w:r>
          </w:p>
          <w:p>
            <w:r>
              <w:rPr>
                <w:rFonts w:ascii="Arial" w:cs="Arial" w:eastAsia="Arial" w:hAnsi="Arial"/>
                <w:sz w:val="20"/>
                <w:szCs w:val="20"/>
              </w:rPr>
              <w:t xml:space="preserve">De pillar structuren, revenue modellen en TAM-schattingen in dit document zijn bedoeld als werkbasis voor de Market Opportunity Briefs. Ze zijn gebaseerd op publiek beschikbare marktdata (KPMG NIS2 update 2025, Morrison Finance DORA analyse, Medium AI Act marktanalyse nov 2025) en praktijkprijzen van vergelijkbare dienstverleners in de NL-markt. Validatie door iemand met directe sector-ervaring (bijv. actieve NIS2-implementatieprojecten) is aan te bevelen voordat de briefs worden gepubliceerd.</w:t>
            </w:r>
          </w:p>
        </w:tc>
      </w:tr>
    </w:tbl>
    <w:p>
      <w:pPr>
        <w:spacing w:before="80" w:after="80"/>
      </w:pPr>
      <w:r>
        <w:t xml:space="preserve"/>
      </w:r>
    </w:p>
    <w:p>
      <w:pPr>
        <w:pBdr>
          <w:bottom w:val="single" w:color="CCCCCC" w:sz="4" w:space="1"/>
        </w:pBdr>
        <w:spacing w:before="120" w:after="120"/>
      </w:pPr>
      <w:r>
        <w:t xml:space="preserve"/>
      </w:r>
    </w:p>
    <w:p>
      <w:pPr>
        <w:spacing w:before="120" w:after="0"/>
        <w:jc w:val="right"/>
      </w:pPr>
      <w:r>
        <w:rPr>
          <w:rFonts w:ascii="Arial" w:cs="Arial" w:eastAsia="Arial" w:hAnsi="Arial"/>
          <w:color w:val="888888"/>
          <w:sz w:val="16"/>
          <w:szCs w:val="16"/>
        </w:rPr>
        <w:t xml:space="preserve">Due Diligence — NIS2 / DORA / AI Act Market Opportunity Briefs  |  februari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F4E79"/>
      <w:sz w:val="32"/>
      <w:szCs w:val="32"/>
    </w:rPr>
  </w:style>
  <w:style w:type="paragraph" w:styleId="Heading2">
    <w:name w:val="Heading 2"/>
    <w:basedOn w:val="Normal"/>
    <w:next w:val="Normal"/>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2026-02-28T19:21:39.315Z</dcterms:created>
  <dcterms:modified xsi:type="dcterms:W3CDTF">2026-02-28T19:21:39.316Z</dcterms:modified>
</cp:coreProperties>
</file>

<file path=docProps/custom.xml><?xml version="1.0" encoding="utf-8"?>
<Properties xmlns="http://schemas.openxmlformats.org/officeDocument/2006/custom-properties" xmlns:vt="http://schemas.openxmlformats.org/officeDocument/2006/docPropsVTypes"/>
</file>