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Cas Assurance — Cabinet de courtage Suisse romande</w:t>
      </w:r>
    </w:p>
    <w:p>
      <w:pPr>
        <w:spacing w:after="200"/>
      </w:pPr>
      <w:r>
        <w:rPr>
          <w:rFonts w:ascii="Arial" w:cs="Arial" w:eastAsia="Arial" w:hAnsi="Arial"/>
          <w:i/>
          <w:iCs/>
          <w:color w:val="666666"/>
          <w:sz w:val="20"/>
          <w:szCs w:val="20"/>
        </w:rPr>
        <w:t xml:space="preserve">Unit 4 — Database Design &amp; Development — Exercice professionnel</w:t>
      </w:r>
    </w:p>
    <w:p>
      <w:pPr>
        <w:pStyle w:val="Heading2"/>
        <w:spacing w:after="150" w:before="300"/>
      </w:pPr>
      <w:r>
        <w:rPr>
          <w:rFonts w:ascii="Arial" w:cs="Arial" w:eastAsia="Arial" w:hAnsi="Arial"/>
          <w:b/>
          <w:bCs/>
          <w:sz w:val="28"/>
          <w:szCs w:val="28"/>
        </w:rPr>
        <w:t xml:space="preserve">1. Contexte métier</w:t>
      </w:r>
    </w:p>
    <w:p>
      <w:pPr>
        <w:spacing w:after="200"/>
      </w:pPr>
      <w:r>
        <w:rPr>
          <w:rFonts w:ascii="Arial" w:cs="Arial" w:eastAsia="Arial" w:hAnsi="Arial"/>
          <w:sz w:val="22"/>
          <w:szCs w:val="22"/>
        </w:rPr>
        <w:t xml:space="preserve">Vous êtes mandaté par le cabinet de courtage AssurPlus en Suisse romande. Le système gère les courtiers, les types d'assurance (auto, habitation, santé, vie, RC, voyage, entreprise), les clients (particuliers, entreprises, associations), les polices, les sinistres et les paiements de primes.</w:t>
      </w:r>
    </w:p>
    <w:p>
      <w:pPr>
        <w:pStyle w:val="Heading2"/>
        <w:spacing w:after="150" w:before="300"/>
      </w:pPr>
      <w:r>
        <w:rPr>
          <w:rFonts w:ascii="Arial" w:cs="Arial" w:eastAsia="Arial" w:hAnsi="Arial"/>
          <w:b/>
          <w:bCs/>
          <w:sz w:val="28"/>
          <w:szCs w:val="28"/>
        </w:rPr>
        <w:t xml:space="preserve">2. Règles de gestion</w:t>
      </w:r>
    </w:p>
    <w:p>
      <w:pPr>
        <w:spacing w:after="80"/>
      </w:pPr>
      <w:r>
        <w:rPr>
          <w:rFonts w:ascii="Arial" w:cs="Arial" w:eastAsia="Arial" w:hAnsi="Arial"/>
          <w:sz w:val="20"/>
          <w:szCs w:val="20"/>
        </w:rPr>
        <w:t xml:space="preserve">• Un courtier gère plusieurs polices, chaque police est gérée par un seul courtier.</w:t>
      </w:r>
    </w:p>
    <w:p>
      <w:pPr>
        <w:spacing w:after="80"/>
      </w:pPr>
      <w:r>
        <w:rPr>
          <w:rFonts w:ascii="Arial" w:cs="Arial" w:eastAsia="Arial" w:hAnsi="Arial"/>
          <w:sz w:val="20"/>
          <w:szCs w:val="20"/>
        </w:rPr>
        <w:t xml:space="preserve">• Un client peut avoir plusieurs polices d'assurance.</w:t>
      </w:r>
    </w:p>
    <w:p>
      <w:pPr>
        <w:spacing w:after="80"/>
      </w:pPr>
      <w:r>
        <w:rPr>
          <w:rFonts w:ascii="Arial" w:cs="Arial" w:eastAsia="Arial" w:hAnsi="Arial"/>
          <w:sz w:val="20"/>
          <w:szCs w:val="20"/>
        </w:rPr>
        <w:t xml:space="preserve">• Une police concerne un seul type d'assurance.</w:t>
      </w:r>
    </w:p>
    <w:p>
      <w:pPr>
        <w:spacing w:after="80"/>
      </w:pPr>
      <w:r>
        <w:rPr>
          <w:rFonts w:ascii="Arial" w:cs="Arial" w:eastAsia="Arial" w:hAnsi="Arial"/>
          <w:sz w:val="20"/>
          <w:szCs w:val="20"/>
        </w:rPr>
        <w:t xml:space="preserve">• Un sinistre est lié à une seule police.</w:t>
      </w:r>
    </w:p>
    <w:p>
      <w:pPr>
        <w:spacing w:after="80"/>
      </w:pPr>
      <w:r>
        <w:rPr>
          <w:rFonts w:ascii="Arial" w:cs="Arial" w:eastAsia="Arial" w:hAnsi="Arial"/>
          <w:sz w:val="20"/>
          <w:szCs w:val="20"/>
        </w:rPr>
        <w:t xml:space="preserve">• Les paiements de primes sont semestriels ou trimestriels.</w:t>
      </w:r>
    </w:p>
    <w:p>
      <w:pPr>
        <w:spacing w:after="80"/>
      </w:pPr>
      <w:r>
        <w:rPr>
          <w:rFonts w:ascii="Arial" w:cs="Arial" w:eastAsia="Arial" w:hAnsi="Arial"/>
          <w:sz w:val="20"/>
          <w:szCs w:val="20"/>
        </w:rPr>
        <w:t xml:space="preserve">• Le taux de commission du courtier s'applique sur les primes encaissées.</w:t>
      </w:r>
    </w:p>
    <w:p>
      <w:pPr>
        <w:spacing w:after="80"/>
      </w:pPr>
      <w:r>
        <w:rPr>
          <w:rFonts w:ascii="Arial" w:cs="Arial" w:eastAsia="Arial" w:hAnsi="Arial"/>
          <w:sz w:val="20"/>
          <w:szCs w:val="20"/>
        </w:rPr>
        <w:t xml:space="preserve">• Les clients peuvent être des particuliers, entreprises ou associations.</w:t>
      </w:r>
    </w:p>
    <w:p>
      <w:r>
        <w:br w:type="page"/>
      </w:r>
    </w:p>
    <w:p>
      <w:pPr>
        <w:pStyle w:val="Heading2"/>
        <w:spacing w:after="150" w:before="300"/>
      </w:pPr>
      <w:r>
        <w:rPr>
          <w:rFonts w:ascii="Arial" w:cs="Arial" w:eastAsia="Arial" w:hAnsi="Arial"/>
          <w:b/>
          <w:bCs/>
          <w:sz w:val="28"/>
          <w:szCs w:val="28"/>
        </w:rPr>
        <w:t xml:space="preserve">3. Dictionnaire des données</w:t>
      </w:r>
    </w:p>
    <w:p>
      <w:pPr>
        <w:spacing w:after="200"/>
      </w:pPr>
      <w:r>
        <w:rPr>
          <w:rFonts w:ascii="Arial" w:cs="Arial" w:eastAsia="Arial" w:hAnsi="Arial"/>
          <w:i/>
          <w:iCs/>
          <w:sz w:val="20"/>
          <w:szCs w:val="20"/>
        </w:rPr>
        <w:t xml:space="preserve">Complétez le dictionnaire des données ci-dessous en identifiant le type et les contraintes de chaque donnée.</w:t>
      </w:r>
    </w:p>
    <w:p>
      <w:pPr>
        <w:spacing w:after="100" w:before="200"/>
      </w:pPr>
      <w:r>
        <w:rPr>
          <w:rFonts w:ascii="Arial" w:cs="Arial" w:eastAsia="Arial" w:hAnsi="Arial"/>
          <w:b/>
          <w:bCs/>
          <w:color w:val="1B5E20"/>
          <w:sz w:val="22"/>
          <w:szCs w:val="22"/>
        </w:rPr>
        <w:t xml:space="preserve">Table COURTIER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id_courtier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Courtier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Prénom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email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Email pro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telephone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Téléphone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date_embauche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embauche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taux_commission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Taux commission (%)</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TYPE_ASSURANCE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id_type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Type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libelle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Libellé</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domaine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Domaine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prime_min_annuelle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Prime min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prime_max_annuelle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Prime max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description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prenom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Prénom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date_naissance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naissance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email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Email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telephone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Téléphone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adresse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Adresse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ville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Ville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code_postal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Code postal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type_client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Type client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POLICE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id_police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Police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id_client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Client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id_type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Type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id_courtier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Courtier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numero_police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Police (unique)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date_debut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début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date_fin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fin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prime_annuelle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Prime annuelle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franchise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Franchise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statut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Statut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SINISTRE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id_sinistre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Sinistre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id_police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Police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date_sinistre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sinistre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description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montant_declare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Montant déclaré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montant_rembourse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Montant remboursé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statut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Statut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date_resolution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résolution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after="100" w:before="200"/>
      </w:pPr>
      <w:r>
        <w:rPr>
          <w:rFonts w:ascii="Arial" w:cs="Arial" w:eastAsia="Arial" w:hAnsi="Arial"/>
          <w:b/>
          <w:bCs/>
          <w:color w:val="1B5E20"/>
          <w:sz w:val="22"/>
          <w:szCs w:val="22"/>
        </w:rPr>
        <w:t xml:space="preserve">Table PAIEMENT_PRIME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c>
          <w:tcPr>
            <w:tcW w:type="dxa" w:w="20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35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Signification</w:t>
            </w:r>
          </w:p>
        </w:tc>
        <w:tc>
          <w:tcPr>
            <w:tcW w:type="dxa" w:w="220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Type (à compléter)</w:t>
            </w:r>
          </w:p>
        </w:tc>
        <w:tc>
          <w:tcPr>
            <w:tcW w:type="dxa" w:w="1660"/>
            <w:tcBorders>
              <w:top w:val="single" w:color="999999" w:sz="1"/>
              <w:left w:val="single" w:color="999999" w:sz="1"/>
              <w:bottom w:val="single" w:color="999999" w:sz="1"/>
              <w:right w:val="single" w:color="999999"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id_paiement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Paiement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18"/>
                <w:szCs w:val="18"/>
              </w:rPr>
              <w:t xml:space="preserve">id_police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 Police (FK)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montant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Montant CHF</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date_paiement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paiement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date_echeance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Date échéance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mode_paiement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Mode paiement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18"/>
                <w:szCs w:val="18"/>
              </w:rPr>
              <w:t xml:space="preserve">statut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Statut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r>
        <w:br w:type="page"/>
      </w:r>
    </w:p>
    <w:p>
      <w:pPr>
        <w:pStyle w:val="Heading2"/>
        <w:spacing w:after="150" w:before="300"/>
      </w:pPr>
      <w:r>
        <w:rPr>
          <w:rFonts w:ascii="Arial" w:cs="Arial" w:eastAsia="Arial" w:hAnsi="Arial"/>
          <w:b/>
          <w:bCs/>
          <w:sz w:val="28"/>
          <w:szCs w:val="28"/>
        </w:rPr>
        <w:t xml:space="preserve">4. Modèle Conceptuel de Données (MCD)</w:t>
      </w:r>
    </w:p>
    <w:p>
      <w:pPr>
        <w:spacing w:after="200"/>
      </w:pPr>
      <w:r>
        <w:rPr>
          <w:rFonts w:ascii="Arial" w:cs="Arial" w:eastAsia="Arial" w:hAnsi="Arial"/>
          <w:i/>
          <w:iCs/>
          <w:sz w:val="20"/>
          <w:szCs w:val="20"/>
        </w:rPr>
        <w:t xml:space="preserve">Dessinez le MCD Merise avec les entités, associations et cardinalités. Identifiez les CIF.</w:t>
      </w:r>
    </w:p>
    <w:p>
      <w:pPr>
        <w:pStyle w:val="Heading2"/>
        <w:spacing w:after="150" w:before="300"/>
      </w:pPr>
      <w:r>
        <w:rPr>
          <w:rFonts w:ascii="Arial" w:cs="Arial" w:eastAsia="Arial" w:hAnsi="Arial"/>
          <w:b/>
          <w:bCs/>
          <w:sz w:val="28"/>
          <w:szCs w:val="28"/>
        </w:rPr>
        <w:t xml:space="preserve">5. Modèle Logique de Données (MLD)</w:t>
      </w:r>
    </w:p>
    <w:p>
      <w:pPr>
        <w:spacing w:after="200"/>
      </w:pPr>
      <w:r>
        <w:rPr>
          <w:rFonts w:ascii="Arial" w:cs="Arial" w:eastAsia="Arial" w:hAnsi="Arial"/>
          <w:i/>
          <w:iCs/>
          <w:sz w:val="20"/>
          <w:szCs w:val="20"/>
        </w:rPr>
        <w:t xml:space="preserve">Dérivez le MLD à partir du MCD. Indiquez les PK et FK.</w:t>
      </w:r>
    </w:p>
    <w:p>
      <w:r>
        <w:br w:type="page"/>
      </w:r>
    </w:p>
    <w:p>
      <w:pPr>
        <w:pStyle w:val="Heading2"/>
        <w:spacing w:after="150" w:before="300"/>
      </w:pPr>
      <w:r>
        <w:rPr>
          <w:rFonts w:ascii="Arial" w:cs="Arial" w:eastAsia="Arial" w:hAnsi="Arial"/>
          <w:b/>
          <w:bCs/>
          <w:sz w:val="28"/>
          <w:szCs w:val="28"/>
        </w:rPr>
        <w:t xml:space="preserve">6. Exercices SQL — Manipulation des données</w:t>
      </w:r>
    </w:p>
    <w:p>
      <w:pPr>
        <w:spacing w:after="100" w:before="200"/>
      </w:pPr>
      <w:r>
        <w:rPr>
          <w:rFonts w:ascii="Arial" w:cs="Arial" w:eastAsia="Arial" w:hAnsi="Arial"/>
          <w:b/>
          <w:bCs/>
          <w:color w:val="0D47A1"/>
          <w:sz w:val="20"/>
          <w:szCs w:val="20"/>
        </w:rPr>
        <w:t xml:space="preserve">Exercice 1 </w:t>
      </w:r>
      <w:r>
        <w:rPr>
          <w:rFonts w:ascii="Arial" w:cs="Arial" w:eastAsia="Arial" w:hAnsi="Arial"/>
          <w:color w:val="999999"/>
          <w:sz w:val="18"/>
          <w:szCs w:val="18"/>
        </w:rPr>
        <w:t xml:space="preserve">[SELECT] </w:t>
      </w:r>
      <w:r>
        <w:rPr>
          <w:rFonts w:ascii="Arial" w:cs="Arial" w:eastAsia="Arial" w:hAnsi="Arial"/>
          <w:sz w:val="20"/>
          <w:szCs w:val="20"/>
        </w:rPr>
        <w:t xml:space="preserve">Types d'assurance avec domaine et primes.</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2 </w:t>
      </w:r>
      <w:r>
        <w:rPr>
          <w:rFonts w:ascii="Arial" w:cs="Arial" w:eastAsia="Arial" w:hAnsi="Arial"/>
          <w:color w:val="999999"/>
          <w:sz w:val="18"/>
          <w:szCs w:val="18"/>
        </w:rPr>
        <w:t xml:space="preserve">[WHERE] </w:t>
      </w:r>
      <w:r>
        <w:rPr>
          <w:rFonts w:ascii="Arial" w:cs="Arial" w:eastAsia="Arial" w:hAnsi="Arial"/>
          <w:sz w:val="20"/>
          <w:szCs w:val="20"/>
        </w:rPr>
        <w:t xml:space="preserve">Polices actives.</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3 </w:t>
      </w:r>
      <w:r>
        <w:rPr>
          <w:rFonts w:ascii="Arial" w:cs="Arial" w:eastAsia="Arial" w:hAnsi="Arial"/>
          <w:color w:val="999999"/>
          <w:sz w:val="18"/>
          <w:szCs w:val="18"/>
        </w:rPr>
        <w:t xml:space="preserve">[JOIN] </w:t>
      </w:r>
      <w:r>
        <w:rPr>
          <w:rFonts w:ascii="Arial" w:cs="Arial" w:eastAsia="Arial" w:hAnsi="Arial"/>
          <w:sz w:val="20"/>
          <w:szCs w:val="20"/>
        </w:rPr>
        <w:t xml:space="preserve">Polices avec nom client et type.</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4 </w:t>
      </w:r>
      <w:r>
        <w:rPr>
          <w:rFonts w:ascii="Arial" w:cs="Arial" w:eastAsia="Arial" w:hAnsi="Arial"/>
          <w:color w:val="999999"/>
          <w:sz w:val="18"/>
          <w:szCs w:val="18"/>
        </w:rPr>
        <w:t xml:space="preserve">[JOIN] </w:t>
      </w:r>
      <w:r>
        <w:rPr>
          <w:rFonts w:ascii="Arial" w:cs="Arial" w:eastAsia="Arial" w:hAnsi="Arial"/>
          <w:sz w:val="20"/>
          <w:szCs w:val="20"/>
        </w:rPr>
        <w:t xml:space="preserve">Sinistres avec client et type.</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5 </w:t>
      </w:r>
      <w:r>
        <w:rPr>
          <w:rFonts w:ascii="Arial" w:cs="Arial" w:eastAsia="Arial" w:hAnsi="Arial"/>
          <w:color w:val="999999"/>
          <w:sz w:val="18"/>
          <w:szCs w:val="18"/>
        </w:rPr>
        <w:t xml:space="preserve">[GROUP BY] </w:t>
      </w:r>
      <w:r>
        <w:rPr>
          <w:rFonts w:ascii="Arial" w:cs="Arial" w:eastAsia="Arial" w:hAnsi="Arial"/>
          <w:sz w:val="20"/>
          <w:szCs w:val="20"/>
        </w:rPr>
        <w:t xml:space="preserve">Portefeuille par courtier.</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p>
      <w:pPr>
        <w:spacing w:after="100" w:before="200"/>
      </w:pPr>
      <w:r>
        <w:rPr>
          <w:rFonts w:ascii="Arial" w:cs="Arial" w:eastAsia="Arial" w:hAnsi="Arial"/>
          <w:b/>
          <w:bCs/>
          <w:color w:val="0D47A1"/>
          <w:sz w:val="20"/>
          <w:szCs w:val="20"/>
        </w:rPr>
        <w:t xml:space="preserve">Exercice 6 </w:t>
      </w:r>
      <w:r>
        <w:rPr>
          <w:rFonts w:ascii="Arial" w:cs="Arial" w:eastAsia="Arial" w:hAnsi="Arial"/>
          <w:color w:val="999999"/>
          <w:sz w:val="18"/>
          <w:szCs w:val="18"/>
        </w:rPr>
        <w:t xml:space="preserve">[Dashboard] </w:t>
      </w:r>
      <w:r>
        <w:rPr>
          <w:rFonts w:ascii="Arial" w:cs="Arial" w:eastAsia="Arial" w:hAnsi="Arial"/>
          <w:sz w:val="20"/>
          <w:szCs w:val="20"/>
        </w:rPr>
        <w:t xml:space="preserve">Dashboard : clients, polices actives, CA primes, sinistres en cours.</w:t>
      </w:r>
    </w:p>
    <w:p>
      <w:pPr>
        <w:spacing w:after="50"/>
      </w:pPr>
      <w:r>
        <w:rPr>
          <w:rFonts w:ascii="Arial" w:cs="Arial" w:eastAsia="Arial" w:hAnsi="Arial"/>
          <w:i/>
          <w:iCs/>
          <w:color w:val="999999"/>
          <w:sz w:val="18"/>
          <w:szCs w:val="18"/>
        </w:rPr>
        <w:t xml:space="preserve">Votre requête :</w:t>
      </w:r>
    </w:p>
    <w:p>
      <w:pPr>
        <w:spacing w:after="150"/>
      </w:pPr>
      <w:r>
        <w:rPr>
          <w:rFonts w:ascii="Arial" w:cs="Arial" w:eastAsia="Arial" w:hAnsi="Arial"/>
          <w:sz w:val="18"/>
          <w:szCs w:val="18"/>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2026-03-24T14:05:06.140Z</dcterms:created>
  <dcterms:modified xsi:type="dcterms:W3CDTF">2026-03-24T14:05:06.140Z</dcterms:modified>
</cp:coreProperties>
</file>

<file path=docProps/custom.xml><?xml version="1.0" encoding="utf-8"?>
<Properties xmlns="http://schemas.openxmlformats.org/officeDocument/2006/custom-properties" xmlns:vt="http://schemas.openxmlformats.org/officeDocument/2006/docPropsVTypes"/>
</file>