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45309"/>
          <w:sz w:val="20"/>
          <w:szCs w:val="20"/>
        </w:rPr>
        <w:t xml:space="preserve">DAY 2</w:t>
      </w:r>
    </w:p>
    <w:p>
      <w:pPr>
        <w:spacing w:after="120"/>
      </w:pPr>
      <w:r>
        <w:rPr>
          <w:rFonts w:ascii="Arial" w:cs="Arial" w:eastAsia="Arial" w:hAnsi="Arial"/>
          <w:b/>
          <w:bCs/>
          <w:color w:val="1C1917"/>
          <w:sz w:val="52"/>
          <w:szCs w:val="52"/>
        </w:rPr>
        <w:t xml:space="preserve">Financial Statement Forecasting and Analysis</w:t>
      </w:r>
    </w:p>
    <w:p>
      <w:pPr>
        <w:spacing w:after="260"/>
      </w:pPr>
      <w:r>
        <w:rPr>
          <w:rFonts w:ascii="Arial" w:cs="Arial" w:eastAsia="Arial" w:hAnsi="Arial"/>
          <w:color w:val="78716C"/>
          <w:sz w:val="21"/>
          <w:szCs w:val="21"/>
        </w:rPr>
        <w:t xml:space="preserve">FMVA Certification Prep: Financial Modeling and Valuation Bootcamp · Lesson Forge Pro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Arial" w:cs="Arial" w:eastAsia="Arial" w:hAnsi="Arial"/>
                <w:b w:val="false"/>
                <w:bCs w:val="false"/>
                <w:color w:val="78716C"/>
                <w:sz w:val="21"/>
                <w:szCs w:val="21"/>
              </w:rPr>
              <w:t xml:space="preserve">This content is educational material only and does not constitute financial, investment, or trading advice.</w:t>
            </w:r>
          </w:p>
        </w:tc>
      </w:tr>
    </w:tbl>
    <w:p>
      <w:pPr>
        <w:spacing w:after="120"/>
      </w:pPr>
      <w:r>
        <w:rPr>
          <w:rFonts w:ascii="Arial" w:cs="Arial" w:eastAsia="Arial" w:hAnsi="Arial"/>
          <w:sz w:val="22"/>
          <w:szCs w:val="22"/>
        </w:rPr>
        <w:t xml:space="preserve">This chapter builds working competence in Financial Statement Forecasting and Analysis: the concepts, the standard procedure, and the judgment to apply it under exam conditions.</w:t>
      </w:r>
    </w:p>
    <w:p>
      <w:pPr>
        <w:pStyle w:val="Heading1"/>
        <w:spacing w:after="120" w:before="340"/>
      </w:pPr>
      <w:r>
        <w:rPr>
          <w:rFonts w:ascii="Arial" w:cs="Arial" w:eastAsia="Arial" w:hAnsi="Arial"/>
          <w:b/>
          <w:bCs/>
          <w:color w:val="B45309"/>
          <w:sz w:val="32"/>
          <w:szCs w:val="32"/>
        </w:rPr>
        <w:t xml:space="preserve">Concepts and vocabulary</w:t>
      </w:r>
    </w:p>
    <w:p>
      <w:pPr>
        <w:spacing w:after="120"/>
      </w:pPr>
      <w:r>
        <w:rPr>
          <w:rFonts w:ascii="Arial" w:cs="Arial" w:eastAsia="Arial" w:hAnsi="Arial"/>
          <w:sz w:val="22"/>
          <w:szCs w:val="22"/>
        </w:rPr>
        <w:t xml:space="preserve">Financial statement forecasting and analysis sits at the intersection of accounting, corporate finance, and strategic planning. Before building any model, practitioners must share a common language — a precise set of terms that transforms raw financial data into actionable insight.</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Core Definitions</w:t>
      </w:r>
    </w:p>
    <w:p>
      <w:pPr>
        <w:spacing w:after="120"/>
      </w:pPr>
      <w:r>
        <w:rPr>
          <w:rFonts w:ascii="Arial" w:cs="Arial" w:eastAsia="Arial" w:hAnsi="Arial"/>
          <w:sz w:val="22"/>
          <w:szCs w:val="22"/>
        </w:rPr>
        <w:t xml:space="preserve">Financial statements are formal, structured records of an entity's financial activities and position. The four primary statements are the income statement (revenues, expenses, and profit over a period), the balance sheet (assets, liabilities, and equity at a point in time), the cash flow statement (operating, investing, and financing cash movements), and the statement of changes in equity.</w:t>
      </w:r>
    </w:p>
    <w:p>
      <w:pPr>
        <w:spacing w:after="120"/>
      </w:pPr>
      <w:r>
        <w:rPr>
          <w:rFonts w:ascii="Arial" w:cs="Arial" w:eastAsia="Arial" w:hAnsi="Arial"/>
          <w:sz w:val="22"/>
          <w:szCs w:val="22"/>
        </w:rPr>
        <w:t xml:space="preserve">Financial statement forecasting is the process of projecting these statements into future periods using assumptions about growth, margins, working capital behavior, and capital expenditure. The output is typically called a pro forma financial statement — a forward-looking version of the historical reports.</w:t>
      </w:r>
    </w:p>
    <w:p>
      <w:pPr>
        <w:spacing w:after="120"/>
      </w:pPr>
      <w:r>
        <w:rPr>
          <w:rFonts w:ascii="Arial" w:cs="Arial" w:eastAsia="Arial" w:hAnsi="Arial"/>
          <w:sz w:val="22"/>
          <w:szCs w:val="22"/>
        </w:rPr>
        <w:t xml:space="preserve">A financial model is the spreadsheet-based or programmatic framework that houses those projections. It links assumptions to outputs through formulas, so that changing one input (say, revenue growth) automatically flows through all three statements in a consistent, integrated way.</w:t>
      </w:r>
    </w:p>
    <w:p>
      <w:pPr>
        <w:spacing w:after="120"/>
      </w:pPr>
      <w:r>
        <w:rPr>
          <w:rFonts w:ascii="Arial" w:cs="Arial" w:eastAsia="Arial" w:hAnsi="Arial"/>
          <w:sz w:val="22"/>
          <w:szCs w:val="22"/>
        </w:rPr>
        <w:t xml:space="preserve">Drivers are the key assumptions that power the model. Common drivers include:</w:t>
      </w:r>
    </w:p>
    <w:p>
      <w:pPr>
        <w:pStyle w:val="ListParagraph"/>
        <w:numPr>
          <w:ilvl w:val="0"/>
          <w:numId w:val="1"/>
        </w:numPr>
        <w:spacing w:after="40"/>
      </w:pPr>
      <w:r>
        <w:rPr>
          <w:rFonts w:ascii="Arial" w:cs="Arial" w:eastAsia="Arial" w:hAnsi="Arial"/>
          <w:sz w:val="22"/>
          <w:szCs w:val="22"/>
        </w:rPr>
        <w:t xml:space="preserve">Revenue growth rate — the percentage increase in top-line sales</w:t>
      </w:r>
    </w:p>
    <w:p>
      <w:pPr>
        <w:pStyle w:val="ListParagraph"/>
        <w:numPr>
          <w:ilvl w:val="0"/>
          <w:numId w:val="1"/>
        </w:numPr>
        <w:spacing w:after="40"/>
      </w:pPr>
      <w:r>
        <w:rPr>
          <w:rFonts w:ascii="Arial" w:cs="Arial" w:eastAsia="Arial" w:hAnsi="Arial"/>
          <w:sz w:val="22"/>
          <w:szCs w:val="22"/>
        </w:rPr>
        <w:t xml:space="preserve">Gross margin — gross profit divided by revenue</w:t>
      </w:r>
    </w:p>
    <w:p>
      <w:pPr>
        <w:pStyle w:val="ListParagraph"/>
        <w:numPr>
          <w:ilvl w:val="0"/>
          <w:numId w:val="1"/>
        </w:numPr>
        <w:spacing w:after="40"/>
      </w:pPr>
      <w:r>
        <w:rPr>
          <w:rFonts w:ascii="Arial" w:cs="Arial" w:eastAsia="Arial" w:hAnsi="Arial"/>
          <w:sz w:val="22"/>
          <w:szCs w:val="22"/>
        </w:rPr>
        <w:t xml:space="preserve">Days Sales Outstanding (DSO) — average collection period for receivables</w:t>
      </w:r>
    </w:p>
    <w:p>
      <w:pPr>
        <w:pStyle w:val="ListParagraph"/>
        <w:numPr>
          <w:ilvl w:val="0"/>
          <w:numId w:val="1"/>
        </w:numPr>
        <w:spacing w:after="40"/>
      </w:pPr>
      <w:r>
        <w:rPr>
          <w:rFonts w:ascii="Arial" w:cs="Arial" w:eastAsia="Arial" w:hAnsi="Arial"/>
          <w:sz w:val="22"/>
          <w:szCs w:val="22"/>
        </w:rPr>
        <w:t xml:space="preserve">Capital expenditure (CapEx) — spending on long-term assets</w:t>
      </w:r>
    </w:p>
    <w:p>
      <w:pPr>
        <w:spacing w:after="120"/>
      </w:pPr>
      <w:r>
        <w:rPr>
          <w:rFonts w:ascii="Arial" w:cs="Arial" w:eastAsia="Arial" w:hAnsi="Arial"/>
          <w:sz w:val="22"/>
          <w:szCs w:val="22"/>
        </w:rPr>
        <w:t xml:space="preserve">A base case is the most likely scenario; upside and downside cases stress-test the model by adjusting drivers optimistically or pessimistically.</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Where It Fits in Practice</w:t>
      </w:r>
    </w:p>
    <w:p>
      <w:pPr>
        <w:spacing w:after="120"/>
      </w:pPr>
      <w:r>
        <w:rPr>
          <w:rFonts w:ascii="Arial" w:cs="Arial" w:eastAsia="Arial" w:hAnsi="Arial"/>
          <w:sz w:val="22"/>
          <w:szCs w:val="22"/>
        </w:rPr>
        <w:t xml:space="preserve">Financial statement forecasting underpins virtually every high-stakes financial decision: equity valuation via discounted cash flow (DCF), credit analysis, mergers and acquisitions (M&amp;A) due diligence, leveraged buyout (LBO) modeling, budgeting and FP&amp;A (financial planning and analysis), and capital budgeting including weighted-average cost of capital (WACC) calculations. In entrepreneurial settings, pro forma statements communicate business viability to investors and lenders. In public companies, management discussion and analysis (MD&amp;A) sections of annual reports provide the narrative context that forecasters use to calibrate their assumptions.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Notation</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Each step feeds the next; changing one driver flows through all statements.</w:t>
      </w:r>
    </w:p>
    <w:p>
      <w:pPr>
        <w:spacing w:after="120"/>
      </w:pPr>
      <w:r>
        <w:rPr>
          <w:rFonts w:ascii="Arial" w:cs="Arial" w:eastAsia="Arial" w:hAnsi="Arial"/>
          <w:sz w:val="22"/>
          <w:szCs w:val="22"/>
        </w:rPr>
        <w:t xml:space="preserve">Consistent notation prevents errors and aids review. Standard conventions include:</w:t>
      </w:r>
    </w:p>
    <w:p>
      <w:pPr>
        <w:spacing w:after="120"/>
      </w:pPr>
      <w:r>
        <w:rPr>
          <w:rFonts w:ascii="Arial" w:cs="Arial" w:eastAsia="Arial" w:hAnsi="Arial"/>
          <w:sz w:val="22"/>
          <w:szCs w:val="22"/>
        </w:rPr>
        <w:t xml:space="preserve">| Symbol | Meaning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t | Current forecast period |</w:t>
      </w:r>
    </w:p>
    <w:p>
      <w:pPr>
        <w:spacing w:after="120"/>
      </w:pPr>
      <w:r>
        <w:rPr>
          <w:rFonts w:ascii="Arial" w:cs="Arial" w:eastAsia="Arial" w:hAnsi="Arial"/>
          <w:sz w:val="22"/>
          <w:szCs w:val="22"/>
        </w:rPr>
        <w:t xml:space="preserve">| t-1 | Prior period (historical anchor) |</w:t>
      </w:r>
    </w:p>
    <w:p>
      <w:pPr>
        <w:spacing w:after="120"/>
      </w:pPr>
      <w:r>
        <w:rPr>
          <w:rFonts w:ascii="Arial" w:cs="Arial" w:eastAsia="Arial" w:hAnsi="Arial"/>
          <w:sz w:val="22"/>
          <w:szCs w:val="22"/>
        </w:rPr>
        <w:t xml:space="preserve">| g | Growth rate |</w:t>
      </w:r>
    </w:p>
    <w:p>
      <w:pPr>
        <w:spacing w:after="120"/>
      </w:pPr>
      <w:r>
        <w:rPr>
          <w:rFonts w:ascii="Arial" w:cs="Arial" w:eastAsia="Arial" w:hAnsi="Arial"/>
          <w:sz w:val="22"/>
          <w:szCs w:val="22"/>
        </w:rPr>
        <w:t xml:space="preserve">| EBIT | Earnings before interest and taxes |</w:t>
      </w:r>
    </w:p>
    <w:p>
      <w:pPr>
        <w:spacing w:after="120"/>
      </w:pPr>
      <w:r>
        <w:rPr>
          <w:rFonts w:ascii="Arial" w:cs="Arial" w:eastAsia="Arial" w:hAnsi="Arial"/>
          <w:sz w:val="22"/>
          <w:szCs w:val="22"/>
        </w:rPr>
        <w:t xml:space="preserve">| EBITDA | EBIT plus depreciation and amortization |</w:t>
      </w:r>
    </w:p>
    <w:p>
      <w:pPr>
        <w:spacing w:after="120"/>
      </w:pPr>
      <w:r>
        <w:rPr>
          <w:rFonts w:ascii="Arial" w:cs="Arial" w:eastAsia="Arial" w:hAnsi="Arial"/>
          <w:sz w:val="22"/>
          <w:szCs w:val="22"/>
        </w:rPr>
        <w:t xml:space="preserve">| NWC | Net working capital |</w:t>
      </w:r>
    </w:p>
    <w:p>
      <w:pPr>
        <w:spacing w:after="120"/>
      </w:pPr>
      <w:r>
        <w:rPr>
          <w:rFonts w:ascii="Arial" w:cs="Arial" w:eastAsia="Arial" w:hAnsi="Arial"/>
          <w:sz w:val="22"/>
          <w:szCs w:val="22"/>
        </w:rPr>
        <w:t xml:space="preserve">| FCF | Free cash flow |</w:t>
      </w:r>
    </w:p>
    <w:p>
      <w:pPr>
        <w:spacing w:after="120"/>
      </w:pPr>
      <w:r>
        <w:rPr>
          <w:rFonts w:ascii="Arial" w:cs="Arial" w:eastAsia="Arial" w:hAnsi="Arial"/>
          <w:sz w:val="22"/>
          <w:szCs w:val="22"/>
        </w:rPr>
        <w:t xml:space="preserve">The core linkage formula connecting the income statement to the balance sheet through cash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Ending Cash = Beginning Cash + CFO + CFI + CFF</w:t>
            </w:r>
          </w:p>
        </w:tc>
      </w:tr>
    </w:tbl>
    <w:p>
      <w:pPr>
        <w:spacing w:after="120"/>
      </w:pPr>
      <w:r>
        <w:rPr>
          <w:rFonts w:ascii="Arial" w:cs="Arial" w:eastAsia="Arial" w:hAnsi="Arial"/>
          <w:sz w:val="22"/>
          <w:szCs w:val="22"/>
        </w:rPr>
        <w:t xml:space="preserve">where CFO, CFI, and CFF are cash flows from operating, investing, and financing activities, respectively.</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Example: Terminology Applied to a Mini Scenario</w:t>
      </w:r>
    </w:p>
    <w:p>
      <w:pPr>
        <w:spacing w:after="120"/>
      </w:pPr>
      <w:r>
        <w:rPr>
          <w:rFonts w:ascii="Arial" w:cs="Arial" w:eastAsia="Arial" w:hAnsi="Arial"/>
          <w:sz w:val="22"/>
          <w:szCs w:val="22"/>
        </w:rPr>
        <w:t xml:space="preserve">Scenario: Maple Ridge Manufacturing had revenue of $4,000,000 in Year 0. Management expects a revenue growth rate (g) of 10% in Year 1. The gross margin is assumed to hold steady at 40%, and operating expenses (excluding COGS) are projected at $800,000.</w:t>
      </w:r>
    </w:p>
    <w:p>
      <w:pPr>
        <w:spacing w:after="120"/>
      </w:pPr>
      <w:r>
        <w:rPr>
          <w:rFonts w:ascii="Arial" w:cs="Arial" w:eastAsia="Arial" w:hAnsi="Arial"/>
          <w:sz w:val="22"/>
          <w:szCs w:val="22"/>
        </w:rPr>
        <w:t xml:space="preserve">Step 1 — Forecast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Revenue(t) = Revenue(t-1) × (1 + 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Revenue(Year 1) = $4,000,000 × 1.10 = $4,400,000</w:t>
            </w:r>
          </w:p>
        </w:tc>
      </w:tr>
    </w:tbl>
    <w:p>
      <w:pPr>
        <w:spacing w:after="120"/>
      </w:pPr>
      <w:r>
        <w:rPr>
          <w:rFonts w:ascii="Arial" w:cs="Arial" w:eastAsia="Arial" w:hAnsi="Arial"/>
          <w:sz w:val="22"/>
          <w:szCs w:val="22"/>
        </w:rPr>
        <w:t xml:space="preserve">Step 2 — Calculate gross profit using the gross margin driver.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Gross Profit = Revenue × Gross Margin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Gross Profit = $4,400,000 × 0.40 = $1,760,000</w:t>
            </w:r>
          </w:p>
        </w:tc>
      </w:tr>
    </w:tbl>
    <w:p>
      <w:pPr>
        <w:spacing w:after="120"/>
      </w:pPr>
      <w:r>
        <w:rPr>
          <w:rFonts w:ascii="Arial" w:cs="Arial" w:eastAsia="Arial" w:hAnsi="Arial"/>
          <w:sz w:val="22"/>
          <w:szCs w:val="22"/>
        </w:rPr>
        <w:t xml:space="preserve">Step 3 — Derive COGS as the complement.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COGS = Revenue − Gross Profit = $4,400,000 − $1,760,000 = $2,640,000</w:t>
            </w:r>
          </w:p>
        </w:tc>
      </w:tr>
    </w:tbl>
    <w:p>
      <w:pPr>
        <w:spacing w:after="120"/>
      </w:pPr>
      <w:r>
        <w:rPr>
          <w:rFonts w:ascii="Arial" w:cs="Arial" w:eastAsia="Arial" w:hAnsi="Arial"/>
          <w:sz w:val="22"/>
          <w:szCs w:val="22"/>
        </w:rPr>
        <w:t xml:space="preserve">Step 4 — Calculate EBIT.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EBIT = Gross Profit − Operating Expenses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EBIT = $1,760,000 − $800,000 = $960,000</w:t>
            </w:r>
          </w:p>
        </w:tc>
      </w:tr>
    </w:tbl>
    <w:p>
      <w:pPr>
        <w:spacing w:after="120"/>
      </w:pPr>
      <w:r>
        <w:rPr>
          <w:rFonts w:ascii="Arial" w:cs="Arial" w:eastAsia="Arial" w:hAnsi="Arial"/>
          <w:sz w:val="22"/>
          <w:szCs w:val="22"/>
        </w:rPr>
        <w:t xml:space="preserve">This single-period income statement projection is the base case pro forma. Every number traces back to two drivers — the growth rate and the gross margin — illustrating how a financial model converts assumptions into structured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Analysts sometimes apply the growth rate to gross profit rather than to revenue, which implicitly changes the gross margin assumption without realizing it. Always anchor percentage-based drivers to the correct base line item, and verify that margins are consistent period over period unless a deliberate change is modeled.</w:t>
            </w:r>
          </w:p>
        </w:tc>
      </w:tr>
    </w:tbl>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Mastering these definitions and the notation that accompanies them is the essential first step. Every advanced technique — scenario analysis, DCF valuation, credit modeling — is simply an extension of these building blocks applied with greater complexity and rigor.</w:t>
      </w:r>
    </w:p>
    <w:p>
      <w:pPr>
        <w:pStyle w:val="Heading1"/>
        <w:spacing w:after="120" w:before="340"/>
      </w:pPr>
      <w:r>
        <w:rPr>
          <w:rFonts w:ascii="Arial" w:cs="Arial" w:eastAsia="Arial" w:hAnsi="Arial"/>
          <w:b/>
          <w:bCs/>
          <w:color w:val="B45309"/>
          <w:sz w:val="32"/>
          <w:szCs w:val="32"/>
        </w:rPr>
        <w:t xml:space="preserve">The standard procedure</w:t>
      </w:r>
    </w:p>
    <w:p>
      <w:pPr>
        <w:spacing w:after="120"/>
      </w:pPr>
      <w:r>
        <w:rPr>
          <w:rFonts w:ascii="Arial" w:cs="Arial" w:eastAsia="Arial" w:hAnsi="Arial"/>
          <w:sz w:val="22"/>
          <w:szCs w:val="22"/>
        </w:rPr>
        <w:t xml:space="preserve">Financial statement forecasting follows a disciplined, repeatable procedure. Master the sequence once, and you can apply it to any company, any industry, any forecast horizon.</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Inputs</w:t>
      </w:r>
    </w:p>
    <w:p>
      <w:pPr>
        <w:spacing w:after="120"/>
      </w:pPr>
      <w:r>
        <w:rPr>
          <w:rFonts w:ascii="Arial" w:cs="Arial" w:eastAsia="Arial" w:hAnsi="Arial"/>
          <w:sz w:val="22"/>
          <w:szCs w:val="22"/>
        </w:rPr>
        <w:t xml:space="preserve">Before touching a single formula, gather three categories of inputs:</w:t>
      </w:r>
    </w:p>
    <w:p>
      <w:pPr>
        <w:pStyle w:val="ListParagraph"/>
        <w:numPr>
          <w:ilvl w:val="0"/>
          <w:numId w:val="1"/>
        </w:numPr>
        <w:spacing w:after="40"/>
      </w:pPr>
      <w:r>
        <w:rPr>
          <w:rFonts w:ascii="Arial" w:cs="Arial" w:eastAsia="Arial" w:hAnsi="Arial"/>
          <w:sz w:val="22"/>
          <w:szCs w:val="22"/>
        </w:rPr>
        <w:t xml:space="preserve">Historical financial statements — at minimum three years of income statements, balance sheets, and cash flow statements. Five years is preferable for identifying trends.</w:t>
      </w:r>
    </w:p>
    <w:p>
      <w:pPr>
        <w:pStyle w:val="ListParagraph"/>
        <w:numPr>
          <w:ilvl w:val="0"/>
          <w:numId w:val="1"/>
        </w:numPr>
        <w:spacing w:after="40"/>
      </w:pPr>
      <w:r>
        <w:rPr>
          <w:rFonts w:ascii="Arial" w:cs="Arial" w:eastAsia="Arial" w:hAnsi="Arial"/>
          <w:sz w:val="22"/>
          <w:szCs w:val="22"/>
        </w:rPr>
        <w:t xml:space="preserve">Operational assumptions — revenue growth rates, gross margin targets, headcount plans, capital expenditure schedules, and working capital policies. These come from management guidance, industry benchmarks, and your own analysis.</w:t>
      </w:r>
    </w:p>
    <w:p>
      <w:pPr>
        <w:pStyle w:val="ListParagraph"/>
        <w:numPr>
          <w:ilvl w:val="0"/>
          <w:numId w:val="1"/>
        </w:numPr>
        <w:spacing w:after="40"/>
      </w:pPr>
      <w:r>
        <w:rPr>
          <w:rFonts w:ascii="Arial" w:cs="Arial" w:eastAsia="Arial" w:hAnsi="Arial"/>
          <w:sz w:val="22"/>
          <w:szCs w:val="22"/>
        </w:rPr>
        <w:t xml:space="preserve">Financing assumptions — target debt levels, interest rates on existing and new debt, dividend policy, and any planned equity issuances.</w:t>
      </w:r>
    </w:p>
    <w:p>
      <w:pPr>
        <w:spacing w:after="120"/>
      </w:pPr>
      <w:r>
        <w:rPr>
          <w:rFonts w:ascii="Arial" w:cs="Arial" w:eastAsia="Arial" w:hAnsi="Arial"/>
          <w:sz w:val="22"/>
          <w:szCs w:val="22"/>
        </w:rPr>
        <w:t xml:space="preserve">Quality inputs produce quality forecasts. Garbage in, garbage out is nowhere more painfully true than in financial modeling.</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The Standard Steps</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All figures derive from just two drivers: 10% growth rate and 40% gross margin.</w:t>
      </w:r>
    </w:p>
    <w:p>
      <w:pPr>
        <w:spacing w:after="120"/>
      </w:pPr>
      <w:r>
        <w:rPr>
          <w:rFonts w:ascii="Arial" w:cs="Arial" w:eastAsia="Arial" w:hAnsi="Arial"/>
          <w:sz w:val="22"/>
          <w:szCs w:val="22"/>
        </w:rPr>
        <w:t xml:space="preserve">Step 1 — Forecast Revenue.</w:t>
      </w:r>
    </w:p>
    <w:p>
      <w:pPr>
        <w:spacing w:after="120"/>
      </w:pPr>
      <w:r>
        <w:rPr>
          <w:rFonts w:ascii="Arial" w:cs="Arial" w:eastAsia="Arial" w:hAnsi="Arial"/>
          <w:sz w:val="22"/>
          <w:szCs w:val="22"/>
        </w:rPr>
        <w:t xml:space="preserve">Revenue is the engine that drives almost every other line item. Apply your chosen growth rate to the most recent actual revenue figure. Document your rationale.</w:t>
      </w:r>
    </w:p>
    <w:p>
      <w:pPr>
        <w:spacing w:after="120"/>
      </w:pPr>
      <w:r>
        <w:rPr>
          <w:rFonts w:ascii="Arial" w:cs="Arial" w:eastAsia="Arial" w:hAnsi="Arial"/>
          <w:sz w:val="22"/>
          <w:szCs w:val="22"/>
        </w:rPr>
        <w:t xml:space="preserve">Step 2 — Forecast the Income Statement.</w:t>
      </w:r>
    </w:p>
    <w:p>
      <w:pPr>
        <w:spacing w:after="120"/>
      </w:pPr>
      <w:r>
        <w:rPr>
          <w:rFonts w:ascii="Arial" w:cs="Arial" w:eastAsia="Arial" w:hAnsi="Arial"/>
          <w:sz w:val="22"/>
          <w:szCs w:val="22"/>
        </w:rPr>
        <w:t xml:space="preserve">Work top-to-bottom. Project COGS using a gross margin assumption, then operating expenses as a percentage of revenue or as fixed amounts, arriving at EBIT. Subtract interest expense (linked to the debt schedule) and taxes to reach net income.</w:t>
      </w:r>
    </w:p>
    <w:p>
      <w:pPr>
        <w:spacing w:after="120"/>
      </w:pPr>
      <w:r>
        <w:rPr>
          <w:rFonts w:ascii="Arial" w:cs="Arial" w:eastAsia="Arial" w:hAnsi="Arial"/>
          <w:sz w:val="22"/>
          <w:szCs w:val="22"/>
        </w:rPr>
        <w:t xml:space="preserve">Step 3 — Forecast the Balance Sheet.</w:t>
      </w:r>
    </w:p>
    <w:p>
      <w:pPr>
        <w:spacing w:after="120"/>
      </w:pPr>
      <w:r>
        <w:rPr>
          <w:rFonts w:ascii="Arial" w:cs="Arial" w:eastAsia="Arial" w:hAnsi="Arial"/>
          <w:sz w:val="22"/>
          <w:szCs w:val="22"/>
        </w:rPr>
        <w:t xml:space="preserve">Use driver-based relationships. Accounts receivable, inventory, and accounts payable are typically expressed as days-outstanding metrics tied to revenue or COGS. PP&amp;E rolls forward: Ending PP&amp;E = Beginning PP&amp;E + CapEx − Depreciation.</w:t>
      </w:r>
    </w:p>
    <w:p>
      <w:pPr>
        <w:spacing w:after="120"/>
      </w:pPr>
      <w:r>
        <w:rPr>
          <w:rFonts w:ascii="Arial" w:cs="Arial" w:eastAsia="Arial" w:hAnsi="Arial"/>
          <w:sz w:val="22"/>
          <w:szCs w:val="22"/>
        </w:rPr>
        <w:t xml:space="preserve">Step 4 — Build the Debt and Interest Schedule.</w:t>
      </w:r>
    </w:p>
    <w:p>
      <w:pPr>
        <w:spacing w:after="120"/>
      </w:pPr>
      <w:r>
        <w:rPr>
          <w:rFonts w:ascii="Arial" w:cs="Arial" w:eastAsia="Arial" w:hAnsi="Arial"/>
          <w:sz w:val="22"/>
          <w:szCs w:val="22"/>
        </w:rPr>
        <w:t xml:space="preserve">Model beginning debt balances, new borrowings, repayments, and ending balances. Calculate interest expense as Interest Expense = Average Debt Balance × Interest Rate. Feed this back into the income statement.</w:t>
      </w:r>
    </w:p>
    <w:p>
      <w:pPr>
        <w:spacing w:after="120"/>
      </w:pPr>
      <w:r>
        <w:rPr>
          <w:rFonts w:ascii="Arial" w:cs="Arial" w:eastAsia="Arial" w:hAnsi="Arial"/>
          <w:sz w:val="22"/>
          <w:szCs w:val="22"/>
        </w:rPr>
        <w:t xml:space="preserve">Step 5 — Derive the Cash Flow Statement.</w:t>
      </w:r>
    </w:p>
    <w:p>
      <w:pPr>
        <w:spacing w:after="120"/>
      </w:pPr>
      <w:r>
        <w:rPr>
          <w:rFonts w:ascii="Arial" w:cs="Arial" w:eastAsia="Arial" w:hAnsi="Arial"/>
          <w:sz w:val="22"/>
          <w:szCs w:val="22"/>
        </w:rPr>
        <w:t xml:space="preserve">Start with net income, add back non-cash charges (depreciation, amortization), adjust for working capital changes, subtract CapEx, and account for financing flows. The ending cash balance must equal the cash line on the balance sheet.</w:t>
      </w:r>
    </w:p>
    <w:p>
      <w:pPr>
        <w:spacing w:after="120"/>
      </w:pPr>
      <w:r>
        <w:rPr>
          <w:rFonts w:ascii="Arial" w:cs="Arial" w:eastAsia="Arial" w:hAnsi="Arial"/>
          <w:sz w:val="22"/>
          <w:szCs w:val="22"/>
        </w:rPr>
        <w:t xml:space="preserve">Step 6 — Close the Balance Sheet with the Plug.</w:t>
      </w:r>
    </w:p>
    <w:p>
      <w:pPr>
        <w:spacing w:after="120"/>
      </w:pPr>
      <w:r>
        <w:rPr>
          <w:rFonts w:ascii="Arial" w:cs="Arial" w:eastAsia="Arial" w:hAnsi="Arial"/>
          <w:sz w:val="22"/>
          <w:szCs w:val="22"/>
        </w:rPr>
        <w:t xml:space="preserve">The balance sheet must balance. Retained earnings increases by net income and decreases by dividends: Ending Retained Earnings = Beginning Retained Earnings + Net Income − Dividends. Cash (or revolver debt) typically serves as the balancing plug.</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Example</w:t>
      </w:r>
    </w:p>
    <w:p>
      <w:pPr>
        <w:spacing w:after="120"/>
      </w:pPr>
      <w:r>
        <w:rPr>
          <w:rFonts w:ascii="Arial" w:cs="Arial" w:eastAsia="Arial" w:hAnsi="Arial"/>
          <w:sz w:val="22"/>
          <w:szCs w:val="22"/>
        </w:rPr>
        <w:t xml:space="preserve">Company: Ridgeline Manufacturing — Year 1 Forecast</w:t>
      </w:r>
    </w:p>
    <w:p>
      <w:pPr>
        <w:spacing w:after="120"/>
      </w:pPr>
      <w:r>
        <w:rPr>
          <w:rFonts w:ascii="Arial" w:cs="Arial" w:eastAsia="Arial" w:hAnsi="Arial"/>
          <w:sz w:val="22"/>
          <w:szCs w:val="22"/>
        </w:rPr>
        <w:t xml:space="preserve">| Historical Item | Actual Year 0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Revenue | $10,000,000 |</w:t>
      </w:r>
    </w:p>
    <w:p>
      <w:pPr>
        <w:spacing w:after="120"/>
      </w:pPr>
      <w:r>
        <w:rPr>
          <w:rFonts w:ascii="Arial" w:cs="Arial" w:eastAsia="Arial" w:hAnsi="Arial"/>
          <w:sz w:val="22"/>
          <w:szCs w:val="22"/>
        </w:rPr>
        <w:t xml:space="preserve">| Gross Margin | 40% |</w:t>
      </w:r>
    </w:p>
    <w:p>
      <w:pPr>
        <w:spacing w:after="120"/>
      </w:pPr>
      <w:r>
        <w:rPr>
          <w:rFonts w:ascii="Arial" w:cs="Arial" w:eastAsia="Arial" w:hAnsi="Arial"/>
          <w:sz w:val="22"/>
          <w:szCs w:val="22"/>
        </w:rPr>
        <w:t xml:space="preserve">| Operating Expenses | $2,200,000 |</w:t>
      </w:r>
    </w:p>
    <w:p>
      <w:pPr>
        <w:spacing w:after="120"/>
      </w:pPr>
      <w:r>
        <w:rPr>
          <w:rFonts w:ascii="Arial" w:cs="Arial" w:eastAsia="Arial" w:hAnsi="Arial"/>
          <w:sz w:val="22"/>
          <w:szCs w:val="22"/>
        </w:rPr>
        <w:t xml:space="preserve">| Debt | $3,000,000 at 6% |</w:t>
      </w:r>
    </w:p>
    <w:p>
      <w:pPr>
        <w:spacing w:after="120"/>
      </w:pPr>
      <w:r>
        <w:rPr>
          <w:rFonts w:ascii="Arial" w:cs="Arial" w:eastAsia="Arial" w:hAnsi="Arial"/>
          <w:sz w:val="22"/>
          <w:szCs w:val="22"/>
        </w:rPr>
        <w:t xml:space="preserve">| DSO (Accounts Receivable) | 45 days |</w:t>
      </w:r>
    </w:p>
    <w:p>
      <w:pPr>
        <w:spacing w:after="120"/>
      </w:pPr>
      <w:r>
        <w:rPr>
          <w:rFonts w:ascii="Arial" w:cs="Arial" w:eastAsia="Arial" w:hAnsi="Arial"/>
          <w:sz w:val="22"/>
          <w:szCs w:val="22"/>
        </w:rPr>
        <w:t xml:space="preserve">| CapEx | $500,000 |</w:t>
      </w:r>
    </w:p>
    <w:p>
      <w:pPr>
        <w:spacing w:after="120"/>
      </w:pPr>
      <w:r>
        <w:rPr>
          <w:rFonts w:ascii="Arial" w:cs="Arial" w:eastAsia="Arial" w:hAnsi="Arial"/>
          <w:sz w:val="22"/>
          <w:szCs w:val="22"/>
        </w:rPr>
        <w:t xml:space="preserve">| Depreciation | $300,000 |</w:t>
      </w:r>
    </w:p>
    <w:p>
      <w:pPr>
        <w:spacing w:after="120"/>
      </w:pPr>
      <w:r>
        <w:rPr>
          <w:rFonts w:ascii="Arial" w:cs="Arial" w:eastAsia="Arial" w:hAnsi="Arial"/>
          <w:sz w:val="22"/>
          <w:szCs w:val="22"/>
        </w:rPr>
        <w:t xml:space="preserve">| Tax Rate | 25% |</w:t>
      </w:r>
    </w:p>
    <w:p>
      <w:pPr>
        <w:spacing w:after="120"/>
      </w:pPr>
      <w:r>
        <w:rPr>
          <w:rFonts w:ascii="Arial" w:cs="Arial" w:eastAsia="Arial" w:hAnsi="Arial"/>
          <w:sz w:val="22"/>
          <w:szCs w:val="22"/>
        </w:rPr>
        <w:t xml:space="preserve">Assumption: Revenue grows 8%.</w:t>
      </w:r>
    </w:p>
    <w:p>
      <w:pPr>
        <w:spacing w:after="120"/>
      </w:pPr>
      <w:r>
        <w:rPr>
          <w:rFonts w:ascii="Arial" w:cs="Arial" w:eastAsia="Arial" w:hAnsi="Arial"/>
          <w:sz w:val="22"/>
          <w:szCs w:val="22"/>
        </w:rPr>
        <w:t xml:space="preserve">Step 1 — Revenue: $10,000,000 × 1.08 = $10,800,000</w:t>
      </w:r>
    </w:p>
    <w:p>
      <w:pPr>
        <w:spacing w:after="120"/>
      </w:pPr>
      <w:r>
        <w:rPr>
          <w:rFonts w:ascii="Arial" w:cs="Arial" w:eastAsia="Arial" w:hAnsi="Arial"/>
          <w:sz w:val="22"/>
          <w:szCs w:val="22"/>
        </w:rPr>
        <w:t xml:space="preserve">Step 2 — Income Statement:</w:t>
      </w:r>
    </w:p>
    <w:p>
      <w:pPr>
        <w:pStyle w:val="ListParagraph"/>
        <w:numPr>
          <w:ilvl w:val="0"/>
          <w:numId w:val="1"/>
        </w:numPr>
        <w:spacing w:after="40"/>
      </w:pPr>
      <w:r>
        <w:rPr>
          <w:rFonts w:ascii="Arial" w:cs="Arial" w:eastAsia="Arial" w:hAnsi="Arial"/>
          <w:sz w:val="22"/>
          <w:szCs w:val="22"/>
        </w:rPr>
        <w:t xml:space="preserve">Gross Profit: $10,800,000 × 40% = $4,320,000</w:t>
      </w:r>
    </w:p>
    <w:p>
      <w:pPr>
        <w:pStyle w:val="ListParagraph"/>
        <w:numPr>
          <w:ilvl w:val="0"/>
          <w:numId w:val="1"/>
        </w:numPr>
        <w:spacing w:after="40"/>
      </w:pPr>
      <w:r>
        <w:rPr>
          <w:rFonts w:ascii="Arial" w:cs="Arial" w:eastAsia="Arial" w:hAnsi="Arial"/>
          <w:sz w:val="22"/>
          <w:szCs w:val="22"/>
        </w:rPr>
        <w:t xml:space="preserve">EBIT: $4,320,000 − $2,200,000 = $2,120,000</w:t>
      </w:r>
    </w:p>
    <w:p>
      <w:pPr>
        <w:pStyle w:val="ListParagraph"/>
        <w:numPr>
          <w:ilvl w:val="0"/>
          <w:numId w:val="1"/>
        </w:numPr>
        <w:spacing w:after="40"/>
      </w:pPr>
      <w:r>
        <w:rPr>
          <w:rFonts w:ascii="Arial" w:cs="Arial" w:eastAsia="Arial" w:hAnsi="Arial"/>
          <w:sz w:val="22"/>
          <w:szCs w:val="22"/>
        </w:rPr>
        <w:t xml:space="preserve">Interest Expense: $3,000,000 × 6% = $180,000</w:t>
      </w:r>
    </w:p>
    <w:p>
      <w:pPr>
        <w:pStyle w:val="ListParagraph"/>
        <w:numPr>
          <w:ilvl w:val="0"/>
          <w:numId w:val="1"/>
        </w:numPr>
        <w:spacing w:after="40"/>
      </w:pPr>
      <w:r>
        <w:rPr>
          <w:rFonts w:ascii="Arial" w:cs="Arial" w:eastAsia="Arial" w:hAnsi="Arial"/>
          <w:sz w:val="22"/>
          <w:szCs w:val="22"/>
        </w:rPr>
        <w:t xml:space="preserve">EBT: $2,120,000 − $180,000 = $1,940,000</w:t>
      </w:r>
    </w:p>
    <w:p>
      <w:pPr>
        <w:pStyle w:val="ListParagraph"/>
        <w:numPr>
          <w:ilvl w:val="0"/>
          <w:numId w:val="1"/>
        </w:numPr>
        <w:spacing w:after="40"/>
      </w:pPr>
      <w:r>
        <w:rPr>
          <w:rFonts w:ascii="Arial" w:cs="Arial" w:eastAsia="Arial" w:hAnsi="Arial"/>
          <w:sz w:val="22"/>
          <w:szCs w:val="22"/>
        </w:rPr>
        <w:t xml:space="preserve">Tax: $1,940,000 × 25% = $485,000</w:t>
      </w:r>
    </w:p>
    <w:p>
      <w:pPr>
        <w:pStyle w:val="ListParagraph"/>
        <w:numPr>
          <w:ilvl w:val="0"/>
          <w:numId w:val="1"/>
        </w:numPr>
        <w:spacing w:after="40"/>
      </w:pPr>
      <w:r>
        <w:rPr>
          <w:rFonts w:ascii="Arial" w:cs="Arial" w:eastAsia="Arial" w:hAnsi="Arial"/>
          <w:sz w:val="22"/>
          <w:szCs w:val="22"/>
        </w:rPr>
        <w:t xml:space="preserve">Net Income: $1,455,000</w:t>
      </w:r>
    </w:p>
    <w:p>
      <w:pPr>
        <w:spacing w:after="120"/>
      </w:pPr>
      <w:r>
        <w:rPr>
          <w:rFonts w:ascii="Arial" w:cs="Arial" w:eastAsia="Arial" w:hAnsi="Arial"/>
          <w:sz w:val="22"/>
          <w:szCs w:val="22"/>
        </w:rPr>
        <w:t xml:space="preserve">Step 3 — Accounts Receivable: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AR = (Revenue ÷ 365) × DSO = ($10,800,000 ÷ 365) × 45 = $1,331,507</w:t>
            </w:r>
          </w:p>
        </w:tc>
      </w:tr>
    </w:tbl>
    <w:p>
      <w:pPr>
        <w:spacing w:after="120"/>
      </w:pPr>
      <w:r>
        <w:rPr>
          <w:rFonts w:ascii="Arial" w:cs="Arial" w:eastAsia="Arial" w:hAnsi="Arial"/>
          <w:sz w:val="22"/>
          <w:szCs w:val="22"/>
        </w:rPr>
        <w:t xml:space="preserve">Step 4 — PP&amp;E: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Ending PP&amp;E = $2,000,000 + $500,000 − $300,000 = $2,200,000</w:t>
            </w:r>
          </w:p>
        </w:tc>
      </w:tr>
    </w:tbl>
    <w:p>
      <w:pPr>
        <w:spacing w:after="120"/>
      </w:pPr>
      <w:r>
        <w:rPr>
          <w:rFonts w:ascii="Arial" w:cs="Arial" w:eastAsia="Arial" w:hAnsi="Arial"/>
          <w:sz w:val="22"/>
          <w:szCs w:val="22"/>
        </w:rPr>
        <w:t xml:space="preserve">Step 5 — Cash Flow (simplified):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Operating CF = $1,455,000 + $300,000 = $1,755,000</w:t>
            </w:r>
          </w:p>
        </w:tc>
      </w:tr>
    </w:tbl>
    <w:p>
      <w:pPr>
        <w:spacing w:after="120"/>
      </w:pPr>
      <w:r>
        <w:rPr>
          <w:rFonts w:ascii="Arial" w:cs="Arial" w:eastAsia="Arial" w:hAnsi="Arial"/>
          <w:sz w:val="22"/>
          <w:szCs w:val="22"/>
        </w:rPr>
        <w:t xml:space="preserve">After CapEx: $1,755,000 − $500,000 = $1,255,000 available to strengthen the cash position.</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Outputs and Checks</w:t>
      </w:r>
    </w:p>
    <w:p>
      <w:pPr>
        <w:spacing w:after="120"/>
      </w:pPr>
      <w:r>
        <w:rPr>
          <w:rFonts w:ascii="Arial" w:cs="Arial" w:eastAsia="Arial" w:hAnsi="Arial"/>
          <w:sz w:val="22"/>
          <w:szCs w:val="22"/>
        </w:rPr>
        <w:t xml:space="preserve">Your deliverables are a projected income statement, balance sheet, and cash flow statement. Before presenting any model, run these integrity checks:</w:t>
      </w:r>
    </w:p>
    <w:p>
      <w:pPr>
        <w:pStyle w:val="ListParagraph"/>
        <w:numPr>
          <w:ilvl w:val="0"/>
          <w:numId w:val="1"/>
        </w:numPr>
        <w:spacing w:after="40"/>
      </w:pPr>
      <w:r>
        <w:rPr>
          <w:rFonts w:ascii="Arial" w:cs="Arial" w:eastAsia="Arial" w:hAnsi="Arial"/>
          <w:sz w:val="22"/>
          <w:szCs w:val="22"/>
        </w:rPr>
        <w:t xml:space="preserve">Balance sheet balances: Total assets must equal total liabilities plus equity — no exceptions.</w:t>
      </w:r>
    </w:p>
    <w:p>
      <w:pPr>
        <w:pStyle w:val="ListParagraph"/>
        <w:numPr>
          <w:ilvl w:val="0"/>
          <w:numId w:val="1"/>
        </w:numPr>
        <w:spacing w:after="40"/>
      </w:pPr>
      <w:r>
        <w:rPr>
          <w:rFonts w:ascii="Arial" w:cs="Arial" w:eastAsia="Arial" w:hAnsi="Arial"/>
          <w:sz w:val="22"/>
          <w:szCs w:val="22"/>
        </w:rPr>
        <w:t xml:space="preserve">Cash flow ties: Ending cash on the cash flow statement must match cash on the balance sheet.</w:t>
      </w:r>
    </w:p>
    <w:p>
      <w:pPr>
        <w:pStyle w:val="ListParagraph"/>
        <w:numPr>
          <w:ilvl w:val="0"/>
          <w:numId w:val="1"/>
        </w:numPr>
        <w:spacing w:after="40"/>
      </w:pPr>
      <w:r>
        <w:rPr>
          <w:rFonts w:ascii="Arial" w:cs="Arial" w:eastAsia="Arial" w:hAnsi="Arial"/>
          <w:sz w:val="22"/>
          <w:szCs w:val="22"/>
        </w:rPr>
        <w:t xml:space="preserve">Ratio sanity: Gross margin, EBITDA margin, and leverage ratios should move in a direction consistent with your assumptions.</w:t>
      </w:r>
    </w:p>
    <w:p>
      <w:pPr>
        <w:pStyle w:val="ListParagraph"/>
        <w:numPr>
          <w:ilvl w:val="0"/>
          <w:numId w:val="1"/>
        </w:numPr>
        <w:spacing w:after="40"/>
      </w:pPr>
      <w:r>
        <w:rPr>
          <w:rFonts w:ascii="Arial" w:cs="Arial" w:eastAsia="Arial" w:hAnsi="Arial"/>
          <w:sz w:val="22"/>
          <w:szCs w:val="22"/>
        </w:rPr>
        <w:t xml:space="preserve">Circular reference check: Interest expense linked to average debt creates a circular reference; confirm your spreadsheet handles it correctly (iterative calculation enabled).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Analysts often forecast net income correctly but forget to update retained earnings on the balance sheet, causing an unexplained imbalance. Always trace net income explicitly into the equity section before declaring the model complete.</w:t>
            </w:r>
          </w:p>
        </w:tc>
      </w:tr>
    </w:tbl>
    <w:p>
      <w:pPr>
        <w:spacing w:after="120"/>
      </w:pPr>
      <w:r>
        <w:rPr>
          <w:rFonts w:ascii="Arial" w:cs="Arial" w:eastAsia="Arial" w:hAnsi="Arial"/>
          <w:sz w:val="22"/>
          <w:szCs w:val="22"/>
        </w:rPr>
        <w:t xml:space="preserve">A clean, balanced model is not just aesthetically satisfying — it is evidence that every dollar of economic activity has been accounted for consistently across all three statements.</w:t>
      </w:r>
    </w:p>
    <w:p>
      <w:pPr>
        <w:pStyle w:val="Heading1"/>
        <w:spacing w:after="120" w:before="340"/>
      </w:pPr>
      <w:r>
        <w:rPr>
          <w:rFonts w:ascii="Arial" w:cs="Arial" w:eastAsia="Arial" w:hAnsi="Arial"/>
          <w:b/>
          <w:bCs/>
          <w:color w:val="B45309"/>
          <w:sz w:val="32"/>
          <w:szCs w:val="32"/>
        </w:rPr>
        <w:t xml:space="preserve">Applications and pitfalls</w:t>
      </w:r>
    </w:p>
    <w:p>
      <w:pPr>
        <w:spacing w:after="120"/>
      </w:pPr>
      <w:r>
        <w:rPr>
          <w:rFonts w:ascii="Arial" w:cs="Arial" w:eastAsia="Arial" w:hAnsi="Arial"/>
          <w:sz w:val="22"/>
          <w:szCs w:val="22"/>
        </w:rPr>
        <w:t xml:space="preserve">Financial statement forecasting sits at the heart of corporate finance work—from valuing an acquisition target to stress-testing a startup's runway. Getting the mechanics right matters, but so does recognizing where analysts routinely go wrong and how to verify that a completed model makes economic sense.</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Typical Use Cases</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Drivers at the top have the broadest downstream impact on all three statements.</w:t>
      </w:r>
    </w:p>
    <w:p>
      <w:pPr>
        <w:spacing w:after="120"/>
      </w:pPr>
      <w:r>
        <w:rPr>
          <w:rFonts w:ascii="Arial" w:cs="Arial" w:eastAsia="Arial" w:hAnsi="Arial"/>
          <w:sz w:val="22"/>
          <w:szCs w:val="22"/>
        </w:rPr>
        <w:t xml:space="preserve">Forecasted financial statements appear in nearly every high-stakes financial context. In business valuation and M&amp;A, a three-statement model (income statement, balance sheet, cash flow statement) projects free cash flows that feed a discounted cash flow analysis. In FP&amp;A and budgeting, the same framework translates strategic targets into revenue, headcount, and capital expenditure plans. Credit analysis relies on projected coverage ratios and leverage metrics to assess repayment capacity. Startup funding discussions use forecasts to demonstrate when the business reaches breakeven and how much capital it needs before that point. In all these settings, the forecast is only as credible as the assumptions behind it—and those assumptions must be grounded in historical data, industry benchmarks, and logical relationships among line items.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Common Mistakes</w:t>
      </w:r>
    </w:p>
    <w:p>
      <w:pPr>
        <w:spacing w:after="120"/>
      </w:pPr>
      <w:r>
        <w:rPr>
          <w:rFonts w:ascii="Arial" w:cs="Arial" w:eastAsia="Arial" w:hAnsi="Arial"/>
          <w:sz w:val="22"/>
          <w:szCs w:val="22"/>
        </w:rPr>
        <w:t xml:space="preserve">Four errors appear repeatedly in practice:</w:t>
      </w:r>
    </w:p>
    <w:p>
      <w:pPr>
        <w:pStyle w:val="ListParagraph"/>
        <w:numPr>
          <w:ilvl w:val="0"/>
          <w:numId w:val="1"/>
        </w:numPr>
        <w:spacing w:after="40"/>
      </w:pPr>
      <w:r>
        <w:rPr>
          <w:rFonts w:ascii="Arial" w:cs="Arial" w:eastAsia="Arial" w:hAnsi="Arial"/>
          <w:sz w:val="22"/>
          <w:szCs w:val="22"/>
        </w:rPr>
        <w:t xml:space="preserve">Circular logic without iteration enabled. Interest expense depends on the debt balance, which depends on the cash sweep, which depends on net income, which depends on interest expense. Failing to enable iterative calculation in the spreadsheet produces a #REF! error or a static, incorrect result.</w:t>
      </w:r>
    </w:p>
    <w:p>
      <w:pPr>
        <w:pStyle w:val="ListParagraph"/>
        <w:numPr>
          <w:ilvl w:val="0"/>
          <w:numId w:val="1"/>
        </w:numPr>
        <w:spacing w:after="40"/>
      </w:pPr>
      <w:r>
        <w:rPr>
          <w:rFonts w:ascii="Arial" w:cs="Arial" w:eastAsia="Arial" w:hAnsi="Arial"/>
          <w:sz w:val="22"/>
          <w:szCs w:val="22"/>
        </w:rPr>
        <w:t xml:space="preserve">Inconsistent drivers. Forecasting revenue with one growth rate while leaving cost of goods sold (COGS) as a fixed dollar amount breaks the economic relationship between the two. Every line item should trace back to an explicit, defensible driver.</w:t>
      </w:r>
    </w:p>
    <w:p>
      <w:pPr>
        <w:pStyle w:val="ListParagraph"/>
        <w:numPr>
          <w:ilvl w:val="0"/>
          <w:numId w:val="1"/>
        </w:numPr>
        <w:spacing w:after="40"/>
      </w:pPr>
      <w:r>
        <w:rPr>
          <w:rFonts w:ascii="Arial" w:cs="Arial" w:eastAsia="Arial" w:hAnsi="Arial"/>
          <w:sz w:val="22"/>
          <w:szCs w:val="22"/>
        </w:rPr>
        <w:t xml:space="preserve">Ignoring working capital. Analysts often project net income correctly but forget that growing revenue consumes cash through receivables and inventory. The cash flow statement then looks far too optimistic.</w:t>
      </w:r>
    </w:p>
    <w:p>
      <w:pPr>
        <w:pStyle w:val="ListParagraph"/>
        <w:numPr>
          <w:ilvl w:val="0"/>
          <w:numId w:val="1"/>
        </w:numPr>
        <w:spacing w:after="40"/>
      </w:pPr>
      <w:r>
        <w:rPr>
          <w:rFonts w:ascii="Arial" w:cs="Arial" w:eastAsia="Arial" w:hAnsi="Arial"/>
          <w:sz w:val="22"/>
          <w:szCs w:val="22"/>
        </w:rPr>
        <w:t xml:space="preserve">Straight-lining without justification. Applying last year's margin to every future year ignores competitive dynamics, operating leverage, and planned investments.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Example: A Flawed Attempt, Corrected</w:t>
      </w:r>
    </w:p>
    <w:p>
      <w:pPr>
        <w:spacing w:after="120"/>
      </w:pPr>
      <w:r>
        <w:rPr>
          <w:rFonts w:ascii="Arial" w:cs="Arial" w:eastAsia="Arial" w:hAnsi="Arial"/>
          <w:sz w:val="22"/>
          <w:szCs w:val="22"/>
        </w:rPr>
        <w:t xml:space="preserve">Scenario. An analyst is forecasting Year 1 for a small manufacturer with the following historical data:</w:t>
      </w:r>
    </w:p>
    <w:p>
      <w:pPr>
        <w:spacing w:after="120"/>
      </w:pPr>
      <w:r>
        <w:rPr>
          <w:rFonts w:ascii="Arial" w:cs="Arial" w:eastAsia="Arial" w:hAnsi="Arial"/>
          <w:sz w:val="22"/>
          <w:szCs w:val="22"/>
        </w:rPr>
        <w:t xml:space="preserve">| Item | Historical (Year 0)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Revenue | \$10,000,000 |</w:t>
      </w:r>
    </w:p>
    <w:p>
      <w:pPr>
        <w:spacing w:after="120"/>
      </w:pPr>
      <w:r>
        <w:rPr>
          <w:rFonts w:ascii="Arial" w:cs="Arial" w:eastAsia="Arial" w:hAnsi="Arial"/>
          <w:sz w:val="22"/>
          <w:szCs w:val="22"/>
        </w:rPr>
        <w:t xml:space="preserve">| COGS | \$6,000,000 (60% of revenue) |</w:t>
      </w:r>
    </w:p>
    <w:p>
      <w:pPr>
        <w:spacing w:after="120"/>
      </w:pPr>
      <w:r>
        <w:rPr>
          <w:rFonts w:ascii="Arial" w:cs="Arial" w:eastAsia="Arial" w:hAnsi="Arial"/>
          <w:sz w:val="22"/>
          <w:szCs w:val="22"/>
        </w:rPr>
        <w:t xml:space="preserve">| SG&amp;A | \$1,500,000 |</w:t>
      </w:r>
    </w:p>
    <w:p>
      <w:pPr>
        <w:spacing w:after="120"/>
      </w:pPr>
      <w:r>
        <w:rPr>
          <w:rFonts w:ascii="Arial" w:cs="Arial" w:eastAsia="Arial" w:hAnsi="Arial"/>
          <w:sz w:val="22"/>
          <w:szCs w:val="22"/>
        </w:rPr>
        <w:t xml:space="preserve">| Accounts Receivable (AR) | \$1,200,000 |</w:t>
      </w:r>
    </w:p>
    <w:p>
      <w:pPr>
        <w:spacing w:after="120"/>
      </w:pPr>
      <w:r>
        <w:rPr>
          <w:rFonts w:ascii="Arial" w:cs="Arial" w:eastAsia="Arial" w:hAnsi="Arial"/>
          <w:sz w:val="22"/>
          <w:szCs w:val="22"/>
        </w:rPr>
        <w:t xml:space="preserve">| Inventory | \$800,000 |</w:t>
      </w:r>
    </w:p>
    <w:p>
      <w:pPr>
        <w:spacing w:after="120"/>
      </w:pPr>
      <w:r>
        <w:rPr>
          <w:rFonts w:ascii="Arial" w:cs="Arial" w:eastAsia="Arial" w:hAnsi="Arial"/>
          <w:sz w:val="22"/>
          <w:szCs w:val="22"/>
        </w:rPr>
        <w:t xml:space="preserve">Management expects 12% revenue growth in Year 1.</w:t>
      </w:r>
    </w:p>
    <w:p>
      <w:pPr>
        <w:spacing w:after="120"/>
      </w:pPr>
      <w:r>
        <w:rPr>
          <w:rFonts w:ascii="Arial" w:cs="Arial" w:eastAsia="Arial" w:hAnsi="Arial"/>
          <w:sz w:val="22"/>
          <w:szCs w:val="22"/>
        </w:rPr>
        <w:t xml:space="preserve">Step 1 — Forecast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Projected Revenue = $10,000,000 × (1 + 0.12) = $11,200,000</w:t>
            </w:r>
          </w:p>
        </w:tc>
      </w:tr>
    </w:tbl>
    <w:p>
      <w:pPr>
        <w:spacing w:after="120"/>
      </w:pPr>
      <w:r>
        <w:rPr>
          <w:rFonts w:ascii="Arial" w:cs="Arial" w:eastAsia="Arial" w:hAnsi="Arial"/>
          <w:sz w:val="22"/>
          <w:szCs w:val="22"/>
        </w:rPr>
        <w:t xml:space="preserve">Step 2 — The flawed COGS entry. The analyst types COGS as a fixed \$6,000,000, unchanged from Year 0.</w:t>
      </w:r>
    </w:p>
    <w:p>
      <w:pPr>
        <w:spacing w:after="120"/>
      </w:pPr>
      <w:r>
        <w:rPr>
          <w:rFonts w:ascii="Arial" w:cs="Arial" w:eastAsia="Arial" w:hAnsi="Arial"/>
          <w:sz w:val="22"/>
          <w:szCs w:val="22"/>
        </w:rPr>
        <w:t xml:space="preserve">This is the error. COGS should be driven by the same revenue relationship observed historically.</w:t>
      </w:r>
    </w:p>
    <w:p>
      <w:pPr>
        <w:spacing w:after="120"/>
      </w:pPr>
      <w:r>
        <w:rPr>
          <w:rFonts w:ascii="Arial" w:cs="Arial" w:eastAsia="Arial" w:hAnsi="Arial"/>
          <w:sz w:val="22"/>
          <w:szCs w:val="22"/>
        </w:rPr>
        <w:t xml:space="preserve">Step 3 — Correct COGS using a percentage-of-revenue driver.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Projected COGS = $11,200,000 × 60% = $6,720,000</w:t>
            </w:r>
          </w:p>
        </w:tc>
      </w:tr>
    </w:tbl>
    <w:p>
      <w:pPr>
        <w:spacing w:after="120"/>
      </w:pPr>
      <w:r>
        <w:rPr>
          <w:rFonts w:ascii="Arial" w:cs="Arial" w:eastAsia="Arial" w:hAnsi="Arial"/>
          <w:sz w:val="22"/>
          <w:szCs w:val="22"/>
        </w:rPr>
        <w:t xml:space="preserve">The difference (\$720,000) is material—leaving it at \$6,000,000 would overstate gross profit by exactly that amount.</w:t>
      </w:r>
    </w:p>
    <w:p>
      <w:pPr>
        <w:spacing w:after="120"/>
      </w:pPr>
      <w:r>
        <w:rPr>
          <w:rFonts w:ascii="Arial" w:cs="Arial" w:eastAsia="Arial" w:hAnsi="Arial"/>
          <w:sz w:val="22"/>
          <w:szCs w:val="22"/>
        </w:rPr>
        <w:t xml:space="preserve">Step 4 — Forecast SG&amp;A. Management confirms SG&amp;A is largely fixed (lease, salaries). Keep at \$1,500,000 with a note explaining the assumption.</w:t>
      </w:r>
    </w:p>
    <w:p>
      <w:pPr>
        <w:spacing w:after="120"/>
      </w:pPr>
      <w:r>
        <w:rPr>
          <w:rFonts w:ascii="Arial" w:cs="Arial" w:eastAsia="Arial" w:hAnsi="Arial"/>
          <w:sz w:val="22"/>
          <w:szCs w:val="22"/>
        </w:rPr>
        <w:t xml:space="preserve">Step 5 — Compute projected gross profit and operating income.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Gross Profit = $11,200,000 − $6,720,000 = $4,480,000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Operating Income = $4,480,000 − $1,500,000 = $2,980,000</w:t>
            </w:r>
          </w:p>
        </w:tc>
      </w:tr>
    </w:tbl>
    <w:p>
      <w:pPr>
        <w:spacing w:after="120"/>
      </w:pPr>
      <w:r>
        <w:rPr>
          <w:rFonts w:ascii="Arial" w:cs="Arial" w:eastAsia="Arial" w:hAnsi="Arial"/>
          <w:sz w:val="22"/>
          <w:szCs w:val="22"/>
        </w:rPr>
        <w:t xml:space="preserve">Step 6 — Forecast working capital (the step the analyst originally skipped). Assume AR days and inventory days remain constant.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AR Days (historical) = ($1,200,000 ÷ $10,000,000) × 365 = 43.8 days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Projected AR = ($11,200,000 ÷ 365) × 43.8 = $1,344,000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Change in AR = $1,344,000 − $1,200,000 = $144,000 cash outflow</w:t>
            </w:r>
          </w:p>
        </w:tc>
      </w:tr>
    </w:tbl>
    <w:p>
      <w:pPr>
        <w:spacing w:after="120"/>
      </w:pPr>
      <w:r>
        <w:rPr>
          <w:rFonts w:ascii="Arial" w:cs="Arial" w:eastAsia="Arial" w:hAnsi="Arial"/>
          <w:sz w:val="22"/>
          <w:szCs w:val="22"/>
        </w:rPr>
        <w:t xml:space="preserve">Apply the same logic to inventory. Ignoring this step would have overstated operating cash flow by at least \$144,000 on AR alone.</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Sanity Checks</w:t>
      </w:r>
    </w:p>
    <w:p>
      <w:pPr>
        <w:spacing w:after="120"/>
      </w:pPr>
      <w:r>
        <w:rPr>
          <w:rFonts w:ascii="Arial" w:cs="Arial" w:eastAsia="Arial" w:hAnsi="Arial"/>
          <w:sz w:val="22"/>
          <w:szCs w:val="22"/>
        </w:rPr>
        <w:t xml:space="preserve">Before finalizing any forecast, run these checks:</w:t>
      </w:r>
    </w:p>
    <w:p>
      <w:pPr>
        <w:pStyle w:val="ListParagraph"/>
        <w:numPr>
          <w:ilvl w:val="0"/>
          <w:numId w:val="1"/>
        </w:numPr>
        <w:spacing w:after="40"/>
      </w:pPr>
      <w:r>
        <w:rPr>
          <w:rFonts w:ascii="Arial" w:cs="Arial" w:eastAsia="Arial" w:hAnsi="Arial"/>
          <w:sz w:val="22"/>
          <w:szCs w:val="22"/>
        </w:rPr>
        <w:t xml:space="preserve">Margin trend test. Do gross and operating margins move in a direction consistent with the stated strategy? A sudden 500 bps margin expansion with no explanation is a red flag.</w:t>
      </w:r>
    </w:p>
    <w:p>
      <w:pPr>
        <w:pStyle w:val="ListParagraph"/>
        <w:numPr>
          <w:ilvl w:val="0"/>
          <w:numId w:val="1"/>
        </w:numPr>
        <w:spacing w:after="40"/>
      </w:pPr>
      <w:r>
        <w:rPr>
          <w:rFonts w:ascii="Arial" w:cs="Arial" w:eastAsia="Arial" w:hAnsi="Arial"/>
          <w:sz w:val="22"/>
          <w:szCs w:val="22"/>
        </w:rPr>
        <w:t xml:space="preserve">Balance sheet balances. Assets must equal liabilities plus equity in every projected period—no exceptions.</w:t>
      </w:r>
    </w:p>
    <w:p>
      <w:pPr>
        <w:pStyle w:val="ListParagraph"/>
        <w:numPr>
          <w:ilvl w:val="0"/>
          <w:numId w:val="1"/>
        </w:numPr>
        <w:spacing w:after="40"/>
      </w:pPr>
      <w:r>
        <w:rPr>
          <w:rFonts w:ascii="Arial" w:cs="Arial" w:eastAsia="Arial" w:hAnsi="Arial"/>
          <w:sz w:val="22"/>
          <w:szCs w:val="22"/>
        </w:rPr>
        <w:t xml:space="preserve">Cash flow reconciliation. Trace net income through working capital changes and capex to confirm the ending cash balance matches what appears on the projected balance sheet.</w:t>
      </w:r>
    </w:p>
    <w:p>
      <w:pPr>
        <w:pStyle w:val="ListParagraph"/>
        <w:numPr>
          <w:ilvl w:val="0"/>
          <w:numId w:val="1"/>
        </w:numPr>
        <w:spacing w:after="40"/>
      </w:pPr>
      <w:r>
        <w:rPr>
          <w:rFonts w:ascii="Arial" w:cs="Arial" w:eastAsia="Arial" w:hAnsi="Arial"/>
          <w:sz w:val="22"/>
          <w:szCs w:val="22"/>
        </w:rPr>
        <w:t xml:space="preserve">Ratio benchmarking. Compare projected leverage, coverage, and turnover ratios against industry peers and the company's own history.</w:t>
      </w:r>
    </w:p>
    <w:p>
      <w:pPr>
        <w:pStyle w:val="ListParagraph"/>
        <w:numPr>
          <w:ilvl w:val="0"/>
          <w:numId w:val="1"/>
        </w:numPr>
        <w:spacing w:after="40"/>
      </w:pPr>
      <w:r>
        <w:rPr>
          <w:rFonts w:ascii="Arial" w:cs="Arial" w:eastAsia="Arial" w:hAnsi="Arial"/>
          <w:sz w:val="22"/>
          <w:szCs w:val="22"/>
        </w:rPr>
        <w:t xml:space="preserve">Reverse-engineer the implied assumptions. If the model produces a 25% EBITDA margin for a business that has never exceeded 14%, identify exactly which assumption is driving that result and defend it explicitly.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Analysts frequently forecast the income statement carefully but treat the balance sheet as an afterthought, plugging retained earnings without rolling forward every asset and liability account. This breaks the cash flow statement and renders the entire model unreliable for valuation or credit purposes.</w:t>
            </w:r>
          </w:p>
        </w:tc>
      </w:tr>
    </w:tbl>
    <w:p>
      <w:pPr>
        <w:spacing w:after="120"/>
      </w:pPr>
      <w:r>
        <w:rPr>
          <w:rFonts w:ascii="Arial" w:cs="Arial" w:eastAsia="Arial" w:hAnsi="Arial"/>
          <w:sz w:val="22"/>
          <w:szCs w:val="22"/>
        </w:rPr>
        <w:t xml:space="preserve">Disciplined forecasting is iterative: build, check, challenge, and revise until every number tells a coherent, evidence-based story.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8A29E"/>
        <w:sz w:val="16"/>
        <w:szCs w:val="16"/>
      </w:rPr>
      <w:t xml:space="preserve">Lesson Forge Pro (owner)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ba401149cb9c3d31c3b3c31a4149fe51df8a64.png"/><Relationship Id="rId10" Type="http://schemas.openxmlformats.org/officeDocument/2006/relationships/image" Target="media/eb275ad1cd13ba6fd158d30b62ad64e941d0fc48.png"/><Relationship Id="rId11" Type="http://schemas.openxmlformats.org/officeDocument/2006/relationships/image" Target="media/250560e7d8feb9747a07d8f9ec6b4112a4af2e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2026-07-09T15:15:25.858Z</dcterms:created>
  <dcterms:modified xsi:type="dcterms:W3CDTF">2026-07-09T15:15:25.858Z</dcterms:modified>
</cp:coreProperties>
</file>

<file path=docProps/custom.xml><?xml version="1.0" encoding="utf-8"?>
<Properties xmlns="http://schemas.openxmlformats.org/officeDocument/2006/custom-properties" xmlns:vt="http://schemas.openxmlformats.org/officeDocument/2006/docPropsVTypes"/>
</file>