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color w:val="B45309"/>
          <w:sz w:val="36"/>
          <w:szCs w:val="36"/>
        </w:rPr>
        <w:t xml:space="preserve">Introduction to Financial Modeling (نسخة عربية)</w:t>
      </w:r>
    </w:p>
    <w:p>
      <w:pPr>
        <w:bidi/>
        <w:jc w:val="right"/>
      </w:pPr>
      <w:r>
        <w:rPr>
          <w:color w:val="666666"/>
          <w:sz w:val="20"/>
          <w:szCs w:val="20"/>
        </w:rPr>
        <w:t xml:space="preserve">Lesson Forge Pro (owner)</w:t>
      </w:r>
    </w:p>
    <w:p>
      <w:pPr>
        <w:bidi/>
        <w:jc w:val="right"/>
      </w:pPr>
      <w:r>
        <w:rPr>
          <w:i/>
          <w:iCs/>
          <w:color w:val="888888"/>
          <w:sz w:val="18"/>
          <w:szCs w:val="18"/>
        </w:rPr>
        <w:t xml:space="preserve">هذا المحتوى مادة تعليمية فقط ولا يشكل نصيحة مالية أو استثمارية أو تداولية.</w:t>
      </w:r>
    </w:p>
    <w:p>
      <w:pPr>
        <w:pStyle w:val="Heading2"/>
        <w:bidi/>
        <w:jc w:val="right"/>
      </w:pPr>
      <w:r>
        <w:rPr>
          <w:b/>
          <w:bCs/>
        </w:rPr>
        <w:t xml:space="preserve">الدليل</w:t>
      </w:r>
    </w:p>
    <w:p>
      <w:pPr>
        <w:bidi/>
        <w:jc w:val="right"/>
      </w:pPr>
      <w:r>
        <w:rPr>
          <w:sz w:val="22"/>
          <w:szCs w:val="22"/>
        </w:rPr>
        <w:t xml:space="preserve">دليل المُعلِّم: مقدمة في النمذجة المالية</w:t>
      </w:r>
    </w:p>
    <w:p>
      <w:pPr>
        <w:bidi/>
        <w:jc w:val="right"/>
      </w:pPr>
      <w:r>
        <w:rPr>
          <w:sz w:val="22"/>
          <w:szCs w:val="22"/>
        </w:rPr>
        <w:t xml:space="preserve">الجلسة الأولى — خطة درس مدته 90 دقيقة</w:t>
      </w:r>
    </w:p>
    <w:p>
      <w:pPr>
        <w:bidi/>
        <w:jc w:val="right"/>
      </w:pPr>
      <w:r>
        <w:rPr>
          <w:sz w:val="22"/>
          <w:szCs w:val="22"/>
        </w:rPr>
        <w:t xml:space="preserve">---</w:t>
      </w:r>
    </w:p>
    <w:p>
      <w:pPr>
        <w:bidi/>
        <w:jc w:val="right"/>
      </w:pPr>
      <w:r>
        <w:rPr>
          <w:sz w:val="22"/>
          <w:szCs w:val="22"/>
        </w:rPr>
        <w:t xml:space="preserve">السياق العام للمقرر: هذه هي الجلسة الافتتاحية لوحدة النمذجة المالية. يتعامل المتعلمون مع هذا التخصص بصورة رسمية للمرة الأولى. لذا، أعطِ الأولوية للوضوح المفاهيمي، والربط بالواقع العملي، وإثارة الفضول الحقيقي لدى المتعلمين، بدلاً من السعي إلى التغطية الشاملة والاستيعاب الكامل.</w:t>
      </w:r>
    </w:p>
    <w:p>
      <w:pPr>
        <w:bidi/>
        <w:jc w:val="right"/>
      </w:pPr>
      <w:r>
        <w:rPr>
          <w:sz w:val="22"/>
          <w:szCs w:val="22"/>
        </w:rPr>
        <w:t xml:space="preserve">---</w:t>
      </w:r>
    </w:p>
    <w:p>
      <w:pPr>
        <w:bidi/>
        <w:jc w:val="right"/>
      </w:pPr>
      <w:r>
        <w:rPr>
          <w:sz w:val="22"/>
          <w:szCs w:val="22"/>
        </w:rPr>
        <w:t xml:space="preserve">نظرة عامة على جدول الأعمال الزمني</w:t>
      </w:r>
    </w:p>
    <w:p>
      <w:pPr>
        <w:bidi/>
        <w:jc w:val="right"/>
      </w:pPr>
      <w:r>
        <w:rPr>
          <w:sz w:val="22"/>
          <w:szCs w:val="22"/>
        </w:rPr>
        <w:t xml:space="preserve">| الكتلة | النشاط | المدة |</w:t>
      </w:r>
    </w:p>
    <w:p>
      <w:pPr>
        <w:bidi/>
        <w:jc w:val="right"/>
      </w:pPr>
      <w:r>
        <w:rPr>
          <w:sz w:val="22"/>
          <w:szCs w:val="22"/>
        </w:rPr>
        <w:t xml:space="preserve">|---|---|---|</w:t>
      </w:r>
    </w:p>
    <w:p>
      <w:pPr>
        <w:bidi/>
        <w:jc w:val="right"/>
      </w:pPr>
      <w:r>
        <w:rPr>
          <w:sz w:val="22"/>
          <w:szCs w:val="22"/>
        </w:rPr>
        <w:t xml:space="preserve">| 1 | الترحيب والتأطير واستطلاع التهيئة | 0:00 – 0:07 |</w:t>
      </w:r>
    </w:p>
    <w:p>
      <w:pPr>
        <w:bidi/>
        <w:jc w:val="right"/>
      </w:pPr>
      <w:r>
        <w:rPr>
          <w:sz w:val="22"/>
          <w:szCs w:val="22"/>
        </w:rPr>
        <w:t xml:space="preserve">| 2 | القسم الأول — تعريف النمذجة المالية | 0:07 – 0:20 |</w:t>
      </w:r>
    </w:p>
    <w:p>
      <w:pPr>
        <w:bidi/>
        <w:jc w:val="right"/>
      </w:pPr>
      <w:r>
        <w:rPr>
          <w:sz w:val="22"/>
          <w:szCs w:val="22"/>
        </w:rPr>
        <w:t xml:space="preserve">| 3 | القسم الثاني — المكونات الخمسة الأساسية | 0:20 – 0:35 |</w:t>
      </w:r>
    </w:p>
    <w:p>
      <w:pPr>
        <w:bidi/>
        <w:jc w:val="right"/>
      </w:pPr>
      <w:r>
        <w:rPr>
          <w:sz w:val="22"/>
          <w:szCs w:val="22"/>
        </w:rPr>
        <w:t xml:space="preserve">| 4 | نشاط تنشيطي: لعبة تصنيف البطاقات "بنِ أم انهار؟" | 0:35 – 0:42 |</w:t>
      </w:r>
    </w:p>
    <w:p>
      <w:pPr>
        <w:bidi/>
        <w:jc w:val="right"/>
      </w:pPr>
      <w:r>
        <w:rPr>
          <w:sz w:val="22"/>
          <w:szCs w:val="22"/>
        </w:rPr>
        <w:t xml:space="preserve">| 5 | القسم الثالث — القوائم المالية بوصفها مدخلات للنموذج | 0:42 – 0:55 |</w:t>
      </w:r>
    </w:p>
    <w:p>
      <w:pPr>
        <w:bidi/>
        <w:jc w:val="right"/>
      </w:pPr>
      <w:r>
        <w:rPr>
          <w:sz w:val="22"/>
          <w:szCs w:val="22"/>
        </w:rPr>
        <w:t xml:space="preserve">| 6 | القسم الرابع — تطبيقات في تمويل الشركات | 0:55 – 1:05 |</w:t>
      </w:r>
    </w:p>
    <w:p>
      <w:pPr>
        <w:bidi/>
        <w:jc w:val="right"/>
      </w:pPr>
      <w:r>
        <w:rPr>
          <w:sz w:val="22"/>
          <w:szCs w:val="22"/>
        </w:rPr>
        <w:t xml:space="preserve">| 7 | القسم الخامس — السياقات الاستثمارية | 1:05 – 1:15 |</w:t>
      </w:r>
    </w:p>
    <w:p>
      <w:pPr>
        <w:bidi/>
        <w:jc w:val="right"/>
      </w:pPr>
      <w:r>
        <w:rPr>
          <w:sz w:val="22"/>
          <w:szCs w:val="22"/>
        </w:rPr>
        <w:t xml:space="preserve">| 8 | القسم السادس — أفضل الممارسات والأخطاء الشائعة | 1:15 – 1:25 |</w:t>
      </w:r>
    </w:p>
    <w:p>
      <w:pPr>
        <w:bidi/>
        <w:jc w:val="right"/>
      </w:pPr>
      <w:r>
        <w:rPr>
          <w:sz w:val="22"/>
          <w:szCs w:val="22"/>
        </w:rPr>
        <w:t xml:space="preserve">| 9 | التوليف والأسئلة والإجابات وشرح الواجب | 1:25 – 1:30 |</w:t>
      </w:r>
    </w:p>
    <w:p>
      <w:pPr>
        <w:bidi/>
        <w:jc w:val="right"/>
      </w:pPr>
      <w:r>
        <w:rPr>
          <w:sz w:val="22"/>
          <w:szCs w:val="22"/>
        </w:rPr>
        <w:t xml:space="preserve">المجموع: 90 دقيقة</w:t>
      </w:r>
    </w:p>
    <w:p>
      <w:pPr>
        <w:bidi/>
        <w:jc w:val="right"/>
      </w:pPr>
      <w:r>
        <w:rPr>
          <w:sz w:val="22"/>
          <w:szCs w:val="22"/>
        </w:rPr>
        <w:t xml:space="preserve">---</w:t>
      </w:r>
    </w:p>
    <w:p>
      <w:pPr>
        <w:bidi/>
        <w:jc w:val="right"/>
      </w:pPr>
      <w:r>
        <w:rPr>
          <w:sz w:val="22"/>
          <w:szCs w:val="22"/>
        </w:rPr>
        <w:t xml:space="preserve">قائمة التحضير</w:t>
      </w:r>
    </w:p>
    <w:p>
      <w:pPr>
        <w:bidi/>
        <w:jc w:val="right"/>
      </w:pPr>
      <w:r>
        <w:rPr>
          <w:sz w:val="22"/>
          <w:szCs w:val="22"/>
        </w:rPr>
        <w:t xml:space="preserve">- [ ] تحميل العرض التقديمي واختباره</w:t>
      </w:r>
    </w:p>
    <w:p>
      <w:pPr>
        <w:bidi/>
        <w:jc w:val="right"/>
      </w:pPr>
      <w:r>
        <w:rPr>
          <w:sz w:val="22"/>
          <w:szCs w:val="22"/>
        </w:rPr>
        <w:t xml:space="preserve">- [ ] تجهيز السبورة أو اللوحة الرقمية التفاعلية لرسم مخطط المكونات الخمسة</w:t>
      </w:r>
    </w:p>
    <w:p>
      <w:pPr>
        <w:bidi/>
        <w:jc w:val="right"/>
      </w:pPr>
      <w:r>
        <w:rPr>
          <w:sz w:val="22"/>
          <w:szCs w:val="22"/>
        </w:rPr>
        <w:t xml:space="preserve">- [ ] طباعة بطاقات "بنِ أم انهار؟" أو تحميلها في أداة الاستطلاع الإلكتروني (مجموعة واحدة لكل ثنائي)</w:t>
      </w:r>
    </w:p>
    <w:p>
      <w:pPr>
        <w:bidi/>
        <w:jc w:val="right"/>
      </w:pPr>
      <w:r>
        <w:rPr>
          <w:sz w:val="22"/>
          <w:szCs w:val="22"/>
        </w:rPr>
        <w:t xml:space="preserve">- [ ] توزيع مقتطف من التقرير السنوي لإحدى الشركات أو عرضه (قائمة الدخل والميزانية العمومية لعامين متتاليين)</w:t>
      </w:r>
    </w:p>
    <w:p>
      <w:pPr>
        <w:bidi/>
        <w:jc w:val="right"/>
      </w:pPr>
      <w:r>
        <w:rPr>
          <w:sz w:val="22"/>
          <w:szCs w:val="22"/>
        </w:rPr>
        <w:t xml:space="preserve">- [ ] إبقاء المؤقت مرئياً لك دون أن يُشتِّت انتباه المتعلمين</w:t>
      </w:r>
    </w:p>
    <w:p>
      <w:pPr>
        <w:bidi/>
        <w:jc w:val="right"/>
      </w:pPr>
      <w:r>
        <w:rPr>
          <w:sz w:val="22"/>
          <w:szCs w:val="22"/>
        </w:rPr>
        <w:t xml:space="preserve">---</w:t>
      </w:r>
    </w:p>
    <w:p>
      <w:pPr>
        <w:bidi/>
        <w:jc w:val="right"/>
      </w:pPr>
      <w:r>
        <w:rPr>
          <w:sz w:val="22"/>
          <w:szCs w:val="22"/>
        </w:rPr>
        <w:t xml:space="preserve">الكتلة 1 — الترحيب والتأطير واستطلاع التهيئة (0:00 – 0:07)</w:t>
      </w:r>
    </w:p>
    <w:p>
      <w:pPr>
        <w:bidi/>
        <w:jc w:val="right"/>
      </w:pPr>
      <w:r>
        <w:rPr>
          <w:sz w:val="22"/>
          <w:szCs w:val="22"/>
        </w:rPr>
        <w:t xml:space="preserve">نقاط الحديث</w:t>
      </w:r>
    </w:p>
    <w:p>
      <w:pPr>
        <w:bidi/>
        <w:jc w:val="right"/>
      </w:pPr>
      <w:r>
        <w:rPr>
          <w:sz w:val="22"/>
          <w:szCs w:val="22"/>
        </w:rPr>
        <w:t xml:space="preserve">افتح الجلسة بحيوية وبسؤال تأسيسي قبل عرض أي شريحة.</w:t>
      </w:r>
    </w:p>
    <w:p>
      <w:pPr>
        <w:bidi/>
        <w:jc w:val="right"/>
      </w:pPr>
      <w:r>
        <w:rPr>
          <w:sz w:val="22"/>
          <w:szCs w:val="22"/>
        </w:rPr>
        <w:t xml:space="preserve">"قبل أن نتطرق إلى أي معادلة اليوم، أريد أن أعرف ما الذي يتبادر إلى ذهنك حين تسمع عبارة 'نموذج مالي'. هل تتخيل جدول بيانات؟ توقعات مستقبلية؟ صندوقاً أسود يستخدمه المحللون الماليون؟"</w:t>
      </w:r>
    </w:p>
    <w:p>
      <w:pPr>
        <w:bidi/>
        <w:jc w:val="right"/>
      </w:pPr>
      <w:r>
        <w:rPr>
          <w:sz w:val="22"/>
          <w:szCs w:val="22"/>
        </w:rPr>
        <w:t xml:space="preserve">- أجرِ استطلاعاً سريعاً برفع الأيدي أو عبر أداة رقمية: "هل سبق لك أن أعددتَ جدول بيانات لاتخاذ قرار مالي في حياتك اليومية؟" (كتنظيم ميزانية الأسرة، أو مقارنة عروض الاتصالات، أو التخطيط لرحلة). ستجد أن معظم الأيدي سترتفع. استقبِل ذلك بترحاب وتشجيع.</w:t>
      </w:r>
    </w:p>
    <w:p>
      <w:pPr>
        <w:bidi/>
        <w:jc w:val="right"/>
      </w:pPr>
      <w:r>
        <w:rPr>
          <w:sz w:val="22"/>
          <w:szCs w:val="22"/>
        </w:rPr>
        <w:t xml:space="preserve">"ممتاز — الحدس الذي استخدمتَه في تلك اللحظة هو نفسه الذي يقوم عليه كل نموذج مالي احترافي. سنمنح هذا الحدس اليوم إطاراً منهجياً صارماً."</w:t>
      </w:r>
    </w:p>
    <w:p>
      <w:pPr>
        <w:bidi/>
        <w:jc w:val="right"/>
      </w:pPr>
      <w:r>
        <w:rPr>
          <w:sz w:val="22"/>
          <w:szCs w:val="22"/>
        </w:rPr>
        <w:t xml:space="preserve">- أعلِن نتائج التعلم الثلاث للجلسة بوضوح:</w:t>
      </w:r>
    </w:p>
    <w:p>
      <w:pPr>
        <w:bidi/>
        <w:jc w:val="right"/>
      </w:pPr>
      <w:r>
        <w:rPr>
          <w:sz w:val="22"/>
          <w:szCs w:val="22"/>
        </w:rPr>
        <w:t xml:space="preserve">1. ستتمكن من تعريف النمذجة المالية بدقة، والتمييز بينها وبين الأدوات المشابهة.</w:t>
      </w:r>
    </w:p>
    <w:p>
      <w:pPr>
        <w:bidi/>
        <w:jc w:val="right"/>
      </w:pPr>
      <w:r>
        <w:rPr>
          <w:sz w:val="22"/>
          <w:szCs w:val="22"/>
        </w:rPr>
        <w:t xml:space="preserve">2. ستتمكن من تسمية المكونات الخمسة الهيكلية لأي نموذج احترافي ووصفها.</w:t>
      </w:r>
    </w:p>
    <w:p>
      <w:pPr>
        <w:bidi/>
        <w:jc w:val="right"/>
      </w:pPr>
      <w:r>
        <w:rPr>
          <w:sz w:val="22"/>
          <w:szCs w:val="22"/>
        </w:rPr>
        <w:t xml:space="preserve">3. ستتمكن من شرح سبب بناء النماذج — أي القرارات الفعلية التي تخدمها.</w:t>
      </w:r>
    </w:p>
    <w:p>
      <w:pPr>
        <w:bidi/>
        <w:jc w:val="right"/>
      </w:pPr>
      <w:r>
        <w:rPr>
          <w:sz w:val="22"/>
          <w:szCs w:val="22"/>
        </w:rPr>
        <w:t xml:space="preserve">- قدِّم لمحة موجزة عن جدول الأعمال، واذكر النشاط التنشيطي مسبقاً حتى يكون لدى المتعلمين ما يتطلعون إليه.</w:t>
      </w:r>
    </w:p>
    <w:p>
      <w:pPr>
        <w:bidi/>
        <w:jc w:val="right"/>
      </w:pPr>
      <w:r>
        <w:rPr>
          <w:sz w:val="22"/>
          <w:szCs w:val="22"/>
        </w:rPr>
        <w:t xml:space="preserve">الانتقال</w:t>
      </w:r>
    </w:p>
    <w:p>
      <w:pPr>
        <w:bidi/>
        <w:jc w:val="right"/>
      </w:pPr>
      <w:r>
        <w:rPr>
          <w:sz w:val="22"/>
          <w:szCs w:val="22"/>
        </w:rPr>
        <w:t xml:space="preserve">"لنبدأ من الأساس: ما النموذج المالي بالضبط، وما الذي ليس كذلك؟"</w:t>
      </w:r>
    </w:p>
    <w:p>
      <w:pPr>
        <w:bidi/>
        <w:jc w:val="right"/>
      </w:pPr>
      <w:r>
        <w:rPr>
          <w:sz w:val="22"/>
          <w:szCs w:val="22"/>
        </w:rPr>
        <w:t xml:space="preserve">---</w:t>
      </w:r>
    </w:p>
    <w:p>
      <w:pPr>
        <w:bidi/>
        <w:jc w:val="right"/>
      </w:pPr>
      <w:r>
        <w:rPr>
          <w:sz w:val="22"/>
          <w:szCs w:val="22"/>
        </w:rPr>
        <w:t xml:space="preserve">الكتلة 2 — القسم الأول: تعريف النمذجة المالية (0:07 – 0:20)</w:t>
      </w:r>
    </w:p>
    <w:p>
      <w:pPr>
        <w:bidi/>
        <w:jc w:val="right"/>
      </w:pPr>
      <w:r>
        <w:rPr>
          <w:sz w:val="22"/>
          <w:szCs w:val="22"/>
        </w:rPr>
        <w:t xml:space="preserve">نقاط الحديث</w:t>
      </w:r>
    </w:p>
    <w:p>
      <w:pPr>
        <w:bidi/>
        <w:jc w:val="right"/>
      </w:pPr>
      <w:r>
        <w:rPr>
          <w:sz w:val="22"/>
          <w:szCs w:val="22"/>
        </w:rPr>
        <w:t xml:space="preserve">افتح بمشكلة التعريفات المبهمة.</w:t>
      </w:r>
    </w:p>
    <w:p>
      <w:pPr>
        <w:bidi/>
        <w:jc w:val="right"/>
      </w:pPr>
      <w:r>
        <w:rPr>
          <w:sz w:val="22"/>
          <w:szCs w:val="22"/>
        </w:rPr>
        <w:t xml:space="preserve">"كلمة 'نموذج' تُستخدم باتساع شديد. قد يُطلق عليها المستشار الإداري على جدول محوري بسيط، بينما يُطلقها المحلل الكمي على معادلة تفاضلية معقدة. نحن بحاجة إلى تعريف دقيق بما يكفي ليصمد في الاختبارات، واحترافي بما يكفي ليصمد في بيئة العمل الفعلية."</w:t>
      </w:r>
    </w:p>
    <w:p>
      <w:pPr>
        <w:bidi/>
        <w:jc w:val="right"/>
      </w:pPr>
      <w:r>
        <w:rPr>
          <w:sz w:val="22"/>
          <w:szCs w:val="22"/>
        </w:rPr>
        <w:t xml:space="preserve">قدِّم التعريف العملي — اكتبه على السبورة:</w:t>
      </w:r>
    </w:p>
    <w:p>
      <w:pPr>
        <w:bidi/>
        <w:jc w:val="right"/>
      </w:pPr>
      <w:r>
        <w:rPr>
          <w:sz w:val="22"/>
          <w:szCs w:val="22"/>
        </w:rPr>
        <w:t xml:space="preserve">النموذج المالي هو تمثيل كمي منظَّم لشركة أو مشروع أو أصل، يُبنى لدعم قرار محدد عبر إسقاط النتائج المالية في ظل افتراضات معرَّفة بوضوح.</w:t>
      </w:r>
    </w:p>
    <w:p>
      <w:pPr>
        <w:bidi/>
        <w:jc w:val="right"/>
      </w:pPr>
      <w:r>
        <w:rPr>
          <w:sz w:val="22"/>
          <w:szCs w:val="22"/>
        </w:rPr>
        <w:t xml:space="preserve">فكِّك التعريف إلى مكوناته الجوهرية:</w:t>
      </w:r>
    </w:p>
    <w:p>
      <w:pPr>
        <w:bidi/>
        <w:jc w:val="right"/>
      </w:pPr>
      <w:r>
        <w:rPr>
          <w:sz w:val="22"/>
          <w:szCs w:val="22"/>
        </w:rPr>
        <w:t xml:space="preserve">| المصطلح | أهميته |</w:t>
      </w:r>
    </w:p>
    <w:p>
      <w:pPr>
        <w:bidi/>
        <w:jc w:val="right"/>
      </w:pPr>
      <w:r>
        <w:rPr>
          <w:sz w:val="22"/>
          <w:szCs w:val="22"/>
        </w:rPr>
        <w:t xml:space="preserve">|---|---|</w:t>
      </w:r>
    </w:p>
    <w:p>
      <w:pPr>
        <w:bidi/>
        <w:jc w:val="right"/>
      </w:pPr>
      <w:r>
        <w:rPr>
          <w:sz w:val="22"/>
          <w:szCs w:val="22"/>
        </w:rPr>
        <w:t xml:space="preserve">| منظَّم | ليس عشوائياً؛ له بنية قابلة للتكرار |</w:t>
      </w:r>
    </w:p>
    <w:p>
      <w:pPr>
        <w:bidi/>
        <w:jc w:val="right"/>
      </w:pPr>
      <w:r>
        <w:rPr>
          <w:sz w:val="22"/>
          <w:szCs w:val="22"/>
        </w:rPr>
        <w:t xml:space="preserve">| كمي | مخرجاته أرقام لا سرديات |</w:t>
      </w:r>
    </w:p>
    <w:p>
      <w:pPr>
        <w:bidi/>
        <w:jc w:val="right"/>
      </w:pPr>
      <w:r>
        <w:rPr>
          <w:sz w:val="22"/>
          <w:szCs w:val="22"/>
        </w:rPr>
        <w:t xml:space="preserve">| تمثيل | هو دائماً تبسيط للواقع، وليس الواقع ذاته |</w:t>
      </w:r>
    </w:p>
    <w:p>
      <w:pPr>
        <w:bidi/>
        <w:jc w:val="right"/>
      </w:pPr>
      <w:r>
        <w:rPr>
          <w:sz w:val="22"/>
          <w:szCs w:val="22"/>
        </w:rPr>
        <w:t xml:space="preserve">| قرار محدد | لكل نموذج غرض، والغرض يحدد التصميم |</w:t>
      </w:r>
    </w:p>
    <w:p>
      <w:pPr>
        <w:bidi/>
        <w:jc w:val="right"/>
      </w:pPr>
      <w:r>
        <w:rPr>
          <w:sz w:val="22"/>
          <w:szCs w:val="22"/>
        </w:rPr>
        <w:t xml:space="preserve">| افتراضات معرَّفة | الافتراضات صريحة وليست مخفية |</w:t>
      </w:r>
    </w:p>
    <w:p>
      <w:pPr>
        <w:bidi/>
        <w:jc w:val="right"/>
      </w:pPr>
      <w:r>
        <w:rPr>
          <w:sz w:val="22"/>
          <w:szCs w:val="22"/>
        </w:rPr>
        <w:t xml:space="preserve">حدِّد الحدود — ما الذي لا يُعدّ نموذجاً مالياً:</w:t>
      </w:r>
    </w:p>
    <w:p>
      <w:pPr>
        <w:bidi/>
        <w:jc w:val="right"/>
      </w:pPr>
      <w:r>
        <w:rPr>
          <w:sz w:val="22"/>
          <w:szCs w:val="22"/>
        </w:rPr>
        <w:t xml:space="preserve">- النموذج المالي ليس قائمة مالية (القوائم المالية تُسجِّل الماضي؛ أما النماذج فتستشرف المستقبل)</w:t>
      </w:r>
    </w:p>
    <w:p>
      <w:pPr>
        <w:bidi/>
        <w:jc w:val="right"/>
      </w:pPr>
      <w:r>
        <w:rPr>
          <w:sz w:val="22"/>
          <w:szCs w:val="22"/>
        </w:rPr>
        <w:t xml:space="preserve">- النموذج المالي ليس قاعدة بيانات (قاعدة البيانات تخزِّن المعلومات؛ أما النموذج فيحوِّلها إلى قرارات)</w:t>
      </w:r>
    </w:p>
    <w:p>
      <w:pPr>
        <w:bidi/>
        <w:jc w:val="right"/>
      </w:pPr>
      <w:r>
        <w:rPr>
          <w:sz w:val="22"/>
          <w:szCs w:val="22"/>
        </w:rPr>
        <w:t xml:space="preserve">- النموذج المالي ليس خطة عمل سردية (الخطة تحكي قصة؛ أما النموذج فيختبر ما إذا كانت هذه القصة متسقة رقمياً)</w:t>
      </w:r>
    </w:p>
    <w:p>
      <w:pPr>
        <w:bidi/>
        <w:jc w:val="right"/>
      </w:pPr>
      <w:r>
        <w:rPr>
          <w:sz w:val="22"/>
          <w:szCs w:val="22"/>
        </w:rPr>
        <w:t xml:space="preserve">- النموذج المالي ليس نظام محاسبي (المحاسبة تتبع معايير المحاسبة الدولية كـ IFRS؛ أما النمذجة فتتبع منطق القرار)</w:t>
      </w:r>
    </w:p>
    <w:p>
      <w:pPr>
        <w:bidi/>
        <w:jc w:val="right"/>
      </w:pPr>
      <w:r>
        <w:rPr>
          <w:sz w:val="22"/>
          <w:szCs w:val="22"/>
        </w:rPr>
        <w:t xml:space="preserve">🔍 المثال التوضيحي الأول — مخططات المهندس المعماري</w:t>
      </w:r>
    </w:p>
    <w:p>
      <w:pPr>
        <w:bidi/>
        <w:jc w:val="right"/>
      </w:pPr>
      <w:r>
        <w:rPr>
          <w:sz w:val="22"/>
          <w:szCs w:val="22"/>
        </w:rPr>
        <w:t xml:space="preserve">"فكِّر في النموذج المالي كما يفكر المهندس المعماري في مخططاته. المخطط ليس المبنى — بل هو تمثيل منظَّم ومُدروس له، صُمِّم للإجابة عن سؤال محدد: 'هل يمكننا تشييد هذا المبنى، وكم سيكلفنا؟' غيِّر افتراضاً واحداً — ارتفاع الأسقف، أو نوع مواد البناء — وسيُعيد المخطط حساب التداعيات تلقائياً. النموذج المالي يعمل بالطريقة ذاتها تماماً؛ إنه مخطط القرار المالي."</w:t>
      </w:r>
    </w:p>
    <w:p>
      <w:pPr>
        <w:bidi/>
        <w:jc w:val="right"/>
      </w:pPr>
      <w:r>
        <w:rPr>
          <w:sz w:val="22"/>
          <w:szCs w:val="22"/>
        </w:rPr>
        <w:t xml:space="preserve">عزِّز حدود النطاق:</w:t>
      </w:r>
    </w:p>
    <w:p>
      <w:pPr>
        <w:bidi/>
        <w:jc w:val="right"/>
      </w:pPr>
      <w:r>
        <w:rPr>
          <w:sz w:val="22"/>
          <w:szCs w:val="22"/>
        </w:rPr>
        <w:t xml:space="preserve">"النطاق بالغ الأهمية. نموذج مبني لتقييم صفقة استحواذ يبدو مختلفاً تماماً عن نموذج مبني للتخطيط لميزانية رأس المال على مدى خمس سنوات. التخصص واحد، لكن المخططات مختلفة اختلافاً جذرياً."</w:t>
      </w:r>
    </w:p>
    <w:p>
      <w:pPr>
        <w:bidi/>
        <w:jc w:val="right"/>
      </w:pPr>
      <w:r>
        <w:rPr>
          <w:sz w:val="22"/>
          <w:szCs w:val="22"/>
        </w:rPr>
        <w:t xml:space="preserve">أسئلة المتعلمين المتوقعة</w:t>
      </w:r>
    </w:p>
    <w:p>
      <w:pPr>
        <w:bidi/>
        <w:jc w:val="right"/>
      </w:pPr>
      <w:r>
        <w:rPr>
          <w:sz w:val="22"/>
          <w:szCs w:val="22"/>
        </w:rPr>
        <w:t xml:space="preserve">س: "أليس برنامج Excel مجرد أداة؟ هل يمكن بناء نموذج في برامج أخرى؟"</w:t>
      </w:r>
    </w:p>
    <w:p>
      <w:pPr>
        <w:bidi/>
        <w:jc w:val="right"/>
      </w:pPr>
      <w:r>
        <w:rPr>
          <w:sz w:val="22"/>
          <w:szCs w:val="22"/>
        </w:rPr>
        <w:t xml:space="preserve">ج: بالتأكيد. يمكن بناء النماذج في Python أو R أو منصات متخصصة كـ Anaplan، أو حتى برمجيات مخصصة. يهيمن Excel في الممارسة العملية بسبب شفافيته وانتشاره الواسع، لكن منطق النموذج لا يرتبط بأداة بعينها. سنستخدم Excel وسيلتنا الرئيسية في هذا المقرر، لكن المفاهيم قابلة للنقل إلى أي بيئة أخرى.</w:t>
      </w:r>
    </w:p>
    <w:p>
      <w:pPr>
        <w:bidi/>
        <w:jc w:val="right"/>
      </w:pPr>
      <w:r>
        <w:rPr>
          <w:sz w:val="22"/>
          <w:szCs w:val="22"/>
        </w:rPr>
        <w:t xml:space="preserve">س: "ما الفرق بين النموذج والتوقع المالي؟"</w:t>
      </w:r>
    </w:p>
    <w:p>
      <w:pPr>
        <w:bidi/>
        <w:jc w:val="right"/>
      </w:pPr>
      <w:r>
        <w:rPr>
          <w:sz w:val="22"/>
          <w:szCs w:val="22"/>
        </w:rPr>
        <w:t xml:space="preserve">ج: التوقع المالي هو أحد المخرجات التي يمكن للنموذج إنتاجها. أما النموذج فهو البنية الأشمل — يحتوي على الافتراضات والحسابات ومخرجات متعددة محتملة. التوقع يقول: "هذا ما نتوقع حدوثه." أما النموذج فيقول: "هذه هي الآلية التي تُولِّد التوقعات، وهذا ما يحدث حين نغيِّر المدخلات."</w:t>
      </w:r>
    </w:p>
    <w:p>
      <w:pPr>
        <w:bidi/>
        <w:jc w:val="right"/>
      </w:pPr>
      <w:r>
        <w:rPr>
          <w:sz w:val="22"/>
          <w:szCs w:val="22"/>
        </w:rPr>
        <w:t xml:space="preserve">الانتقال</w:t>
      </w:r>
    </w:p>
    <w:p>
      <w:pPr>
        <w:bidi/>
        <w:jc w:val="right"/>
      </w:pPr>
      <w:r>
        <w:rPr>
          <w:sz w:val="22"/>
          <w:szCs w:val="22"/>
        </w:rPr>
        <w:t xml:space="preserve">"الآن بعد أن عرفنا ما هو النموذج المالي، لنتعمق في بنيته الداخلية ونتعرف على مكوناته الخمسة الأساسية."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2026-07-09T21:00:36.822Z</dcterms:created>
  <dcterms:modified xsi:type="dcterms:W3CDTF">2026-07-09T21:00:36.822Z</dcterms:modified>
</cp:coreProperties>
</file>

<file path=docProps/custom.xml><?xml version="1.0" encoding="utf-8"?>
<Properties xmlns="http://schemas.openxmlformats.org/officeDocument/2006/custom-properties" xmlns:vt="http://schemas.openxmlformats.org/officeDocument/2006/docPropsVTypes"/>
</file>