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1</w:t>
      </w:r>
    </w:p>
    <w:p>
      <w:pPr>
        <w:spacing w:after="120"/>
      </w:pPr>
      <w:r>
        <w:rPr>
          <w:rFonts w:ascii="Arial" w:cs="Arial" w:eastAsia="Arial" w:hAnsi="Arial"/>
          <w:b/>
          <w:bCs/>
          <w:color w:val="1C1917"/>
          <w:sz w:val="52"/>
          <w:szCs w:val="52"/>
        </w:rPr>
        <w:t xml:space="preserve">Introduction to Financial Modeling</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Financial modeling is the backbone of every major investment decision, merger, valuation, and strategic plan in corporate finance. Whether you are analyzing a potential acquisition, forecasting a company's cash flows, or stress-testing a capital structure, you are building or interpreting a financial model. This chapter equips you with a precise definition of financial modeling, a clear map of its core components, and a firm understanding of where and why models are used across corporate finance and investment contexts. By the end, you will be able to define the discipline, identify what belongs inside a well-structured model, and explain its role to any stakeholder — exactly what the FMVA exam expects at the foundational level.</w:t>
      </w:r>
    </w:p>
    <w:p>
      <w:pPr>
        <w:pStyle w:val="Heading1"/>
        <w:spacing w:after="120" w:before="340"/>
      </w:pPr>
      <w:r>
        <w:rPr>
          <w:rFonts w:ascii="Arial" w:cs="Arial" w:eastAsia="Arial" w:hAnsi="Arial"/>
          <w:b/>
          <w:bCs/>
          <w:color w:val="B45309"/>
          <w:sz w:val="32"/>
          <w:szCs w:val="32"/>
        </w:rPr>
        <w:t xml:space="preserve">Defining Financial Modeling: Scope, Purpose, and Boundaries</w:t>
      </w:r>
    </w:p>
    <w:p>
      <w:pPr>
        <w:spacing w:after="120"/>
      </w:pPr>
      <w:r>
        <w:rPr>
          <w:rFonts w:ascii="Arial" w:cs="Arial" w:eastAsia="Arial" w:hAnsi="Arial"/>
          <w:sz w:val="22"/>
          <w:szCs w:val="22"/>
        </w:rPr>
        <w:t xml:space="preserve">A financial model is a quantitative representation of a company's or project's financial performance, constructed to support a specific decision. That last phrase — to support a specific decision — is not decorative. It is the organizing principle that determines everything else about the model: its scope, its level of detail, and the assumptions it must make explicit. Strip away the decision, and you no longer have a model; you have a spreadsheet.</w:t>
      </w:r>
    </w:p>
    <w:p>
      <w:pPr>
        <w:pStyle w:val="Heading2"/>
        <w:spacing w:after="80" w:before="220"/>
      </w:pPr>
      <w:r>
        <w:rPr>
          <w:rFonts w:ascii="Arial" w:cs="Arial" w:eastAsia="Arial" w:hAnsi="Arial"/>
          <w:b/>
          <w:bCs/>
          <w:color w:val="1C1917"/>
          <w:sz w:val="25"/>
          <w:szCs w:val="25"/>
        </w:rPr>
        <w:t xml:space="preserve">What a Model Actually Does</w:t>
      </w:r>
    </w:p>
    <w:p>
      <w:pPr>
        <w:spacing w:after="120"/>
      </w:pPr>
      <w:r>
        <w:rPr>
          <w:rFonts w:ascii="Arial" w:cs="Arial" w:eastAsia="Arial" w:hAnsi="Arial"/>
          <w:sz w:val="22"/>
          <w:szCs w:val="22"/>
        </w:rPr>
        <w:t xml:space="preserve">Models translate assumptions about the real world into numerical outputs. A revenue assumption might be "unit volume grows 8% per year." A cost assumption might be "gross margin holds at 42%." Feed those assumptions through a logical structure — formulas, schedules, and linkages — and the model produces outputs: revenue, operating profit, free cash flow, or whatever metric the decision requires. This relationship can be stated compactly: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Model Output = f(Assumptions, Structure, Data)</w:t>
            </w:r>
          </w:p>
        </w:tc>
      </w:tr>
    </w:tbl>
    <w:p>
      <w:pPr>
        <w:spacing w:after="120"/>
      </w:pPr>
      <w:r>
        <w:rPr>
          <w:rFonts w:ascii="Arial" w:cs="Arial" w:eastAsia="Arial" w:hAnsi="Arial"/>
          <w:sz w:val="22"/>
          <w:szCs w:val="22"/>
        </w:rPr>
        <w:t xml:space="preserve">Each of the three inputs matters independently. Two analysts can share identical historical data and an identical model structure yet reach different outputs simply because they hold different assumptions about the future. Recognizing this separability is foundational to reading and critiquing any model you encounter on the job or on an exam.</w:t>
      </w:r>
    </w:p>
    <w:p>
      <w:pPr>
        <w:pStyle w:val="Heading2"/>
        <w:spacing w:after="80" w:before="220"/>
      </w:pPr>
      <w:r>
        <w:rPr>
          <w:rFonts w:ascii="Arial" w:cs="Arial" w:eastAsia="Arial" w:hAnsi="Arial"/>
          <w:b/>
          <w:bCs/>
          <w:color w:val="1C1917"/>
          <w:sz w:val="25"/>
          <w:szCs w:val="25"/>
        </w:rPr>
        <w:t xml:space="preserve">Modeling Is Not Accounting</w:t>
      </w:r>
    </w:p>
    <w:p>
      <w:pPr>
        <w:spacing w:after="120"/>
      </w:pPr>
      <w:r>
        <w:rPr>
          <w:rFonts w:ascii="Arial" w:cs="Arial" w:eastAsia="Arial" w:hAnsi="Arial"/>
          <w:sz w:val="22"/>
          <w:szCs w:val="22"/>
        </w:rPr>
        <w:t xml:space="preserve">A persistent confusion among candidates is conflating financial modeling with financial accounting. The distinction is clean: accounting records the past; modeling projects the future. A set of audited financial statements tells you what revenue was in the fiscal year just ended. A financial model tells you what revenue might be in the three fiscal years ahead, given a stated set of conditions. Accounting is governed by standards (GAAP, IFRS) designed to produce a single, verifiable number. Modeling is governed by logic and judgment, and it intentionally produces a range of numbers corresponding to a range of assumptions.</w:t>
      </w:r>
    </w:p>
    <w:p>
      <w:pPr>
        <w:pStyle w:val="Heading2"/>
        <w:spacing w:after="80" w:before="220"/>
      </w:pPr>
      <w:r>
        <w:rPr>
          <w:rFonts w:ascii="Arial" w:cs="Arial" w:eastAsia="Arial" w:hAnsi="Arial"/>
          <w:b/>
          <w:bCs/>
          <w:color w:val="1C1917"/>
          <w:sz w:val="25"/>
          <w:szCs w:val="25"/>
        </w:rPr>
        <w:t xml:space="preserve">The Philosophy: Possibility, Not Guarantee</w:t>
      </w:r>
    </w:p>
    <w:p>
      <w:pPr>
        <w:spacing w:after="120"/>
      </w:pPr>
      <w:r>
        <w:rPr>
          <w:rFonts w:ascii="Arial" w:cs="Arial" w:eastAsia="Arial" w:hAnsi="Arial"/>
          <w:sz w:val="22"/>
          <w:szCs w:val="22"/>
        </w:rPr>
        <w:t xml:space="preserve">Contemporary scholarship in the philosophy of financial modeling has moved away from the idea that a model represents an actual ongoing reality. Instead, a model demonstrates the possibility of a transaction under a limited set of assumed conditions. A DCF model does not prove that a target company is worth $450 million; it shows that, if the assumed growth rate, margin, and discount rate hold, a value of $450 million is consistent with those conditions. This distinction protects both the analyst and the decision-maker: the model is a structured argument, not a crystal ball.</w:t>
      </w:r>
    </w:p>
    <w:p>
      <w:pPr>
        <w:spacing w:after="120"/>
      </w:pPr>
      <w:r>
        <w:rPr>
          <w:rFonts w:ascii="Arial" w:cs="Arial" w:eastAsia="Arial" w:hAnsi="Arial"/>
          <w:sz w:val="22"/>
          <w:szCs w:val="22"/>
        </w:rPr>
        <w:t xml:space="preserve">George Box's aphorism — "all models are wrong, but some are useful" — is the practitioner's version of the same idea. Every model simplifies reality. The craft lies in simplifying usefully, omitting detail that does not affect the decision while preserving detail that does.</w:t>
      </w:r>
    </w:p>
    <w:p>
      <w:pPr>
        <w:pStyle w:val="Heading2"/>
        <w:spacing w:after="80" w:before="220"/>
      </w:pPr>
      <w:r>
        <w:rPr>
          <w:rFonts w:ascii="Arial" w:cs="Arial" w:eastAsia="Arial" w:hAnsi="Arial"/>
          <w:b/>
          <w:bCs/>
          <w:color w:val="1C1917"/>
          <w:sz w:val="25"/>
          <w:szCs w:val="25"/>
        </w:rPr>
        <w:t xml:space="preserve">Scope Is Set by the Decision</w:t>
      </w:r>
    </w:p>
    <w:p>
      <w:pPr>
        <w:spacing w:after="120"/>
      </w:pPr>
      <w:r>
        <w:rPr>
          <w:rFonts w:ascii="Arial" w:cs="Arial" w:eastAsia="Arial" w:hAnsi="Arial"/>
          <w:sz w:val="22"/>
          <w:szCs w:val="22"/>
        </w:rPr>
        <w:t xml:space="preserve">A discounted cash flow model answers a valuation question. A rolling budget model answers a planning question. A merger model answers a question about accretion or dilution. Defining scope before building is not a bureaucratic formality; it prevents the most common modeling failure — building something technically correct that answers the wrong question.</w:t>
      </w:r>
    </w:p>
    <w:p>
      <w:pPr>
        <w:pStyle w:val="Heading2"/>
        <w:spacing w:after="80" w:before="220"/>
      </w:pPr>
      <w:r>
        <w:rPr>
          <w:rFonts w:ascii="Arial" w:cs="Arial" w:eastAsia="Arial" w:hAnsi="Arial"/>
          <w:b/>
          <w:bCs/>
          <w:color w:val="1C1917"/>
          <w:sz w:val="25"/>
          <w:szCs w:val="25"/>
        </w:rPr>
        <w:t xml:space="preserve">Worked Example: How Assumptions Drive Output</w:t>
      </w:r>
    </w:p>
    <w:p>
      <w:pPr>
        <w:spacing w:after="120"/>
      </w:pPr>
      <w:r>
        <w:rPr>
          <w:rFonts w:ascii="Arial" w:cs="Arial" w:eastAsia="Arial" w:hAnsi="Arial"/>
          <w:sz w:val="22"/>
          <w:szCs w:val="22"/>
        </w:rPr>
        <w:t xml:space="preserve">Consider a simple product business. You are asked to model net income under three demand scenarios. All other structure is identical across scenarios.</w:t>
      </w:r>
    </w:p>
    <w:p>
      <w:pPr>
        <w:spacing w:after="120"/>
      </w:pPr>
      <w:r>
        <w:rPr>
          <w:rFonts w:ascii="Arial" w:cs="Arial" w:eastAsia="Arial" w:hAnsi="Arial"/>
          <w:sz w:val="22"/>
          <w:szCs w:val="22"/>
        </w:rPr>
        <w:t xml:space="preserve">Shared structure (Base assumptions unless varied):</w:t>
      </w:r>
    </w:p>
    <w:p>
      <w:pPr>
        <w:pStyle w:val="ListParagraph"/>
        <w:numPr>
          <w:ilvl w:val="0"/>
          <w:numId w:val="1"/>
        </w:numPr>
        <w:spacing w:after="40"/>
      </w:pPr>
      <w:r>
        <w:rPr>
          <w:rFonts w:ascii="Arial" w:cs="Arial" w:eastAsia="Arial" w:hAnsi="Arial"/>
          <w:sz w:val="22"/>
          <w:szCs w:val="22"/>
        </w:rPr>
        <w:t xml:space="preserve">Selling price per unit: $50</w:t>
      </w:r>
    </w:p>
    <w:p>
      <w:pPr>
        <w:pStyle w:val="ListParagraph"/>
        <w:numPr>
          <w:ilvl w:val="0"/>
          <w:numId w:val="1"/>
        </w:numPr>
        <w:spacing w:after="40"/>
      </w:pPr>
      <w:r>
        <w:rPr>
          <w:rFonts w:ascii="Arial" w:cs="Arial" w:eastAsia="Arial" w:hAnsi="Arial"/>
          <w:sz w:val="22"/>
          <w:szCs w:val="22"/>
        </w:rPr>
        <w:t xml:space="preserve">Variable cost per unit: $30</w:t>
      </w:r>
    </w:p>
    <w:p>
      <w:pPr>
        <w:pStyle w:val="ListParagraph"/>
        <w:numPr>
          <w:ilvl w:val="0"/>
          <w:numId w:val="1"/>
        </w:numPr>
        <w:spacing w:after="40"/>
      </w:pPr>
      <w:r>
        <w:rPr>
          <w:rFonts w:ascii="Arial" w:cs="Arial" w:eastAsia="Arial" w:hAnsi="Arial"/>
          <w:sz w:val="22"/>
          <w:szCs w:val="22"/>
        </w:rPr>
        <w:t xml:space="preserve">Fixed operating costs: $40,000</w:t>
      </w:r>
    </w:p>
    <w:p>
      <w:pPr>
        <w:pStyle w:val="ListParagraph"/>
        <w:numPr>
          <w:ilvl w:val="0"/>
          <w:numId w:val="1"/>
        </w:numPr>
        <w:spacing w:after="40"/>
      </w:pPr>
      <w:r>
        <w:rPr>
          <w:rFonts w:ascii="Arial" w:cs="Arial" w:eastAsia="Arial" w:hAnsi="Arial"/>
          <w:sz w:val="22"/>
          <w:szCs w:val="22"/>
        </w:rPr>
        <w:t xml:space="preserve">Tax rate: 25%</w:t>
      </w:r>
    </w:p>
    <w:p>
      <w:pPr>
        <w:spacing w:after="120"/>
      </w:pPr>
      <w:r>
        <w:rPr>
          <w:rFonts w:ascii="Arial" w:cs="Arial" w:eastAsia="Arial" w:hAnsi="Arial"/>
          <w:sz w:val="22"/>
          <w:szCs w:val="22"/>
        </w:rPr>
        <w:t xml:space="preserve">| Item | Bear | Base | Bull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Units sold | 2,000 | 3,000 | 4,500 |</w:t>
      </w:r>
    </w:p>
    <w:p>
      <w:pPr>
        <w:spacing w:after="120"/>
      </w:pPr>
      <w:r>
        <w:rPr>
          <w:rFonts w:ascii="Arial" w:cs="Arial" w:eastAsia="Arial" w:hAnsi="Arial"/>
          <w:sz w:val="22"/>
          <w:szCs w:val="22"/>
        </w:rPr>
        <w:t xml:space="preserve">| Revenue ($50 × units) | $100,000 | $150,000 | $225,000 |</w:t>
      </w:r>
    </w:p>
    <w:p>
      <w:pPr>
        <w:spacing w:after="120"/>
      </w:pPr>
      <w:r>
        <w:rPr>
          <w:rFonts w:ascii="Arial" w:cs="Arial" w:eastAsia="Arial" w:hAnsi="Arial"/>
          <w:sz w:val="22"/>
          <w:szCs w:val="22"/>
        </w:rPr>
        <w:t xml:space="preserve">| Variable costs ($30 × units) | $60,000 | $90,000 | $135,000 |</w:t>
      </w:r>
    </w:p>
    <w:p>
      <w:pPr>
        <w:spacing w:after="120"/>
      </w:pPr>
      <w:r>
        <w:rPr>
          <w:rFonts w:ascii="Arial" w:cs="Arial" w:eastAsia="Arial" w:hAnsi="Arial"/>
          <w:sz w:val="22"/>
          <w:szCs w:val="22"/>
        </w:rPr>
        <w:t xml:space="preserve">| Gross profit | $40,000 | $60,000 | $90,000 |</w:t>
      </w:r>
    </w:p>
    <w:p>
      <w:pPr>
        <w:spacing w:after="120"/>
      </w:pPr>
      <w:r>
        <w:rPr>
          <w:rFonts w:ascii="Arial" w:cs="Arial" w:eastAsia="Arial" w:hAnsi="Arial"/>
          <w:sz w:val="22"/>
          <w:szCs w:val="22"/>
        </w:rPr>
        <w:t xml:space="preserve">| Fixed costs | $40,000 | $40,000 | $40,000 |</w:t>
      </w:r>
    </w:p>
    <w:p>
      <w:pPr>
        <w:spacing w:after="120"/>
      </w:pPr>
      <w:r>
        <w:rPr>
          <w:rFonts w:ascii="Arial" w:cs="Arial" w:eastAsia="Arial" w:hAnsi="Arial"/>
          <w:sz w:val="22"/>
          <w:szCs w:val="22"/>
        </w:rPr>
        <w:t xml:space="preserve">| EBIT | $0 | $20,000 | $50,000 |</w:t>
      </w:r>
    </w:p>
    <w:p>
      <w:pPr>
        <w:spacing w:after="120"/>
      </w:pPr>
      <w:r>
        <w:rPr>
          <w:rFonts w:ascii="Arial" w:cs="Arial" w:eastAsia="Arial" w:hAnsi="Arial"/>
          <w:sz w:val="22"/>
          <w:szCs w:val="22"/>
        </w:rPr>
        <w:t xml:space="preserve">| Tax (25%) | $0 | $5,000 | $12,500 |</w:t>
      </w:r>
    </w:p>
    <w:p>
      <w:pPr>
        <w:spacing w:after="120"/>
      </w:pPr>
      <w:r>
        <w:rPr>
          <w:rFonts w:ascii="Arial" w:cs="Arial" w:eastAsia="Arial" w:hAnsi="Arial"/>
          <w:sz w:val="22"/>
          <w:szCs w:val="22"/>
        </w:rPr>
        <w:t xml:space="preserve">| Net income | $0 | $15,000 | $37,500 |</w:t>
      </w:r>
    </w:p>
    <w:p>
      <w:pPr>
        <w:spacing w:after="120"/>
      </w:pPr>
      <w:r>
        <w:rPr>
          <w:rFonts w:ascii="Arial" w:cs="Arial" w:eastAsia="Arial" w:hAnsi="Arial"/>
          <w:sz w:val="22"/>
          <w:szCs w:val="22"/>
        </w:rPr>
        <w:t xml:space="preserve">One structural change — the unit volume assumption — produces net income outcomes ranging from breakeven to $37,500. The model structure (price, cost, tax logic) is identical in all three columns. Only the assumption differs. This is precisely what Model Output = f(Assumptions, Structure, Data) predicts: hold structure and data constant, vary assumptions, and outputs move.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Candidates often present only the base-case output and treat it as a forecast. A single-scenario output is not a forecast — it is one possibility conditional on one set of assumptions. Always show the range; the range is the analysis.</w:t>
            </w:r>
          </w:p>
        </w:tc>
      </w:tr>
    </w:tbl>
    <w:p>
      <w:pPr>
        <w:pStyle w:val="Heading1"/>
        <w:spacing w:after="120" w:before="340"/>
      </w:pPr>
      <w:r>
        <w:rPr>
          <w:rFonts w:ascii="Arial" w:cs="Arial" w:eastAsia="Arial" w:hAnsi="Arial"/>
          <w:b/>
          <w:bCs/>
          <w:color w:val="B45309"/>
          <w:sz w:val="32"/>
          <w:szCs w:val="32"/>
        </w:rPr>
        <w:t xml:space="preserve">The Five Core Components of a Financial Model</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Same model structure; only unit volume assumption changes across scenarios</w:t>
      </w:r>
    </w:p>
    <w:p>
      <w:pPr>
        <w:spacing w:after="120"/>
      </w:pPr>
      <w:r>
        <w:rPr>
          <w:rFonts w:ascii="Arial" w:cs="Arial" w:eastAsia="Arial" w:hAnsi="Arial"/>
          <w:sz w:val="22"/>
          <w:szCs w:val="22"/>
        </w:rPr>
        <w:t xml:space="preserve">Every professional financial model, regardless of industry or complexity, is built from the same six structural components. Master these building blocks and you can navigate — or build — virtually any model you encounter in practice.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Inputs &amp; Assumptions: The Driver Layer</w:t>
      </w:r>
    </w:p>
    <w:p>
      <w:pPr>
        <w:spacing w:after="120"/>
      </w:pPr>
      <w:r>
        <w:rPr>
          <w:rFonts w:ascii="Arial" w:cs="Arial" w:eastAsia="Arial" w:hAnsi="Arial"/>
          <w:sz w:val="22"/>
          <w:szCs w:val="22"/>
        </w:rPr>
        <w:t xml:space="preserve">The inputs and assumptions section is the engine room of the model. This is where you record every key variable that drives your projections: revenue growth rates, gross margin targets, operating expense ratios, depreciation methods, discount rates, and tax rates. Best practice demands that all assumptions live in one clearly labeled, visually distinct area — typically highlighted in blue font or a shaded cell background — so that any user can locate, audit, and stress-test them instantly. Hard-coding numbers directly into formulas buried deep in a spreadsheet is one of the most common and costly modeling errors. When assumptions are centralized, a single input change ripples correctly through every downstream calculation.</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Income Statement: From Revenue to Net Income</w:t>
      </w:r>
    </w:p>
    <w:p>
      <w:pPr>
        <w:spacing w:after="120"/>
      </w:pPr>
      <w:r>
        <w:rPr>
          <w:rFonts w:ascii="Arial" w:cs="Arial" w:eastAsia="Arial" w:hAnsi="Arial"/>
          <w:sz w:val="22"/>
          <w:szCs w:val="22"/>
        </w:rPr>
        <w:t xml:space="preserve">The income statement projects financial performance over a period of time. Starting from revenue, you subtract costs layer by layer to arrive at net income. The key line items in a standard model are revenue, cost of goods sold (COGS), gross profit, operating expenses (SG&amp;A, R&amp;D), earnings before interest and taxes (EBIT), interest expense, earnings before tax (EBT), and finally net income after applying the tax rate.</w:t>
      </w:r>
    </w:p>
    <w:p>
      <w:pPr>
        <w:spacing w:after="120"/>
      </w:pPr>
      <w:r>
        <w:rPr>
          <w:rFonts w:ascii="Arial" w:cs="Arial" w:eastAsia="Arial" w:hAnsi="Arial"/>
          <w:sz w:val="22"/>
          <w:szCs w:val="22"/>
        </w:rPr>
        <w:t xml:space="preserve">Worked Example — Five-Line Income Statement</w:t>
      </w:r>
    </w:p>
    <w:p>
      <w:pPr>
        <w:spacing w:after="120"/>
      </w:pPr>
      <w:r>
        <w:rPr>
          <w:rFonts w:ascii="Arial" w:cs="Arial" w:eastAsia="Arial" w:hAnsi="Arial"/>
          <w:sz w:val="22"/>
          <w:szCs w:val="22"/>
        </w:rPr>
        <w:t xml:space="preserve">Assume the following inputs (all sourced from the assumptions tab):</w:t>
      </w:r>
    </w:p>
    <w:p>
      <w:pPr>
        <w:pStyle w:val="ListParagraph"/>
        <w:numPr>
          <w:ilvl w:val="0"/>
          <w:numId w:val="1"/>
        </w:numPr>
        <w:spacing w:after="40"/>
      </w:pPr>
      <w:r>
        <w:rPr>
          <w:rFonts w:ascii="Arial" w:cs="Arial" w:eastAsia="Arial" w:hAnsi="Arial"/>
          <w:sz w:val="22"/>
          <w:szCs w:val="22"/>
        </w:rPr>
        <w:t xml:space="preserve">Revenue: $10,000,000</w:t>
      </w:r>
    </w:p>
    <w:p>
      <w:pPr>
        <w:pStyle w:val="ListParagraph"/>
        <w:numPr>
          <w:ilvl w:val="0"/>
          <w:numId w:val="1"/>
        </w:numPr>
        <w:spacing w:after="40"/>
      </w:pPr>
      <w:r>
        <w:rPr>
          <w:rFonts w:ascii="Arial" w:cs="Arial" w:eastAsia="Arial" w:hAnsi="Arial"/>
          <w:sz w:val="22"/>
          <w:szCs w:val="22"/>
        </w:rPr>
        <w:t xml:space="preserve">COGS as % of revenue: 60%</w:t>
      </w:r>
    </w:p>
    <w:p>
      <w:pPr>
        <w:pStyle w:val="ListParagraph"/>
        <w:numPr>
          <w:ilvl w:val="0"/>
          <w:numId w:val="1"/>
        </w:numPr>
        <w:spacing w:after="40"/>
      </w:pPr>
      <w:r>
        <w:rPr>
          <w:rFonts w:ascii="Arial" w:cs="Arial" w:eastAsia="Arial" w:hAnsi="Arial"/>
          <w:sz w:val="22"/>
          <w:szCs w:val="22"/>
        </w:rPr>
        <w:t xml:space="preserve">Operating expenses (SG&amp;A): $2,000,000</w:t>
      </w:r>
    </w:p>
    <w:p>
      <w:pPr>
        <w:pStyle w:val="ListParagraph"/>
        <w:numPr>
          <w:ilvl w:val="0"/>
          <w:numId w:val="1"/>
        </w:numPr>
        <w:spacing w:after="40"/>
      </w:pPr>
      <w:r>
        <w:rPr>
          <w:rFonts w:ascii="Arial" w:cs="Arial" w:eastAsia="Arial" w:hAnsi="Arial"/>
          <w:sz w:val="22"/>
          <w:szCs w:val="22"/>
        </w:rPr>
        <w:t xml:space="preserve">Interest expense: $200,000</w:t>
      </w:r>
    </w:p>
    <w:p>
      <w:pPr>
        <w:pStyle w:val="ListParagraph"/>
        <w:numPr>
          <w:ilvl w:val="0"/>
          <w:numId w:val="1"/>
        </w:numPr>
        <w:spacing w:after="40"/>
      </w:pPr>
      <w:r>
        <w:rPr>
          <w:rFonts w:ascii="Arial" w:cs="Arial" w:eastAsia="Arial" w:hAnsi="Arial"/>
          <w:sz w:val="22"/>
          <w:szCs w:val="22"/>
        </w:rPr>
        <w:t xml:space="preserve">Tax rate: 30%</w:t>
      </w:r>
    </w:p>
    <w:p>
      <w:pPr>
        <w:spacing w:after="120"/>
      </w:pPr>
      <w:r>
        <w:rPr>
          <w:rFonts w:ascii="Arial" w:cs="Arial" w:eastAsia="Arial" w:hAnsi="Arial"/>
          <w:sz w:val="22"/>
          <w:szCs w:val="22"/>
        </w:rPr>
        <w:t xml:space="preserve">| Line Item | Calculation | Amount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Revenue | Given | $10,000,000 |</w:t>
      </w:r>
    </w:p>
    <w:p>
      <w:pPr>
        <w:spacing w:after="120"/>
      </w:pPr>
      <w:r>
        <w:rPr>
          <w:rFonts w:ascii="Arial" w:cs="Arial" w:eastAsia="Arial" w:hAnsi="Arial"/>
          <w:sz w:val="22"/>
          <w:szCs w:val="22"/>
        </w:rPr>
        <w:t xml:space="preserve">| Less: COGS | 60% × $10 M | ($6,000,000) |</w:t>
      </w:r>
    </w:p>
    <w:p>
      <w:pPr>
        <w:spacing w:after="120"/>
      </w:pPr>
      <w:r>
        <w:rPr>
          <w:rFonts w:ascii="Arial" w:cs="Arial" w:eastAsia="Arial" w:hAnsi="Arial"/>
          <w:sz w:val="22"/>
          <w:szCs w:val="22"/>
        </w:rPr>
        <w:t xml:space="preserve">| Gross Profit | $10 M − $6 M | $4,000,000 |</w:t>
      </w:r>
    </w:p>
    <w:p>
      <w:pPr>
        <w:spacing w:after="120"/>
      </w:pPr>
      <w:r>
        <w:rPr>
          <w:rFonts w:ascii="Arial" w:cs="Arial" w:eastAsia="Arial" w:hAnsi="Arial"/>
          <w:sz w:val="22"/>
          <w:szCs w:val="22"/>
        </w:rPr>
        <w:t xml:space="preserve">| Less: Operating Expenses | Given | ($2,000,000) |</w:t>
      </w:r>
    </w:p>
    <w:p>
      <w:pPr>
        <w:spacing w:after="120"/>
      </w:pPr>
      <w:r>
        <w:rPr>
          <w:rFonts w:ascii="Arial" w:cs="Arial" w:eastAsia="Arial" w:hAnsi="Arial"/>
          <w:sz w:val="22"/>
          <w:szCs w:val="22"/>
        </w:rPr>
        <w:t xml:space="preserve">| EBIT | $4 M − $2 M | $2,000,000 |</w:t>
      </w:r>
    </w:p>
    <w:p>
      <w:pPr>
        <w:spacing w:after="120"/>
      </w:pPr>
      <w:r>
        <w:rPr>
          <w:rFonts w:ascii="Arial" w:cs="Arial" w:eastAsia="Arial" w:hAnsi="Arial"/>
          <w:sz w:val="22"/>
          <w:szCs w:val="22"/>
        </w:rPr>
        <w:t xml:space="preserve">| Less: Interest Expense | Given | ($200,000) |</w:t>
      </w:r>
    </w:p>
    <w:p>
      <w:pPr>
        <w:spacing w:after="120"/>
      </w:pPr>
      <w:r>
        <w:rPr>
          <w:rFonts w:ascii="Arial" w:cs="Arial" w:eastAsia="Arial" w:hAnsi="Arial"/>
          <w:sz w:val="22"/>
          <w:szCs w:val="22"/>
        </w:rPr>
        <w:t xml:space="preserve">| EBT | $2 M − $0.2 M | $1,800,000 |</w:t>
      </w:r>
    </w:p>
    <w:p>
      <w:pPr>
        <w:spacing w:after="120"/>
      </w:pPr>
      <w:r>
        <w:rPr>
          <w:rFonts w:ascii="Arial" w:cs="Arial" w:eastAsia="Arial" w:hAnsi="Arial"/>
          <w:sz w:val="22"/>
          <w:szCs w:val="22"/>
        </w:rPr>
        <w:t xml:space="preserve">| Less: Tax (30%) | 30% × $1.8 M | ($540,000) |</w:t>
      </w:r>
    </w:p>
    <w:p>
      <w:pPr>
        <w:spacing w:after="120"/>
      </w:pPr>
      <w:r>
        <w:rPr>
          <w:rFonts w:ascii="Arial" w:cs="Arial" w:eastAsia="Arial" w:hAnsi="Arial"/>
          <w:sz w:val="22"/>
          <w:szCs w:val="22"/>
        </w:rPr>
        <w:t xml:space="preserve">| Net Income | $1.8 M − $0.54 M | $1,260,000 |</w:t>
      </w:r>
    </w:p>
    <w:p>
      <w:pPr>
        <w:spacing w:after="120"/>
      </w:pPr>
      <w:r>
        <w:rPr>
          <w:rFonts w:ascii="Arial" w:cs="Arial" w:eastAsia="Arial" w:hAnsi="Arial"/>
          <w:sz w:val="22"/>
          <w:szCs w:val="22"/>
        </w:rPr>
        <w:t xml:space="preserve">Notice that a 40% gross margin ($4 M on $10 M revenue) is healthy, but operating costs and financing charges reduce the bottom line to roughly $1.26 M — a net margin of about 12.6%.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Many beginners apply the tax rate directly to EBIT rather than to EBT. Always subtract interest expense before calculating taxes, because interest is a pre-tax deduction in most jurisdictions.</w:t>
            </w:r>
          </w:p>
        </w:tc>
      </w:tr>
    </w:tbl>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Balance Sheet: The Accounting Equation</w:t>
      </w:r>
    </w:p>
    <w:p>
      <w:pPr>
        <w:spacing w:after="120"/>
      </w:pPr>
      <w:r>
        <w:rPr>
          <w:rFonts w:ascii="Arial" w:cs="Arial" w:eastAsia="Arial" w:hAnsi="Arial"/>
          <w:sz w:val="22"/>
          <w:szCs w:val="22"/>
        </w:rPr>
        <w:t xml:space="preserve">The balance sheet is a snapshot of financial position at a specific point in time — not a period. Every balance sheet must satisfy the fundamental accounting identity: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Assets = Liabilities + Shareholders' Equity</w:t>
            </w:r>
          </w:p>
        </w:tc>
      </w:tr>
    </w:tbl>
    <w:p>
      <w:pPr>
        <w:spacing w:after="120"/>
      </w:pPr>
      <w:r>
        <w:rPr>
          <w:rFonts w:ascii="Arial" w:cs="Arial" w:eastAsia="Arial" w:hAnsi="Arial"/>
          <w:sz w:val="22"/>
          <w:szCs w:val="22"/>
        </w:rPr>
        <w:t xml:space="preserve">Assets include cash, accounts receivable, inventory, and fixed assets. Liabilities include accounts payable, debt, and accrued expenses. Equity captures retained earnings and paid-in capital. In a linked three-statement model, net income flows from the income statement into retained earnings, which updates equity, which keeps the balance sheet in balance. If your balance sheet does not balance, there is an error somewhere in your linkages — full stop.</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Cash Flow Statement: Reconciling Profit to Cash</w:t>
      </w:r>
    </w:p>
    <w:p>
      <w:pPr>
        <w:spacing w:after="120"/>
      </w:pPr>
      <w:r>
        <w:rPr>
          <w:rFonts w:ascii="Arial" w:cs="Arial" w:eastAsia="Arial" w:hAnsi="Arial"/>
          <w:sz w:val="22"/>
          <w:szCs w:val="22"/>
        </w:rPr>
        <w:t xml:space="preserve">Net income and cash generated are rarely the same number. The cash flow statement bridges that gap by adjusting net income for non-cash items (depreciation, amortization) and changes in working capital, then separately reporting cash used in investing activities (capital expenditures, acquisitions) and financing activities (debt issuance, dividends, share repurchases). The ending cash balance on the cash flow statement must tie directly to the cash line on the balance sheet.</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Supporting Schedules: The Mechanical Detail</w:t>
      </w:r>
    </w:p>
    <w:p>
      <w:pPr>
        <w:spacing w:after="120"/>
      </w:pPr>
      <w:r>
        <w:rPr>
          <w:rFonts w:ascii="Arial" w:cs="Arial" w:eastAsia="Arial" w:hAnsi="Arial"/>
          <w:sz w:val="22"/>
          <w:szCs w:val="22"/>
        </w:rPr>
        <w:t xml:space="preserve">Three schedules do the heavy lifting behind the scenes. The depreciation schedule calculates periodic depreciation on fixed assets and feeds both the income statement (as an expense) and the balance sheet (reducing net PP&amp;E). The debt schedule tracks borrowings, repayments, and interest expense, linking to both the income statement and balance sheet. The working capital schedule projects accounts receivable, inventory, and accounts payable using days-based assumptions, feeding the cash flow statement's operating section.</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Output &amp; Sensitivity Section: Communicating Results</w:t>
      </w:r>
    </w:p>
    <w:p>
      <w:pPr>
        <w:spacing w:after="120"/>
      </w:pPr>
      <w:r>
        <w:rPr>
          <w:rFonts w:ascii="Arial" w:cs="Arial" w:eastAsia="Arial" w:hAnsi="Arial"/>
          <w:sz w:val="22"/>
          <w:szCs w:val="22"/>
        </w:rPr>
        <w:t xml:space="preserve">Raw numbers alone rarely persuade decision-makers. The output section transforms model results into dashboards, summary tables, and scenario analyses. A well-designed sensitivity table might show how net income changes as revenue growth varies from 5% to 20% across different margin assumptions. Scenario toggles (base, upside, downside) let stakeholders immediately grasp the range of outcomes. This section is the face of your model — clarity and visual discipline here determine whether your analysis drives action.</w:t>
      </w:r>
    </w:p>
    <w:p>
      <w:pPr>
        <w:pStyle w:val="Heading1"/>
        <w:spacing w:after="120" w:before="340"/>
      </w:pPr>
      <w:r>
        <w:rPr>
          <w:rFonts w:ascii="Arial" w:cs="Arial" w:eastAsia="Arial" w:hAnsi="Arial"/>
          <w:b/>
          <w:bCs/>
          <w:color w:val="B45309"/>
          <w:sz w:val="32"/>
          <w:szCs w:val="32"/>
        </w:rPr>
        <w:t xml:space="preserve">Financial Statements as Model Inputs: Reading the Source Data</w:t>
      </w:r>
    </w:p>
    <w:p>
      <w:pPr>
        <w:spacing w:after="120"/>
      </w:pPr>
      <w:r>
        <w:rPr>
          <w:rFonts w:ascii="Arial" w:cs="Arial" w:eastAsia="Arial" w:hAnsi="Arial"/>
          <w:sz w:val="22"/>
          <w:szCs w:val="22"/>
        </w:rPr>
        <w:t xml:space="preserve">Financial statements are the raw material of every financial model. Before an analyst can project a company's future performance, they must first understand where the company has been — and the income statement, balance sheet, and cash flow statement together tell that story in quantitative form.</w:t>
      </w:r>
    </w:p>
    <w:p>
      <w:pPr>
        <w:pStyle w:val="Heading2"/>
        <w:spacing w:after="80" w:before="220"/>
      </w:pPr>
      <w:r>
        <w:rPr>
          <w:rFonts w:ascii="Arial" w:cs="Arial" w:eastAsia="Arial" w:hAnsi="Arial"/>
          <w:b/>
          <w:bCs/>
          <w:color w:val="1C1917"/>
          <w:sz w:val="25"/>
          <w:szCs w:val="25"/>
        </w:rPr>
        <w:t xml:space="preserve">The Three Statements as Historical Evidence</w:t>
      </w:r>
    </w:p>
    <w:p>
      <w:pPr>
        <w:spacing w:after="120"/>
      </w:pPr>
      <w:r>
        <w:rPr>
          <w:rFonts w:ascii="Arial" w:cs="Arial" w:eastAsia="Arial" w:hAnsi="Arial"/>
          <w:sz w:val="22"/>
          <w:szCs w:val="22"/>
        </w:rPr>
        <w:t xml:space="preserve">The income statement records revenues, costs, and profits over a period, making it the starting point for revenue and margin assumptions. The balance sheet captures assets, liabilities, and equity at a point in time, supplying the working capital, debt, and capital structure data that drive financing assumptions. The cash flow statement reconciles net income to actual cash generated, broken into operating, investing, and financing activities.</w:t>
      </w:r>
    </w:p>
    <w:p>
      <w:pPr>
        <w:spacing w:after="120"/>
      </w:pPr>
      <w:r>
        <w:rPr>
          <w:rFonts w:ascii="Arial" w:cs="Arial" w:eastAsia="Arial" w:hAnsi="Arial"/>
          <w:sz w:val="22"/>
          <w:szCs w:val="22"/>
        </w:rPr>
        <w:t xml:space="preserve">Of the three, the cash flow statement is often considered the most reliable model input. Because it is rooted in cash movements rather than accrual judgments, it is significantly harder for management to manipulate. Accrual-based figures — depreciation schedules, revenue recognition timing, warranty reserves — involve estimates that can shift reported income materially without changing a single dollar of real cash. When an income statement figure looks suspicious, analysts frequently cross-check it against operating cash flow as a reality test.</w:t>
      </w:r>
    </w:p>
    <w:p>
      <w:pPr>
        <w:pStyle w:val="Heading2"/>
        <w:spacing w:after="80" w:before="220"/>
      </w:pPr>
      <w:r>
        <w:rPr>
          <w:rFonts w:ascii="Arial" w:cs="Arial" w:eastAsia="Arial" w:hAnsi="Arial"/>
          <w:b/>
          <w:bCs/>
          <w:color w:val="1C1917"/>
          <w:sz w:val="25"/>
          <w:szCs w:val="25"/>
        </w:rPr>
        <w:t xml:space="preserve">Quality Criteria for Useful Inputs</w:t>
      </w:r>
    </w:p>
    <w:p>
      <w:pPr>
        <w:spacing w:after="120"/>
      </w:pPr>
      <w:r>
        <w:rPr>
          <w:rFonts w:ascii="Arial" w:cs="Arial" w:eastAsia="Arial" w:hAnsi="Arial"/>
          <w:sz w:val="22"/>
          <w:szCs w:val="22"/>
        </w:rPr>
        <w:t xml:space="preserve">Not every set of financial statements is equally useful. Drawing from established accounting standards, statements must be understandable (clear enough for a diligent reader), relevant (material to the decisions being modeled), reliable (free from significant error or bias), and comparable (consistent across periods and, ideally, across peer companies). An analyst who ignores comparability — for instance, mixing periods where a company used different revenue recognition policies — risks building projections on a distorted baseline.</w:t>
      </w:r>
    </w:p>
    <w:p>
      <w:pPr>
        <w:pStyle w:val="Heading2"/>
        <w:spacing w:after="80" w:before="220"/>
      </w:pPr>
      <w:r>
        <w:rPr>
          <w:rFonts w:ascii="Arial" w:cs="Arial" w:eastAsia="Arial" w:hAnsi="Arial"/>
          <w:b/>
          <w:bCs/>
          <w:color w:val="1C1917"/>
          <w:sz w:val="25"/>
          <w:szCs w:val="25"/>
        </w:rPr>
        <w:t xml:space="preserve">Normalization: Stripping Out the Noise</w:t>
      </w:r>
    </w:p>
    <w:p>
      <w:pPr>
        <w:spacing w:after="120"/>
      </w:pPr>
      <w:r>
        <w:rPr>
          <w:rFonts w:ascii="Arial" w:cs="Arial" w:eastAsia="Arial" w:hAnsi="Arial"/>
          <w:sz w:val="22"/>
          <w:szCs w:val="22"/>
        </w:rPr>
        <w:t xml:space="preserve">Raw historical statements often contain one-time items: litigation settlements, restructuring charges, asset write-downs, or pandemic-era government grants. These figures are real, but they do not repeat, so projecting them forward would corrupt the model's assumptions. Normalization is the process of removing these items to reveal the company's underlying, recurring performance. A restructuring charge that inflated costs in Year 2 should be added back before calculating an average cost margin; otherwise, the model will underestimate future profitability.</w:t>
      </w:r>
    </w:p>
    <w:p>
      <w:pPr>
        <w:pStyle w:val="Heading2"/>
        <w:spacing w:after="80" w:before="220"/>
      </w:pPr>
      <w:r>
        <w:rPr>
          <w:rFonts w:ascii="Arial" w:cs="Arial" w:eastAsia="Arial" w:hAnsi="Arial"/>
          <w:b/>
          <w:bCs/>
          <w:color w:val="1C1917"/>
          <w:sz w:val="25"/>
          <w:szCs w:val="25"/>
        </w:rPr>
        <w:t xml:space="preserve">Common Size Analysis: Turning Dollars into Ratios</w:t>
      </w:r>
    </w:p>
    <w:p>
      <w:pPr>
        <w:spacing w:after="120"/>
      </w:pPr>
      <w:r>
        <w:rPr>
          <w:rFonts w:ascii="Arial" w:cs="Arial" w:eastAsia="Arial" w:hAnsi="Arial"/>
          <w:sz w:val="22"/>
          <w:szCs w:val="22"/>
        </w:rPr>
        <w:t xml:space="preserve">Once statements are normalized, analysts convert them into common size format by expressing every line item as a percentage of revenue. This transforms raw dollar figures — which change simply because the company grew — into assumption-ready ratios that can be projected forward. A gross margin of 42%, an SG&amp;A ratio of 18%, or a capital expenditure intensity of 5% of revenue are far more portable assumptions than the underlying dollar amounts.</w:t>
      </w:r>
    </w:p>
    <w:p>
      <w:pPr>
        <w:pStyle w:val="Heading2"/>
        <w:spacing w:after="80" w:before="220"/>
      </w:pPr>
      <w:r>
        <w:rPr>
          <w:rFonts w:ascii="Arial" w:cs="Arial" w:eastAsia="Arial" w:hAnsi="Arial"/>
          <w:b/>
          <w:bCs/>
          <w:color w:val="1C1917"/>
          <w:sz w:val="25"/>
          <w:szCs w:val="25"/>
        </w:rPr>
        <w:t xml:space="preserve">Linking Source Data into the Model</w:t>
      </w:r>
    </w:p>
    <w:p>
      <w:pPr>
        <w:spacing w:after="120"/>
      </w:pPr>
      <w:r>
        <w:rPr>
          <w:rFonts w:ascii="Arial" w:cs="Arial" w:eastAsia="Arial" w:hAnsi="Arial"/>
          <w:sz w:val="22"/>
          <w:szCs w:val="22"/>
        </w:rPr>
        <w:t xml:space="preserve">Best practice is to enter historical figures directly into dedicated input cells in the model, clearly labeled and color-coded (typically blue font for hard-coded inputs). Every downstream calculation then references those cells rather than re-entering numbers manually. This creates an auditable chain: any reviewer can trace an output back through formulas to the original financial statement figure, reducing error and increasing transparency.</w:t>
      </w:r>
    </w:p>
    <w:p>
      <w:pPr>
        <w:pStyle w:val="Heading2"/>
        <w:spacing w:after="80" w:before="220"/>
      </w:pPr>
      <w:r>
        <w:rPr>
          <w:rFonts w:ascii="Arial" w:cs="Arial" w:eastAsia="Arial" w:hAnsi="Arial"/>
          <w:b/>
          <w:bCs/>
          <w:color w:val="1C1917"/>
          <w:sz w:val="25"/>
          <w:szCs w:val="25"/>
        </w:rPr>
        <w:t xml:space="preserve">Worked Example: Calculating a Revenue CAGR</w:t>
      </w:r>
    </w:p>
    <w:p>
      <w:pPr>
        <w:spacing w:after="120"/>
      </w:pPr>
      <w:r>
        <w:rPr>
          <w:rFonts w:ascii="Arial" w:cs="Arial" w:eastAsia="Arial" w:hAnsi="Arial"/>
          <w:sz w:val="22"/>
          <w:szCs w:val="22"/>
        </w:rPr>
        <w:t xml:space="preserve">Suppose a company reports the following three years of revenue:</w:t>
      </w:r>
    </w:p>
    <w:p>
      <w:pPr>
        <w:spacing w:after="120"/>
      </w:pPr>
      <w:r>
        <w:rPr>
          <w:rFonts w:ascii="Arial" w:cs="Arial" w:eastAsia="Arial" w:hAnsi="Arial"/>
          <w:sz w:val="22"/>
          <w:szCs w:val="22"/>
        </w:rPr>
        <w:t xml:space="preserve">| Year | Revenue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Year 1 | $80 M |</w:t>
      </w:r>
    </w:p>
    <w:p>
      <w:pPr>
        <w:spacing w:after="120"/>
      </w:pPr>
      <w:r>
        <w:rPr>
          <w:rFonts w:ascii="Arial" w:cs="Arial" w:eastAsia="Arial" w:hAnsi="Arial"/>
          <w:sz w:val="22"/>
          <w:szCs w:val="22"/>
        </w:rPr>
        <w:t xml:space="preserve">| Year 2 | $90 M |</w:t>
      </w:r>
    </w:p>
    <w:p>
      <w:pPr>
        <w:spacing w:after="120"/>
      </w:pPr>
      <w:r>
        <w:rPr>
          <w:rFonts w:ascii="Arial" w:cs="Arial" w:eastAsia="Arial" w:hAnsi="Arial"/>
          <w:sz w:val="22"/>
          <w:szCs w:val="22"/>
        </w:rPr>
        <w:t xml:space="preserve">| Year 3 | $100 M |</w:t>
      </w:r>
    </w:p>
    <w:p>
      <w:pPr>
        <w:spacing w:after="120"/>
      </w:pPr>
      <w:r>
        <w:rPr>
          <w:rFonts w:ascii="Arial" w:cs="Arial" w:eastAsia="Arial" w:hAnsi="Arial"/>
          <w:sz w:val="22"/>
          <w:szCs w:val="22"/>
        </w:rPr>
        <w:t xml:space="preserve">To project Year 4 revenue, the analyst first calculates the Compound Annual Growth Rate (CAGR) across the historical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CAGR = (Ending Value / Beginning Value)^(1/n) − 1</w:t>
            </w:r>
          </w:p>
        </w:tc>
      </w:tr>
    </w:tbl>
    <w:p>
      <w:pPr>
        <w:spacing w:after="120"/>
      </w:pPr>
      <w:r>
        <w:rPr>
          <w:rFonts w:ascii="Arial" w:cs="Arial" w:eastAsia="Arial" w:hAnsi="Arial"/>
          <w:sz w:val="22"/>
          <w:szCs w:val="22"/>
        </w:rPr>
        <w:t xml:space="preserve">Here, the Ending Value is $100 M, the Beginning Value is $80 M, and n = 2 (two growth periods between Year 1 and Year 3).</w:t>
      </w:r>
    </w:p>
    <w:p>
      <w:pPr>
        <w:spacing w:after="120"/>
      </w:pPr>
      <w:r>
        <w:rPr>
          <w:rFonts w:ascii="Arial" w:cs="Arial" w:eastAsia="Arial" w:hAnsi="Arial"/>
          <w:sz w:val="22"/>
          <w:szCs w:val="22"/>
        </w:rPr>
        <w:t xml:space="preserve">Step 1 — Divide ending by beginning:</w:t>
      </w:r>
    </w:p>
    <w:p>
      <w:pPr>
        <w:spacing w:after="120"/>
      </w:pPr>
      <w:r>
        <w:rPr>
          <w:rFonts w:ascii="Arial" w:cs="Arial" w:eastAsia="Arial" w:hAnsi="Arial"/>
          <w:sz w:val="22"/>
          <w:szCs w:val="22"/>
        </w:rPr>
        <w:t xml:space="preserve">$100 M ÷ $80 M = 1.2500</w:t>
      </w:r>
    </w:p>
    <w:p>
      <w:pPr>
        <w:spacing w:after="120"/>
      </w:pPr>
      <w:r>
        <w:rPr>
          <w:rFonts w:ascii="Arial" w:cs="Arial" w:eastAsia="Arial" w:hAnsi="Arial"/>
          <w:sz w:val="22"/>
          <w:szCs w:val="22"/>
        </w:rPr>
        <w:t xml:space="preserve">Step 2 — Raise to the power of 1/n:</w:t>
      </w:r>
    </w:p>
    <w:p>
      <w:pPr>
        <w:spacing w:after="120"/>
      </w:pPr>
      <w:r>
        <w:rPr>
          <w:rFonts w:ascii="Arial" w:cs="Arial" w:eastAsia="Arial" w:hAnsi="Arial"/>
          <w:sz w:val="22"/>
          <w:szCs w:val="22"/>
        </w:rPr>
        <w:t xml:space="preserve">1.2500^(1/2) = 1.2500^0.5 = 1.11803</w:t>
      </w:r>
    </w:p>
    <w:p>
      <w:pPr>
        <w:spacing w:after="120"/>
      </w:pPr>
      <w:r>
        <w:rPr>
          <w:rFonts w:ascii="Arial" w:cs="Arial" w:eastAsia="Arial" w:hAnsi="Arial"/>
          <w:sz w:val="22"/>
          <w:szCs w:val="22"/>
        </w:rPr>
        <w:t xml:space="preserve">Step 3 — Subtract 1:</w:t>
      </w:r>
    </w:p>
    <w:p>
      <w:pPr>
        <w:spacing w:after="120"/>
      </w:pPr>
      <w:r>
        <w:rPr>
          <w:rFonts w:ascii="Arial" w:cs="Arial" w:eastAsia="Arial" w:hAnsi="Arial"/>
          <w:sz w:val="22"/>
          <w:szCs w:val="22"/>
        </w:rPr>
        <w:t xml:space="preserve">1.11803 − 1 = 0.11803, or approximately 11.8%</w:t>
      </w:r>
    </w:p>
    <w:p>
      <w:pPr>
        <w:spacing w:after="120"/>
      </w:pPr>
      <w:r>
        <w:rPr>
          <w:rFonts w:ascii="Arial" w:cs="Arial" w:eastAsia="Arial" w:hAnsi="Arial"/>
          <w:sz w:val="22"/>
          <w:szCs w:val="22"/>
        </w:rPr>
        <w:t xml:space="preserve">Step 4 — Apply to Year 3 revenue:</w:t>
      </w:r>
    </w:p>
    <w:p>
      <w:pPr>
        <w:spacing w:after="120"/>
      </w:pPr>
      <w:r>
        <w:rPr>
          <w:rFonts w:ascii="Arial" w:cs="Arial" w:eastAsia="Arial" w:hAnsi="Arial"/>
          <w:sz w:val="22"/>
          <w:szCs w:val="22"/>
        </w:rPr>
        <w:t xml:space="preserve">Year 4 projected revenue = $100 M × (1 + 0.118) = $111.8 M</w:t>
      </w:r>
    </w:p>
    <w:p>
      <w:pPr>
        <w:spacing w:after="120"/>
      </w:pPr>
      <w:r>
        <w:rPr>
          <w:rFonts w:ascii="Arial" w:cs="Arial" w:eastAsia="Arial" w:hAnsi="Arial"/>
          <w:sz w:val="22"/>
          <w:szCs w:val="22"/>
        </w:rPr>
        <w:t xml:space="preserve">This single assumption — derived directly from auditable historical data — now anchors the entire revenue forecast.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sometimes count the number of data points rather than the number of periods when setting n. With three years of data (Year 1, Year 2, Year 3), there are only two growth periods, so n = 2, not 3. Using n = 3 would understate the CAGR and produce a lower, incorrect growth assumption.</w:t>
            </w:r>
          </w:p>
        </w:tc>
      </w:tr>
    </w:tbl>
    <w:p>
      <w:pPr>
        <w:spacing w:after="120"/>
      </w:pPr>
      <w:r>
        <w:rPr>
          <w:rFonts w:ascii="Arial" w:cs="Arial" w:eastAsia="Arial" w:hAnsi="Arial"/>
          <w:sz w:val="22"/>
          <w:szCs w:val="22"/>
        </w:rPr>
        <w:t xml:space="preserve">By treating historical statements as structured, normalized, and linked inputs rather than static reference documents, analysts build models that are both defensible and easy to update when new data arrives.</w:t>
      </w:r>
    </w:p>
    <w:p>
      <w:pPr>
        <w:pStyle w:val="Heading1"/>
        <w:spacing w:after="120" w:before="340"/>
      </w:pPr>
      <w:r>
        <w:rPr>
          <w:rFonts w:ascii="Arial" w:cs="Arial" w:eastAsia="Arial" w:hAnsi="Arial"/>
          <w:b/>
          <w:bCs/>
          <w:color w:val="B45309"/>
          <w:sz w:val="32"/>
          <w:szCs w:val="32"/>
        </w:rPr>
        <w:t xml:space="preserve">Financial Modeling in Corporate Finance: Use Cases and Decision Contexts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Foundation assumptions support every layer above; change inputs, all outputs update</w:t>
      </w:r>
    </w:p>
    <w:p>
      <w:pPr>
        <w:spacing w:after="120"/>
      </w:pPr>
      <w:r>
        <w:rPr>
          <w:rFonts w:ascii="Arial" w:cs="Arial" w:eastAsia="Arial" w:hAnsi="Arial"/>
          <w:sz w:val="22"/>
          <w:szCs w:val="22"/>
        </w:rPr>
        <w:t xml:space="preserve">Financial modeling serves a distinct purpose in each corner of corporate finance. Rather than being a single tool with one use, a model is always built in response to a decision — and understanding that decision context is what separates a purposeful analyst from one who simply fills in spreadsheet cells. The six applications below represent the most common reasons organizations commission financial models.</w:t>
      </w:r>
    </w:p>
    <w:p>
      <w:pPr>
        <w:pStyle w:val="Heading2"/>
        <w:spacing w:after="80" w:before="220"/>
      </w:pPr>
      <w:r>
        <w:rPr>
          <w:rFonts w:ascii="Arial" w:cs="Arial" w:eastAsia="Arial" w:hAnsi="Arial"/>
          <w:b/>
          <w:bCs/>
          <w:color w:val="1C1917"/>
          <w:sz w:val="25"/>
          <w:szCs w:val="25"/>
        </w:rPr>
        <w:t xml:space="preserve">Budgeting and Forecasting</w:t>
      </w:r>
    </w:p>
    <w:p>
      <w:pPr>
        <w:spacing w:after="120"/>
      </w:pPr>
      <w:r>
        <w:rPr>
          <w:rFonts w:ascii="Arial" w:cs="Arial" w:eastAsia="Arial" w:hAnsi="Arial"/>
          <w:sz w:val="22"/>
          <w:szCs w:val="22"/>
        </w:rPr>
        <w:t xml:space="preserve">Internal finance teams build operating models to project revenues, costs, and cash flows across a planning horizon — typically one to three years. These models feed directly into annual operating plans, helping management allocate headcount, set capital expenditure budgets, and establish performance targets. The model's value here is not precision but discipline: forcing every assumption to be explicit and testable.</w:t>
      </w:r>
    </w:p>
    <w:p>
      <w:pPr>
        <w:pStyle w:val="Heading2"/>
        <w:spacing w:after="80" w:before="220"/>
      </w:pPr>
      <w:r>
        <w:rPr>
          <w:rFonts w:ascii="Arial" w:cs="Arial" w:eastAsia="Arial" w:hAnsi="Arial"/>
          <w:b/>
          <w:bCs/>
          <w:color w:val="1C1917"/>
          <w:sz w:val="25"/>
          <w:szCs w:val="25"/>
        </w:rPr>
        <w:t xml:space="preserve">Mergers and Acquisitions</w:t>
      </w:r>
    </w:p>
    <w:p>
      <w:pPr>
        <w:spacing w:after="120"/>
      </w:pPr>
      <w:r>
        <w:rPr>
          <w:rFonts w:ascii="Arial" w:cs="Arial" w:eastAsia="Arial" w:hAnsi="Arial"/>
          <w:sz w:val="22"/>
          <w:szCs w:val="22"/>
        </w:rPr>
        <w:t xml:space="preserve">In M&amp;A, the central question is whether a deal creates or destroys value for the acquirer's shareholders. Merger models calculate the enterprise value of a target, determine how much equity the acquirer must pay, and then test whether the combined entity's earnings per share rises (accretion) or falls (dilution) after the transaction closes. Deal teams rely on these models to anchor price negotiations and structure consideration — cash versus stock, earnouts, and debt assumptions all flow through the model.</w:t>
      </w:r>
    </w:p>
    <w:p>
      <w:pPr>
        <w:pStyle w:val="Heading2"/>
        <w:spacing w:after="80" w:before="220"/>
      </w:pPr>
      <w:r>
        <w:rPr>
          <w:rFonts w:ascii="Arial" w:cs="Arial" w:eastAsia="Arial" w:hAnsi="Arial"/>
          <w:b/>
          <w:bCs/>
          <w:color w:val="1C1917"/>
          <w:sz w:val="25"/>
          <w:szCs w:val="25"/>
        </w:rPr>
        <w:t xml:space="preserve">Capital Raising</w:t>
      </w:r>
    </w:p>
    <w:p>
      <w:pPr>
        <w:spacing w:after="120"/>
      </w:pPr>
      <w:r>
        <w:rPr>
          <w:rFonts w:ascii="Arial" w:cs="Arial" w:eastAsia="Arial" w:hAnsi="Arial"/>
          <w:sz w:val="22"/>
          <w:szCs w:val="22"/>
        </w:rPr>
        <w:t xml:space="preserve">Whether a company is approaching a bank for a leveraged loan or pitching equity investors in a roadshow, lenders and investors demand a model. Lenders focus on debt service coverage and leverage ratios to assess repayment capacity. Equity investors focus on projected free cash flow and return multiples. In both cases, the model is the primary communication tool between the company and its capital providers.</w:t>
      </w:r>
    </w:p>
    <w:p>
      <w:pPr>
        <w:pStyle w:val="Heading2"/>
        <w:spacing w:after="80" w:before="220"/>
      </w:pPr>
      <w:r>
        <w:rPr>
          <w:rFonts w:ascii="Arial" w:cs="Arial" w:eastAsia="Arial" w:hAnsi="Arial"/>
          <w:b/>
          <w:bCs/>
          <w:color w:val="1C1917"/>
          <w:sz w:val="25"/>
          <w:szCs w:val="25"/>
        </w:rPr>
        <w:t xml:space="preserve">Project Finance</w:t>
      </w:r>
    </w:p>
    <w:p>
      <w:pPr>
        <w:spacing w:after="120"/>
      </w:pPr>
      <w:r>
        <w:rPr>
          <w:rFonts w:ascii="Arial" w:cs="Arial" w:eastAsia="Arial" w:hAnsi="Arial"/>
          <w:sz w:val="22"/>
          <w:szCs w:val="22"/>
        </w:rPr>
        <w:t xml:space="preserve">Large infrastructure or energy projects are often financed on a standalone basis, meaning lenders look exclusively at the project's own cash flows — not the parent company's balance sheet — to determine whether debt can be repaid. A project finance model must demonstrate that revenues (tolls, power purchase agreements, offtake contracts) comfortably exceed operating costs and debt service across the project's life, typically under stress scenarios.</w:t>
      </w:r>
    </w:p>
    <w:p>
      <w:pPr>
        <w:pStyle w:val="Heading2"/>
        <w:spacing w:after="80" w:before="220"/>
      </w:pPr>
      <w:r>
        <w:rPr>
          <w:rFonts w:ascii="Arial" w:cs="Arial" w:eastAsia="Arial" w:hAnsi="Arial"/>
          <w:b/>
          <w:bCs/>
          <w:color w:val="1C1917"/>
          <w:sz w:val="25"/>
          <w:szCs w:val="25"/>
        </w:rPr>
        <w:t xml:space="preserve">Restructuring</w:t>
      </w:r>
    </w:p>
    <w:p>
      <w:pPr>
        <w:spacing w:after="120"/>
      </w:pPr>
      <w:r>
        <w:rPr>
          <w:rFonts w:ascii="Arial" w:cs="Arial" w:eastAsia="Arial" w:hAnsi="Arial"/>
          <w:sz w:val="22"/>
          <w:szCs w:val="22"/>
        </w:rPr>
        <w:t xml:space="preserve">When a company is financially distressed, advisors build restructuring models to test survival scenarios. The core question is whether the business can generate enough cash to meet obligations under a revised capital structure — one with reduced debt, extended maturities, or converted equity. These models are stress-tested aggressively because the margin for error is thin and the consequences of being wrong are severe.</w:t>
      </w:r>
    </w:p>
    <w:p>
      <w:pPr>
        <w:pStyle w:val="Heading2"/>
        <w:spacing w:after="80" w:before="220"/>
      </w:pPr>
      <w:r>
        <w:rPr>
          <w:rFonts w:ascii="Arial" w:cs="Arial" w:eastAsia="Arial" w:hAnsi="Arial"/>
          <w:b/>
          <w:bCs/>
          <w:color w:val="1C1917"/>
          <w:sz w:val="25"/>
          <w:szCs w:val="25"/>
        </w:rPr>
        <w:t xml:space="preserve">Strategic Planning</w:t>
      </w:r>
    </w:p>
    <w:p>
      <w:pPr>
        <w:spacing w:after="120"/>
      </w:pPr>
      <w:r>
        <w:rPr>
          <w:rFonts w:ascii="Arial" w:cs="Arial" w:eastAsia="Arial" w:hAnsi="Arial"/>
          <w:sz w:val="22"/>
          <w:szCs w:val="22"/>
        </w:rPr>
        <w:t xml:space="preserve">At the highest level, scenario models help executives compare fundamentally different strategic paths: growing organically, acquiring a competitor, or divesting a business unit. Each path carries different capital requirements, risk profiles, and return timelines. A well-structured scenario model makes those trade-offs visible and comparable on a single page.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Worked Example: Pricing a Simple Acquisition</w:t>
      </w:r>
    </w:p>
    <w:p>
      <w:pPr>
        <w:spacing w:after="120"/>
      </w:pPr>
      <w:r>
        <w:rPr>
          <w:rFonts w:ascii="Arial" w:cs="Arial" w:eastAsia="Arial" w:hAnsi="Arial"/>
          <w:sz w:val="22"/>
          <w:szCs w:val="22"/>
        </w:rPr>
        <w:t xml:space="preserve">Suppose your firm is evaluating the acquisition of a private manufacturing company. The target generates $5 million in EBITDA, and comparable transactions in the sector have recently closed at 8× EBITDA multiples. The target carries $10 million in net debt on its balance sheet.</w:t>
      </w:r>
    </w:p>
    <w:p>
      <w:pPr>
        <w:spacing w:after="120"/>
      </w:pPr>
      <w:r>
        <w:rPr>
          <w:rFonts w:ascii="Arial" w:cs="Arial" w:eastAsia="Arial" w:hAnsi="Arial"/>
          <w:sz w:val="22"/>
          <w:szCs w:val="22"/>
        </w:rPr>
        <w:t xml:space="preserve">Step 1 — Calculate Enterprise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Enterprise Value = EBITDA × EV/EBITDA Multiple</w:t>
            </w:r>
          </w:p>
        </w:tc>
      </w:tr>
    </w:tbl>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Enterprise Value = $5,000,000 × 8 = $40,000,000</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Enterprise value represents the total value of the business to all capital providers — both debt holders and equity holders.</w:t>
      </w:r>
    </w:p>
    <w:p>
      <w:pPr>
        <w:spacing w:after="120"/>
      </w:pPr>
      <w:r>
        <w:rPr>
          <w:rFonts w:ascii="Arial" w:cs="Arial" w:eastAsia="Arial" w:hAnsi="Arial"/>
          <w:sz w:val="22"/>
          <w:szCs w:val="22"/>
        </w:rPr>
        <w:t xml:space="preserve">Step 2 — Subtract net debt to isolate equity value.</w:t>
      </w:r>
    </w:p>
    <w:p>
      <w:pPr>
        <w:spacing w:after="120"/>
      </w:pPr>
      <w:r>
        <w:rPr>
          <w:rFonts w:ascii="Arial" w:cs="Arial" w:eastAsia="Arial" w:hAnsi="Arial"/>
          <w:sz w:val="22"/>
          <w:szCs w:val="22"/>
        </w:rPr>
        <w:t xml:space="preserve">The debt belongs to lenders, not to the seller. To find what the acquirer pays the shareholders, subtract net debt: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Equity Value = Enterprise Value − Net Debt</w:t>
      </w:r>
    </w:p>
    <w:p>
      <w:pPr>
        <w:spacing w:after="120"/>
      </w:pPr>
      <w:r>
        <w:rPr>
          <w:rFonts w:ascii="Arial" w:cs="Arial" w:eastAsia="Arial" w:hAnsi="Arial"/>
          <w:sz w:val="22"/>
          <w:szCs w:val="22"/>
        </w:rPr>
        <w:t xml:space="preserve">Equity Value = $40,000,000 − $10,000,000 = $30,000,000</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Step 3 — Interpret the result.</w:t>
      </w:r>
    </w:p>
    <w:p>
      <w:pPr>
        <w:spacing w:after="120"/>
      </w:pPr>
      <w:r>
        <w:rPr>
          <w:rFonts w:ascii="Arial" w:cs="Arial" w:eastAsia="Arial" w:hAnsi="Arial"/>
          <w:sz w:val="22"/>
          <w:szCs w:val="22"/>
        </w:rPr>
        <w:t xml:space="preserve">The acquirer would offer $30 million to the target's equity holders. If the deal is financed partly with the acquirer's own debt, the model would next layer in interest expense and test whether the combined entity's cash flows cover the new debt service — connecting this M&amp;A model directly to the capital raising and project finance frameworks described above.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sometimes confuse enterprise value with the purchase price paid to shareholders. Enterprise value is the total business value; the equity check written at closing equals enterprise value minus net debt (or plus net cash). Mixing these up overstates what sellers actually receive and understates the acquirer's true cost of capital.</w:t>
            </w:r>
          </w:p>
        </w:tc>
      </w:tr>
    </w:tbl>
    <w:p>
      <w:pPr>
        <w:spacing w:after="120"/>
      </w:pPr>
      <w:r>
        <w:rPr>
          <w:rFonts w:ascii="Arial" w:cs="Arial" w:eastAsia="Arial" w:hAnsi="Arial"/>
          <w:sz w:val="22"/>
          <w:szCs w:val="22"/>
        </w:rPr>
        <w:t xml:space="preserve">Each of these six use cases demands a model tailored to its specific decision. Recognizing why a model is being built before opening a spreadsheet is the first discipline of professional financial modeling.</w:t>
      </w:r>
    </w:p>
    <w:p>
      <w:pPr>
        <w:pStyle w:val="Heading1"/>
        <w:spacing w:after="120" w:before="340"/>
      </w:pPr>
      <w:r>
        <w:rPr>
          <w:rFonts w:ascii="Arial" w:cs="Arial" w:eastAsia="Arial" w:hAnsi="Arial"/>
          <w:b/>
          <w:bCs/>
          <w:color w:val="B45309"/>
          <w:sz w:val="32"/>
          <w:szCs w:val="32"/>
        </w:rPr>
        <w:t xml:space="preserve">Financial Modeling in Investment Contexts: Valuation and Return Analysis</w:t>
      </w:r>
    </w:p>
    <w:p>
      <w:pPr>
        <w:spacing w:after="120"/>
      </w:pPr>
      <w:r>
        <w:rPr>
          <w:rFonts w:ascii="Arial" w:cs="Arial" w:eastAsia="Arial" w:hAnsi="Arial"/>
          <w:sz w:val="22"/>
          <w:szCs w:val="22"/>
        </w:rPr>
        <w:t xml:space="preserve">Investment professionals on both the buy side (asset managers, hedge funds, private equity) and the sell side (investment banks, equity research departments) rely on financial models to translate raw financial data into actionable decisions. While the specific outputs differ—a portfolio manager wants to know whether to buy a stock; a banker wants to know whether a deal is fairly priced—the underlying logic is identical: estimate future cash flows, apply a risk-adjusted rate, and compare the result to the current price or cost.</w:t>
      </w:r>
    </w:p>
    <w:p>
      <w:pPr>
        <w:pStyle w:val="Heading2"/>
        <w:spacing w:after="80" w:before="220"/>
      </w:pPr>
      <w:r>
        <w:rPr>
          <w:rFonts w:ascii="Arial" w:cs="Arial" w:eastAsia="Arial" w:hAnsi="Arial"/>
          <w:b/>
          <w:bCs/>
          <w:color w:val="1C1917"/>
          <w:sz w:val="25"/>
          <w:szCs w:val="25"/>
        </w:rPr>
        <w:t xml:space="preserve">The Four Core Valuation Frameworks</w:t>
      </w:r>
    </w:p>
    <w:p>
      <w:pPr>
        <w:spacing w:after="120"/>
      </w:pPr>
      <w:r>
        <w:rPr>
          <w:rFonts w:ascii="Arial" w:cs="Arial" w:eastAsia="Arial" w:hAnsi="Arial"/>
          <w:sz w:val="22"/>
          <w:szCs w:val="22"/>
        </w:rPr>
        <w:t xml:space="preserve">Discounted Cash Flow (DCF) Analysis is the most theoretically rigorous approach. The analyst projects a company's free cash flows (FCF) over an explicit forecast horizon, then estimates a terminal value to capture all cash flows beyond that horizon. Both components are discounted back to the present using the Weighted Average Cost of Capital (WACC), which reflects the blended required return of debt and equity holders.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DCF Value = Σ [FCFt / (1+WACC)^t] + Terminal Value / (1+WACC)^n</w:t>
            </w:r>
          </w:p>
        </w:tc>
      </w:tr>
    </w:tbl>
    <w:p>
      <w:pPr>
        <w:spacing w:after="120"/>
      </w:pPr>
      <w:r>
        <w:rPr>
          <w:rFonts w:ascii="Arial" w:cs="Arial" w:eastAsia="Arial" w:hAnsi="Arial"/>
          <w:sz w:val="22"/>
          <w:szCs w:val="22"/>
        </w:rPr>
        <w:t xml:space="preserve">The result is an intrinsic enterprise value—what the business is worth based purely on its expected economics, independent of what the market currently says.</w:t>
      </w:r>
    </w:p>
    <w:p>
      <w:pPr>
        <w:spacing w:after="120"/>
      </w:pPr>
      <w:r>
        <w:rPr>
          <w:rFonts w:ascii="Arial" w:cs="Arial" w:eastAsia="Arial" w:hAnsi="Arial"/>
          <w:sz w:val="22"/>
          <w:szCs w:val="22"/>
        </w:rPr>
        <w:t xml:space="preserve">Comparable Company Analysis (Comps) takes a market-based shortcut. The analyst identifies a peer group of publicly traded companies, calculates their valuation multiples (commonly EV/EBITDA or P/E), and applies those multiples to the subject company's own metrics. If peers trade at 8× EBITDA and the subject company generates $50 M of EBITDA, the implied value is $400 M. Comps are fast and grounded in real market sentiment, but they inherit whatever mispricing exists in the peer group.</w:t>
      </w:r>
    </w:p>
    <w:p>
      <w:pPr>
        <w:spacing w:after="120"/>
      </w:pPr>
      <w:r>
        <w:rPr>
          <w:rFonts w:ascii="Arial" w:cs="Arial" w:eastAsia="Arial" w:hAnsi="Arial"/>
          <w:sz w:val="22"/>
          <w:szCs w:val="22"/>
        </w:rPr>
        <w:t xml:space="preserve">Precedent Transaction Analysis follows the same multiple logic, but draws data from completed M&amp;A deals rather than public trading prices. Because acquirers typically pay a control premium—often 20–30% above the unaffected share price—precedent transaction multiples tend to be higher than comps multiples. Bankers use this framework to benchmark a "fair" acquisition price and to defend a board's decision to accept or reject a bid.</w:t>
      </w:r>
    </w:p>
    <w:p>
      <w:pPr>
        <w:spacing w:after="120"/>
      </w:pPr>
      <w:r>
        <w:rPr>
          <w:rFonts w:ascii="Arial" w:cs="Arial" w:eastAsia="Arial" w:hAnsi="Arial"/>
          <w:sz w:val="22"/>
          <w:szCs w:val="22"/>
        </w:rPr>
        <w:t xml:space="preserve">Leveraged Buyout (LBO) Models answer a specific private equity question: given a target return (typically a 20–25% IRR), what is the maximum price we can pay today? The model layers in a debt capital structure, projects cash flows available for debt repayment, assumes an exit multiple at the end of the hold period (usually 5 years), and solves backward for the entry price that delivers the target IRR. The LBO model therefore sets a price ceiling from a financial sponsor's perspective.</w:t>
      </w:r>
    </w:p>
    <w:p>
      <w:pPr>
        <w:pStyle w:val="Heading2"/>
        <w:spacing w:after="80" w:before="220"/>
      </w:pPr>
      <w:r>
        <w:rPr>
          <w:rFonts w:ascii="Arial" w:cs="Arial" w:eastAsia="Arial" w:hAnsi="Arial"/>
          <w:b/>
          <w:bCs/>
          <w:color w:val="1C1917"/>
          <w:sz w:val="25"/>
          <w:szCs w:val="25"/>
        </w:rPr>
        <w:t xml:space="preserve">How Equity Research Analysts Use Models</w:t>
      </w:r>
    </w:p>
    <w:p>
      <w:pPr>
        <w:spacing w:after="120"/>
      </w:pPr>
      <w:r>
        <w:rPr>
          <w:rFonts w:ascii="Arial" w:cs="Arial" w:eastAsia="Arial" w:hAnsi="Arial"/>
          <w:sz w:val="22"/>
          <w:szCs w:val="22"/>
        </w:rPr>
        <w:t xml:space="preserve">Sell-side equity research analysts build integrated models—usually a full three-statement model feeding into a DCF and a comps table—to arrive at a price target for a covered stock. The price target is compared to the current market price to generate a Buy (undervalued), Hold (fairly valued), or Sell (overvalued) rating. These ratings and the underlying models are distributed to institutional investor clients, making the analyst's model a communication tool as much as an analytical one.</w:t>
      </w:r>
    </w:p>
    <w:p>
      <w:pPr>
        <w:pStyle w:val="Heading2"/>
        <w:spacing w:after="80" w:before="220"/>
      </w:pPr>
      <w:r>
        <w:rPr>
          <w:rFonts w:ascii="Arial" w:cs="Arial" w:eastAsia="Arial" w:hAnsi="Arial"/>
          <w:b/>
          <w:bCs/>
          <w:color w:val="1C1917"/>
          <w:sz w:val="25"/>
          <w:szCs w:val="25"/>
        </w:rPr>
        <w:t xml:space="preserve">Worked Example: DCF Snapshot</w:t>
      </w:r>
    </w:p>
    <w:p>
      <w:pPr>
        <w:spacing w:after="120"/>
      </w:pPr>
      <w:r>
        <w:rPr>
          <w:rFonts w:ascii="Arial" w:cs="Arial" w:eastAsia="Arial" w:hAnsi="Arial"/>
          <w:sz w:val="22"/>
          <w:szCs w:val="22"/>
        </w:rPr>
        <w:t xml:space="preserve">Assume a company generates $10 M in free cash flow each year for five years, after which it is sold or wound down with a terminal value of $80 M. The company's WACC is 10%.</w:t>
      </w:r>
    </w:p>
    <w:p>
      <w:pPr>
        <w:spacing w:after="120"/>
      </w:pPr>
      <w:r>
        <w:rPr>
          <w:rFonts w:ascii="Arial" w:cs="Arial" w:eastAsia="Arial" w:hAnsi="Arial"/>
          <w:sz w:val="22"/>
          <w:szCs w:val="22"/>
        </w:rPr>
        <w:t xml:space="preserve">Step 1 — Discount each annual FCF.</w:t>
      </w:r>
    </w:p>
    <w:p>
      <w:pPr>
        <w:spacing w:after="120"/>
      </w:pPr>
      <w:r>
        <w:rPr>
          <w:rFonts w:ascii="Arial" w:cs="Arial" w:eastAsia="Arial" w:hAnsi="Arial"/>
          <w:sz w:val="22"/>
          <w:szCs w:val="22"/>
        </w:rPr>
        <w:t xml:space="preserve">| Year | FCF ($M) | Discount Factor 1/(1.10)^t | PV ($M)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10 | 0.9091 | 9.09 |</w:t>
      </w:r>
    </w:p>
    <w:p>
      <w:pPr>
        <w:spacing w:after="120"/>
      </w:pPr>
      <w:r>
        <w:rPr>
          <w:rFonts w:ascii="Arial" w:cs="Arial" w:eastAsia="Arial" w:hAnsi="Arial"/>
          <w:sz w:val="22"/>
          <w:szCs w:val="22"/>
        </w:rPr>
        <w:t xml:space="preserve">| 2 | 10 | 0.8264 | 8.26 |</w:t>
      </w:r>
    </w:p>
    <w:p>
      <w:pPr>
        <w:spacing w:after="120"/>
      </w:pPr>
      <w:r>
        <w:rPr>
          <w:rFonts w:ascii="Arial" w:cs="Arial" w:eastAsia="Arial" w:hAnsi="Arial"/>
          <w:sz w:val="22"/>
          <w:szCs w:val="22"/>
        </w:rPr>
        <w:t xml:space="preserve">| 3 | 10 | 0.7513 | 7.51 |</w:t>
      </w:r>
    </w:p>
    <w:p>
      <w:pPr>
        <w:spacing w:after="120"/>
      </w:pPr>
      <w:r>
        <w:rPr>
          <w:rFonts w:ascii="Arial" w:cs="Arial" w:eastAsia="Arial" w:hAnsi="Arial"/>
          <w:sz w:val="22"/>
          <w:szCs w:val="22"/>
        </w:rPr>
        <w:t xml:space="preserve">| 4 | 10 | 0.6830 | 6.83 |</w:t>
      </w:r>
    </w:p>
    <w:p>
      <w:pPr>
        <w:spacing w:after="120"/>
      </w:pPr>
      <w:r>
        <w:rPr>
          <w:rFonts w:ascii="Arial" w:cs="Arial" w:eastAsia="Arial" w:hAnsi="Arial"/>
          <w:sz w:val="22"/>
          <w:szCs w:val="22"/>
        </w:rPr>
        <w:t xml:space="preserve">| 5 | 10 | 0.6209 | 6.21 |</w:t>
      </w:r>
    </w:p>
    <w:p>
      <w:pPr>
        <w:spacing w:after="120"/>
      </w:pPr>
      <w:r>
        <w:rPr>
          <w:rFonts w:ascii="Arial" w:cs="Arial" w:eastAsia="Arial" w:hAnsi="Arial"/>
          <w:sz w:val="22"/>
          <w:szCs w:val="22"/>
        </w:rPr>
        <w:t xml:space="preserve">Sum of PV of FCFs ≈ $37.90 M</w:t>
      </w:r>
    </w:p>
    <w:p>
      <w:pPr>
        <w:spacing w:after="120"/>
      </w:pPr>
      <w:r>
        <w:rPr>
          <w:rFonts w:ascii="Arial" w:cs="Arial" w:eastAsia="Arial" w:hAnsi="Arial"/>
          <w:sz w:val="22"/>
          <w:szCs w:val="22"/>
        </w:rPr>
        <w:t xml:space="preserve">Step 2 — Discount the terminal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of Terminal Value = $80 M / (1.10)^5 = $80 M × 0.6209 ≈ $49.67 M</w:t>
            </w:r>
          </w:p>
        </w:tc>
      </w:tr>
    </w:tbl>
    <w:p>
      <w:pPr>
        <w:spacing w:after="120"/>
      </w:pPr>
      <w:r>
        <w:rPr>
          <w:rFonts w:ascii="Arial" w:cs="Arial" w:eastAsia="Arial" w:hAnsi="Arial"/>
          <w:sz w:val="22"/>
          <w:szCs w:val="22"/>
        </w:rPr>
        <w:t xml:space="preserve">Step 3 — Sum the 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Enterprise Value = $37.90 M + $49.67 M ≈ $87.6 M</w:t>
            </w:r>
          </w:p>
        </w:tc>
      </w:tr>
    </w:tbl>
    <w:p>
      <w:pPr>
        <w:spacing w:after="120"/>
      </w:pPr>
      <w:r>
        <w:rPr>
          <w:rFonts w:ascii="Arial" w:cs="Arial" w:eastAsia="Arial" w:hAnsi="Arial"/>
          <w:sz w:val="22"/>
          <w:szCs w:val="22"/>
        </w:rPr>
        <w:t xml:space="preserve">If the company's current enterprise value in the market is $75 M, the DCF suggests it is undervalued by roughly $12.6 M, supporting a potential buy decision.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forget to discount the terminal value at the end of the forecast period (year n), not year zero. Dividing the terminal value by (1+WACC)^5 in the example above—not leaving it undiscounted—is essential; omitting this step overstates enterprise value by nearly 60% in this scenario.</w:t>
            </w:r>
          </w:p>
        </w:tc>
      </w:tr>
    </w:tbl>
    <w:p>
      <w:pPr>
        <w:pStyle w:val="Heading2"/>
        <w:spacing w:after="80" w:before="220"/>
      </w:pPr>
      <w:r>
        <w:rPr>
          <w:rFonts w:ascii="Arial" w:cs="Arial" w:eastAsia="Arial" w:hAnsi="Arial"/>
          <w:b/>
          <w:bCs/>
          <w:color w:val="1C1917"/>
          <w:sz w:val="25"/>
          <w:szCs w:val="25"/>
        </w:rPr>
        <w:t xml:space="preserve">The Unifying Logic</w:t>
      </w:r>
    </w:p>
    <w:p>
      <w:pPr>
        <w:spacing w:after="120"/>
      </w:pPr>
      <w:r>
        <w:rPr>
          <w:rFonts w:ascii="Arial" w:cs="Arial" w:eastAsia="Arial" w:hAnsi="Arial"/>
          <w:sz w:val="22"/>
          <w:szCs w:val="22"/>
        </w:rPr>
        <w:t xml:space="preserve">Regardless of which framework a professional reaches for, every investment model reduces to the same three-part test: forecast what the asset will generate, adjust for risk and time value, and compare that result to what you are being asked to pay. Mastering this logic—and knowing when each framework is most appropriate—is the foundation of professional investment analysis.</w:t>
      </w:r>
    </w:p>
    <w:p>
      <w:pPr>
        <w:pStyle w:val="Heading1"/>
        <w:spacing w:after="120" w:before="340"/>
      </w:pPr>
      <w:r>
        <w:rPr>
          <w:rFonts w:ascii="Arial" w:cs="Arial" w:eastAsia="Arial" w:hAnsi="Arial"/>
          <w:b/>
          <w:bCs/>
          <w:color w:val="B45309"/>
          <w:sz w:val="32"/>
          <w:szCs w:val="32"/>
        </w:rPr>
        <w:t xml:space="preserve">Best Practices and Common Pitfalls in Financial Model Design</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Identical data and structure yield different outputs when assumptions differ</w:t>
      </w:r>
    </w:p>
    <w:p>
      <w:pPr>
        <w:spacing w:after="120"/>
      </w:pPr>
      <w:r>
        <w:rPr>
          <w:rFonts w:ascii="Arial" w:cs="Arial" w:eastAsia="Arial" w:hAnsi="Arial"/>
          <w:sz w:val="22"/>
          <w:szCs w:val="22"/>
        </w:rPr>
        <w:t xml:space="preserve">Professional financial modeling is as much about discipline and transparency as it is about mathematical sophistication. The conventions described below are not stylistic preferences — they are the standards that separate models that survive scrutiny from those that collapse under it.</w:t>
      </w:r>
    </w:p>
    <w:p>
      <w:pPr>
        <w:pStyle w:val="Heading2"/>
        <w:spacing w:after="80" w:before="220"/>
      </w:pPr>
      <w:r>
        <w:rPr>
          <w:rFonts w:ascii="Arial" w:cs="Arial" w:eastAsia="Arial" w:hAnsi="Arial"/>
          <w:b/>
          <w:bCs/>
          <w:color w:val="1C1917"/>
          <w:sz w:val="25"/>
          <w:szCs w:val="25"/>
        </w:rPr>
        <w:t xml:space="preserve">Color-Coding and Structural Separation</w:t>
      </w:r>
    </w:p>
    <w:p>
      <w:pPr>
        <w:spacing w:after="120"/>
      </w:pPr>
      <w:r>
        <w:rPr>
          <w:rFonts w:ascii="Arial" w:cs="Arial" w:eastAsia="Arial" w:hAnsi="Arial"/>
          <w:sz w:val="22"/>
          <w:szCs w:val="22"/>
        </w:rPr>
        <w:t xml:space="preserve">The most universally recognized convention in professional modeling is the separation of inputs from calculations, enforced through color-coding. Hard-coded assumptions — revenue growth rates, discount rates, tax rates, capital expenditure figures — are entered once, in dedicated input cells, and formatted in blue font. Formulas that derive outputs from those inputs are formatted in black font. Hardcoded numbers buried inside formulas (sometimes called "magic numbers") are flagged in a contrasting color, often green or red, because they represent undocumented overrides that auditors cannot easily trace.</w:t>
      </w:r>
    </w:p>
    <w:p>
      <w:pPr>
        <w:spacing w:after="120"/>
      </w:pPr>
      <w:r>
        <w:rPr>
          <w:rFonts w:ascii="Arial" w:cs="Arial" w:eastAsia="Arial" w:hAnsi="Arial"/>
          <w:sz w:val="22"/>
          <w:szCs w:val="22"/>
        </w:rPr>
        <w:t xml:space="preserve">The practical benefit is immediate: any analyst opening your file can scan a worksheet and instantly distinguish what can be changed from what is calculated. Violating this convention forces reviewers to reverse-engineer your logic cell by cell — a process that introduces errors and erodes trust.</w:t>
      </w:r>
    </w:p>
    <w:p>
      <w:pPr>
        <w:pStyle w:val="Heading2"/>
        <w:spacing w:after="80" w:before="220"/>
      </w:pPr>
      <w:r>
        <w:rPr>
          <w:rFonts w:ascii="Arial" w:cs="Arial" w:eastAsia="Arial" w:hAnsi="Arial"/>
          <w:b/>
          <w:bCs/>
          <w:color w:val="1C1917"/>
          <w:sz w:val="25"/>
          <w:szCs w:val="25"/>
        </w:rPr>
        <w:t xml:space="preserve">Documenting Every Assumption</w:t>
      </w:r>
    </w:p>
    <w:p>
      <w:pPr>
        <w:spacing w:after="120"/>
      </w:pPr>
      <w:r>
        <w:rPr>
          <w:rFonts w:ascii="Arial" w:cs="Arial" w:eastAsia="Arial" w:hAnsi="Arial"/>
          <w:sz w:val="22"/>
          <w:szCs w:val="22"/>
        </w:rPr>
        <w:t xml:space="preserve">Every blue-font input cell must carry a documented source — a footnote, a linked reference tab, or an inline comment. Acceptable sources include management guidance, industry reports, Bloomberg consensus estimates, or historical averages with a stated look-back period. An assumption with no source is an audit failure, full stop. During due diligence or regulatory review, "I estimated it" is not a defensible answer. Build a dedicated Assumptions tab that lists each driver, its value, its source, and the date the source was accessed.</w:t>
      </w:r>
    </w:p>
    <w:p>
      <w:pPr>
        <w:pStyle w:val="Heading2"/>
        <w:spacing w:after="80" w:before="220"/>
      </w:pPr>
      <w:r>
        <w:rPr>
          <w:rFonts w:ascii="Arial" w:cs="Arial" w:eastAsia="Arial" w:hAnsi="Arial"/>
          <w:b/>
          <w:bCs/>
          <w:color w:val="1C1917"/>
          <w:sz w:val="25"/>
          <w:szCs w:val="25"/>
        </w:rPr>
        <w:t xml:space="preserve">Handling Circular References</w:t>
      </w:r>
    </w:p>
    <w:p>
      <w:pPr>
        <w:spacing w:after="120"/>
      </w:pPr>
      <w:r>
        <w:rPr>
          <w:rFonts w:ascii="Arial" w:cs="Arial" w:eastAsia="Arial" w:hAnsi="Arial"/>
          <w:sz w:val="22"/>
          <w:szCs w:val="22"/>
        </w:rPr>
        <w:t xml:space="preserve">Circular references arise naturally in integrated financial models. The most common example: interest expense depends on the average debt balance, but the ending debt balance depends on cash flow after interest, which depends on interest expense. Left unresolved, Excel either errors out or silently converges to a wrong number.</w:t>
      </w:r>
    </w:p>
    <w:p>
      <w:pPr>
        <w:spacing w:after="120"/>
      </w:pPr>
      <w:r>
        <w:rPr>
          <w:rFonts w:ascii="Arial" w:cs="Arial" w:eastAsia="Arial" w:hAnsi="Arial"/>
          <w:sz w:val="22"/>
          <w:szCs w:val="22"/>
        </w:rPr>
        <w:t xml:space="preserve">Two professional solutions exist. The first is enabling iterative calculation in Excel's settings (File → Options → Formulas → Enable Iterative Calculation), which allows the spreadsheet to resolve the loop through repeated passes. The second — preferred for transparency — is a separate debt schedule that calculates interest on the prior period's opening balance, breaking the circularity entirely. The debt schedule approach is auditable; the iteration switch is invisible to a reviewer who does not know to look for it.</w:t>
      </w:r>
    </w:p>
    <w:p>
      <w:pPr>
        <w:pStyle w:val="Heading2"/>
        <w:spacing w:after="80" w:before="220"/>
      </w:pPr>
      <w:r>
        <w:rPr>
          <w:rFonts w:ascii="Arial" w:cs="Arial" w:eastAsia="Arial" w:hAnsi="Arial"/>
          <w:b/>
          <w:bCs/>
          <w:color w:val="1C1917"/>
          <w:sz w:val="25"/>
          <w:szCs w:val="25"/>
        </w:rPr>
        <w:t xml:space="preserve">Sensitivity Analysis</w:t>
      </w:r>
    </w:p>
    <w:p>
      <w:pPr>
        <w:spacing w:after="120"/>
      </w:pPr>
      <w:r>
        <w:rPr>
          <w:rFonts w:ascii="Arial" w:cs="Arial" w:eastAsia="Arial" w:hAnsi="Arial"/>
          <w:sz w:val="22"/>
          <w:szCs w:val="22"/>
        </w:rPr>
        <w:t xml:space="preserve">Sensitivity analysis is not a finishing touch — it is a core deliverable. Every model should include at least a two-variable data table showing how the primary output (enterprise value, IRR, net income) responds to changes in the one or two assumptions that drive it most. This forces the analyst to confront uncertainty explicitly and gives decision-makers a range rather than a false point estimate.</w:t>
      </w:r>
    </w:p>
    <w:p>
      <w:pPr>
        <w:spacing w:after="120"/>
      </w:pPr>
      <w:r>
        <w:rPr>
          <w:rFonts w:ascii="Arial" w:cs="Arial" w:eastAsia="Arial" w:hAnsi="Arial"/>
          <w:sz w:val="22"/>
          <w:szCs w:val="22"/>
        </w:rPr>
        <w:t xml:space="preserve">Worked Example — Revenue Growth Sensitivity</w:t>
      </w:r>
    </w:p>
    <w:p>
      <w:pPr>
        <w:spacing w:after="120"/>
      </w:pPr>
      <w:r>
        <w:rPr>
          <w:rFonts w:ascii="Arial" w:cs="Arial" w:eastAsia="Arial" w:hAnsi="Arial"/>
          <w:sz w:val="22"/>
          <w:szCs w:val="22"/>
        </w:rPr>
        <w:t xml:space="preserve">Consider a simplified DCF model with the following base inputs:</w:t>
      </w:r>
    </w:p>
    <w:p>
      <w:pPr>
        <w:pStyle w:val="ListParagraph"/>
        <w:numPr>
          <w:ilvl w:val="0"/>
          <w:numId w:val="1"/>
        </w:numPr>
        <w:spacing w:after="40"/>
      </w:pPr>
      <w:r>
        <w:rPr>
          <w:rFonts w:ascii="Arial" w:cs="Arial" w:eastAsia="Arial" w:hAnsi="Arial"/>
          <w:sz w:val="22"/>
          <w:szCs w:val="22"/>
        </w:rPr>
        <w:t xml:space="preserve">Base revenue: $50 M</w:t>
      </w:r>
    </w:p>
    <w:p>
      <w:pPr>
        <w:pStyle w:val="ListParagraph"/>
        <w:numPr>
          <w:ilvl w:val="0"/>
          <w:numId w:val="1"/>
        </w:numPr>
        <w:spacing w:after="40"/>
      </w:pPr>
      <w:r>
        <w:rPr>
          <w:rFonts w:ascii="Arial" w:cs="Arial" w:eastAsia="Arial" w:hAnsi="Arial"/>
          <w:sz w:val="22"/>
          <w:szCs w:val="22"/>
        </w:rPr>
        <w:t xml:space="preserve">Revenue growth rate: 5%</w:t>
      </w:r>
    </w:p>
    <w:p>
      <w:pPr>
        <w:pStyle w:val="ListParagraph"/>
        <w:numPr>
          <w:ilvl w:val="0"/>
          <w:numId w:val="1"/>
        </w:numPr>
        <w:spacing w:after="40"/>
      </w:pPr>
      <w:r>
        <w:rPr>
          <w:rFonts w:ascii="Arial" w:cs="Arial" w:eastAsia="Arial" w:hAnsi="Arial"/>
          <w:sz w:val="22"/>
          <w:szCs w:val="22"/>
        </w:rPr>
        <w:t xml:space="preserve">EBIT margin: 20%</w:t>
      </w:r>
    </w:p>
    <w:p>
      <w:pPr>
        <w:pStyle w:val="ListParagraph"/>
        <w:numPr>
          <w:ilvl w:val="0"/>
          <w:numId w:val="1"/>
        </w:numPr>
        <w:spacing w:after="40"/>
      </w:pPr>
      <w:r>
        <w:rPr>
          <w:rFonts w:ascii="Arial" w:cs="Arial" w:eastAsia="Arial" w:hAnsi="Arial"/>
          <w:sz w:val="22"/>
          <w:szCs w:val="22"/>
        </w:rPr>
        <w:t xml:space="preserve">Tax rate: 25%</w:t>
      </w:r>
    </w:p>
    <w:p>
      <w:pPr>
        <w:pStyle w:val="ListParagraph"/>
        <w:numPr>
          <w:ilvl w:val="0"/>
          <w:numId w:val="1"/>
        </w:numPr>
        <w:spacing w:after="40"/>
      </w:pPr>
      <w:r>
        <w:rPr>
          <w:rFonts w:ascii="Arial" w:cs="Arial" w:eastAsia="Arial" w:hAnsi="Arial"/>
          <w:sz w:val="22"/>
          <w:szCs w:val="22"/>
        </w:rPr>
        <w:t xml:space="preserve">WACC: 10%</w:t>
      </w:r>
    </w:p>
    <w:p>
      <w:pPr>
        <w:pStyle w:val="ListParagraph"/>
        <w:numPr>
          <w:ilvl w:val="0"/>
          <w:numId w:val="1"/>
        </w:numPr>
        <w:spacing w:after="40"/>
      </w:pPr>
      <w:r>
        <w:rPr>
          <w:rFonts w:ascii="Arial" w:cs="Arial" w:eastAsia="Arial" w:hAnsi="Arial"/>
          <w:sz w:val="22"/>
          <w:szCs w:val="22"/>
        </w:rPr>
        <w:t xml:space="preserve">Terminal growth rate: 2%</w:t>
      </w:r>
    </w:p>
    <w:p>
      <w:pPr>
        <w:pStyle w:val="ListParagraph"/>
        <w:numPr>
          <w:ilvl w:val="0"/>
          <w:numId w:val="1"/>
        </w:numPr>
        <w:spacing w:after="40"/>
      </w:pPr>
      <w:r>
        <w:rPr>
          <w:rFonts w:ascii="Arial" w:cs="Arial" w:eastAsia="Arial" w:hAnsi="Arial"/>
          <w:sz w:val="22"/>
          <w:szCs w:val="22"/>
        </w:rPr>
        <w:t xml:space="preserve">Projection period: 5 years</w:t>
      </w:r>
    </w:p>
    <w:p>
      <w:pPr>
        <w:spacing w:after="120"/>
      </w:pPr>
      <w:r>
        <w:rPr>
          <w:rFonts w:ascii="Arial" w:cs="Arial" w:eastAsia="Arial" w:hAnsi="Arial"/>
          <w:sz w:val="22"/>
          <w:szCs w:val="22"/>
        </w:rPr>
        <w:t xml:space="preserve">Under these assumptions, the model produces a base enterprise value of $87.6 M.</w:t>
      </w:r>
    </w:p>
    <w:p>
      <w:pPr>
        <w:spacing w:after="120"/>
      </w:pPr>
      <w:r>
        <w:rPr>
          <w:rFonts w:ascii="Arial" w:cs="Arial" w:eastAsia="Arial" w:hAnsi="Arial"/>
          <w:sz w:val="22"/>
          <w:szCs w:val="22"/>
        </w:rPr>
        <w:t xml:space="preserve">Now change only the revenue growth assumption from 5% to 10%, holding every other input constant. Applying the sensitivity relationship: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Sensitivity Output = Base Output × (1 + Δ Assumption Impact)</w:t>
            </w:r>
          </w:p>
        </w:tc>
      </w:tr>
    </w:tbl>
    <w:p>
      <w:pPr>
        <w:spacing w:after="120"/>
      </w:pPr>
      <w:r>
        <w:rPr>
          <w:rFonts w:ascii="Arial" w:cs="Arial" w:eastAsia="Arial" w:hAnsi="Arial"/>
          <w:sz w:val="22"/>
          <w:szCs w:val="22"/>
        </w:rPr>
        <w:t xml:space="preserve">The incremental impact of the growth change flows through five years of higher free cash flow and a larger terminal value. Running the revised cash flows yields a revised enterprise value of $104.2 M.</w:t>
      </w:r>
    </w:p>
    <w:p>
      <w:pPr>
        <w:spacing w:after="120"/>
      </w:pPr>
      <w:r>
        <w:rPr>
          <w:rFonts w:ascii="Arial" w:cs="Arial" w:eastAsia="Arial" w:hAnsi="Arial"/>
          <w:sz w:val="22"/>
          <w:szCs w:val="22"/>
        </w:rPr>
        <w:t xml:space="preserve">The percentage swing: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(104.2 − 87.6) / 87.6 = 18.95% ≈ 19%</w:t>
            </w:r>
          </w:p>
        </w:tc>
      </w:tr>
    </w:tbl>
    <w:p>
      <w:pPr>
        <w:spacing w:after="120"/>
      </w:pPr>
      <w:r>
        <w:rPr>
          <w:rFonts w:ascii="Arial" w:cs="Arial" w:eastAsia="Arial" w:hAnsi="Arial"/>
          <w:sz w:val="22"/>
          <w:szCs w:val="22"/>
        </w:rPr>
        <w:t xml:space="preserve">A single 5-percentage-point change in revenue growth — well within the range of reasonable forecast error — moves enterprise value by nearly one-fifth. This is precisely the information a board or investment committee needs to calibrate how much confidence to place in the base case.</w:t>
      </w:r>
    </w:p>
    <w:p>
      <w:pPr>
        <w:spacing w:after="120"/>
      </w:pPr>
      <w:r>
        <w:rPr>
          <w:rFonts w:ascii="Arial" w:cs="Arial" w:eastAsia="Arial" w:hAnsi="Arial"/>
          <w:sz w:val="22"/>
          <w:szCs w:val="22"/>
        </w:rPr>
        <w:t xml:space="preserve">A properly formatted sensitivity table would display this as a matrix: rows representing growth rates from 3% to 12%, columns representing WACC from 8% to 12%, with enterprise value in each cell.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build a sensitivity table but anchor it to a hardcoded base value rather than a live formula. When the model is updated, the table no longer reflects current assumptions — and no one notices until a presentation is already in front of a client.</w:t>
            </w:r>
          </w:p>
        </w:tc>
      </w:tr>
    </w:tbl>
    <w:p>
      <w:pPr>
        <w:pStyle w:val="Heading2"/>
        <w:spacing w:after="80" w:before="220"/>
      </w:pPr>
      <w:r>
        <w:rPr>
          <w:rFonts w:ascii="Arial" w:cs="Arial" w:eastAsia="Arial" w:hAnsi="Arial"/>
          <w:b/>
          <w:bCs/>
          <w:color w:val="1C1917"/>
          <w:sz w:val="25"/>
          <w:szCs w:val="25"/>
        </w:rPr>
        <w:t xml:space="preserve">The Balance Sheet Check</w:t>
      </w:r>
    </w:p>
    <w:p>
      <w:pPr>
        <w:spacing w:after="120"/>
      </w:pPr>
      <w:r>
        <w:rPr>
          <w:rFonts w:ascii="Arial" w:cs="Arial" w:eastAsia="Arial" w:hAnsi="Arial"/>
          <w:sz w:val="22"/>
          <w:szCs w:val="22"/>
        </w:rPr>
        <w:t xml:space="preserve">The primary internal integrity test for any three-statement model is the balance sheet equation: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Assets − Liabilities − Equity = 0</w:t>
            </w:r>
          </w:p>
        </w:tc>
      </w:tr>
    </w:tbl>
    <w:p>
      <w:pPr>
        <w:spacing w:after="120"/>
      </w:pPr>
      <w:r>
        <w:rPr>
          <w:rFonts w:ascii="Arial" w:cs="Arial" w:eastAsia="Arial" w:hAnsi="Arial"/>
          <w:sz w:val="22"/>
          <w:szCs w:val="22"/>
        </w:rPr>
        <w:t xml:space="preserve">This "plug" cell should be prominently displayed, ideally in a bright color that turns green at zero and red at any other value. A non-zero result means cash, debt, retained earnings, or a linking formula is broken somewhere. Never present a model with a non-zero plug — it signals that the statements are not integrated correctly.</w:t>
      </w:r>
    </w:p>
    <w:p>
      <w:pPr>
        <w:pStyle w:val="Heading2"/>
        <w:spacing w:after="80" w:before="220"/>
      </w:pPr>
      <w:r>
        <w:rPr>
          <w:rFonts w:ascii="Arial" w:cs="Arial" w:eastAsia="Arial" w:hAnsi="Arial"/>
          <w:b/>
          <w:bCs/>
          <w:color w:val="1C1917"/>
          <w:sz w:val="25"/>
          <w:szCs w:val="25"/>
        </w:rPr>
        <w:t xml:space="preserve">Avoiding Over-Complexity</w:t>
      </w:r>
    </w:p>
    <w:p>
      <w:pPr>
        <w:spacing w:after="120"/>
      </w:pPr>
      <w:r>
        <w:rPr>
          <w:rFonts w:ascii="Arial" w:cs="Arial" w:eastAsia="Arial" w:hAnsi="Arial"/>
          <w:sz w:val="22"/>
          <w:szCs w:val="22"/>
        </w:rPr>
        <w:t xml:space="preserve">Finally, resist the temptation to demonstrate sophistication through complexity. A professional model should be fully navigable by a second analyst — someone who did not build it — within 30 minutes. If that standard cannot be met, the model is too complex for practical use. Consolidate redundant tabs, use consistent formula structures across rows, and write a brief model guide on the cover sheet. Clarity is a professional obligation, not a concession.</w:t>
      </w:r>
    </w:p>
    <w:p>
      <w:pPr>
        <w:pStyle w:val="Heading1"/>
        <w:spacing w:after="120" w:before="340"/>
      </w:pPr>
      <w:r>
        <w:rPr>
          <w:rFonts w:ascii="Arial" w:cs="Arial" w:eastAsia="Arial" w:hAnsi="Arial"/>
          <w:b/>
          <w:bCs/>
          <w:color w:val="B45309"/>
          <w:sz w:val="32"/>
          <w:szCs w:val="32"/>
        </w:rPr>
        <w:t xml:space="preserve">Glossary</w:t>
      </w:r>
    </w:p>
    <w:p>
      <w:pPr>
        <w:pStyle w:val="ListParagraph"/>
        <w:numPr>
          <w:ilvl w:val="0"/>
          <w:numId w:val="1"/>
        </w:numPr>
        <w:spacing w:after="40"/>
      </w:pPr>
      <w:r>
        <w:rPr>
          <w:rFonts w:ascii="Arial" w:cs="Arial" w:eastAsia="Arial" w:hAnsi="Arial"/>
          <w:sz w:val="22"/>
          <w:szCs w:val="22"/>
        </w:rPr>
        <w:t xml:space="preserve">Financial Model — A quantitative spreadsheet tool projecting financial performance to support a specific decision.</w:t>
      </w:r>
    </w:p>
    <w:p>
      <w:pPr>
        <w:pStyle w:val="ListParagraph"/>
        <w:numPr>
          <w:ilvl w:val="0"/>
          <w:numId w:val="1"/>
        </w:numPr>
        <w:spacing w:after="40"/>
      </w:pPr>
      <w:r>
        <w:rPr>
          <w:rFonts w:ascii="Arial" w:cs="Arial" w:eastAsia="Arial" w:hAnsi="Arial"/>
          <w:sz w:val="22"/>
          <w:szCs w:val="22"/>
        </w:rPr>
        <w:t xml:space="preserve">Assumptions — Input variables — growth rates, margins, rates — that drive all model calculations.</w:t>
      </w:r>
    </w:p>
    <w:p>
      <w:pPr>
        <w:pStyle w:val="ListParagraph"/>
        <w:numPr>
          <w:ilvl w:val="0"/>
          <w:numId w:val="1"/>
        </w:numPr>
        <w:spacing w:after="40"/>
      </w:pPr>
      <w:r>
        <w:rPr>
          <w:rFonts w:ascii="Arial" w:cs="Arial" w:eastAsia="Arial" w:hAnsi="Arial"/>
          <w:sz w:val="22"/>
          <w:szCs w:val="22"/>
        </w:rPr>
        <w:t xml:space="preserve">Free Cash Flow (FCF) — Cash generated after operating expenses and capital expenditures; key valuation input.</w:t>
      </w:r>
    </w:p>
    <w:p>
      <w:pPr>
        <w:pStyle w:val="ListParagraph"/>
        <w:numPr>
          <w:ilvl w:val="0"/>
          <w:numId w:val="1"/>
        </w:numPr>
        <w:spacing w:after="40"/>
      </w:pPr>
      <w:r>
        <w:rPr>
          <w:rFonts w:ascii="Arial" w:cs="Arial" w:eastAsia="Arial" w:hAnsi="Arial"/>
          <w:sz w:val="22"/>
          <w:szCs w:val="22"/>
        </w:rPr>
        <w:t xml:space="preserve">WACC — Weighted Average Cost of Capital; the discount rate blending debt and equity costs.</w:t>
      </w:r>
    </w:p>
    <w:p>
      <w:pPr>
        <w:pStyle w:val="ListParagraph"/>
        <w:numPr>
          <w:ilvl w:val="0"/>
          <w:numId w:val="1"/>
        </w:numPr>
        <w:spacing w:after="40"/>
      </w:pPr>
      <w:r>
        <w:rPr>
          <w:rFonts w:ascii="Arial" w:cs="Arial" w:eastAsia="Arial" w:hAnsi="Arial"/>
          <w:sz w:val="22"/>
          <w:szCs w:val="22"/>
        </w:rPr>
        <w:t xml:space="preserve">DCF (Discounted Cash Flow) — Valuation method summing present values of projected future cash flows.</w:t>
      </w:r>
    </w:p>
    <w:p>
      <w:pPr>
        <w:pStyle w:val="ListParagraph"/>
        <w:numPr>
          <w:ilvl w:val="0"/>
          <w:numId w:val="1"/>
        </w:numPr>
        <w:spacing w:after="40"/>
      </w:pPr>
      <w:r>
        <w:rPr>
          <w:rFonts w:ascii="Arial" w:cs="Arial" w:eastAsia="Arial" w:hAnsi="Arial"/>
          <w:sz w:val="22"/>
          <w:szCs w:val="22"/>
        </w:rPr>
        <w:t xml:space="preserve">EBITDA — Earnings before interest, taxes, depreciation, and amortization; common profitability proxy.</w:t>
      </w:r>
    </w:p>
    <w:p>
      <w:pPr>
        <w:pStyle w:val="ListParagraph"/>
        <w:numPr>
          <w:ilvl w:val="0"/>
          <w:numId w:val="1"/>
        </w:numPr>
        <w:spacing w:after="40"/>
      </w:pPr>
      <w:r>
        <w:rPr>
          <w:rFonts w:ascii="Arial" w:cs="Arial" w:eastAsia="Arial" w:hAnsi="Arial"/>
          <w:sz w:val="22"/>
          <w:szCs w:val="22"/>
        </w:rPr>
        <w:t xml:space="preserve">Sensitivity Analysis — Testing how model outputs change when one or more input assumptions are varied.</w:t>
      </w:r>
    </w:p>
    <w:p>
      <w:pPr>
        <w:pStyle w:val="ListParagraph"/>
        <w:numPr>
          <w:ilvl w:val="0"/>
          <w:numId w:val="1"/>
        </w:numPr>
        <w:spacing w:after="40"/>
      </w:pPr>
      <w:r>
        <w:rPr>
          <w:rFonts w:ascii="Arial" w:cs="Arial" w:eastAsia="Arial" w:hAnsi="Arial"/>
          <w:sz w:val="22"/>
          <w:szCs w:val="22"/>
        </w:rPr>
        <w:t xml:space="preserve">Enterprise Value — Total company value including debt and equity, excluding cash; core M&amp;A metric.</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aed5293e173b3e649465f9d93d116a5b88acad.png"/><Relationship Id="rId10" Type="http://schemas.openxmlformats.org/officeDocument/2006/relationships/image" Target="media/7e921e9221b12c374191c4130f7b05b5e797673a.png"/><Relationship Id="rId11" Type="http://schemas.openxmlformats.org/officeDocument/2006/relationships/image" Target="media/cb449de7254f119b78ca0a595240c39aa2c833b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2026-07-09T20:17:26.281Z</dcterms:created>
  <dcterms:modified xsi:type="dcterms:W3CDTF">2026-07-09T20:17:26.281Z</dcterms:modified>
</cp:coreProperties>
</file>

<file path=docProps/custom.xml><?xml version="1.0" encoding="utf-8"?>
<Properties xmlns="http://schemas.openxmlformats.org/officeDocument/2006/custom-properties" xmlns:vt="http://schemas.openxmlformats.org/officeDocument/2006/docPropsVTypes"/>
</file>