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5</w:t>
      </w:r>
    </w:p>
    <w:p>
      <w:pPr>
        <w:spacing w:after="120"/>
      </w:pPr>
      <w:r>
        <w:rPr>
          <w:rFonts w:ascii="Arial" w:cs="Arial" w:eastAsia="Arial" w:hAnsi="Arial"/>
          <w:b/>
          <w:bCs/>
          <w:color w:val="1C1917"/>
          <w:sz w:val="52"/>
          <w:szCs w:val="52"/>
        </w:rPr>
        <w:t xml:space="preserve">Financial Modeling for Mergers and Acquisitions (M&amp;A) and Investment Decisions</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M&amp;A deals and major capital investments can create or destroy billions in shareholder value—yet the difference often comes down to the quality of the financial model behind the decision. This chapter equips you to build, interpret, and stress-test the core models used in real-world M&amp;A and investment analysis: accretion/dilution, synergy valuation, LBO mechanics, IRR-based capital allocation, and financing-mix optimization. By the final page you will be able to construct each model from scratch, evaluate outputs critically, and defend your conclusions under exam conditions.</w:t>
      </w:r>
    </w:p>
    <w:p>
      <w:pPr>
        <w:pStyle w:val="Heading1"/>
        <w:spacing w:after="120" w:before="340"/>
      </w:pPr>
      <w:r>
        <w:rPr>
          <w:rFonts w:ascii="Arial" w:cs="Arial" w:eastAsia="Arial" w:hAnsi="Arial"/>
          <w:b/>
          <w:bCs/>
          <w:color w:val="B45309"/>
          <w:sz w:val="32"/>
          <w:szCs w:val="32"/>
        </w:rPr>
        <w:t xml:space="preserve">M&amp;A Deal Structuring and Accretion/Dilution Analysis</w:t>
      </w:r>
    </w:p>
    <w:p>
      <w:pPr>
        <w:spacing w:after="120"/>
      </w:pPr>
      <w:r>
        <w:rPr>
          <w:rFonts w:ascii="Arial" w:cs="Arial" w:eastAsia="Arial" w:hAnsi="Arial"/>
          <w:sz w:val="22"/>
          <w:szCs w:val="22"/>
        </w:rPr>
        <w:t xml:space="preserve">Accretion/dilution analysis is one of the first tests an investment banker or corporate development analyst runs on any proposed deal. It answers a deceptively simple question: after the acquisition closes, will the combined company earn more per share than the acquirer did on its own? The answer shapes negotiating strategy, financing choices, and board-level approval discussions.</w:t>
      </w:r>
    </w:p>
    <w:p>
      <w:pPr>
        <w:pStyle w:val="Heading2"/>
        <w:spacing w:after="80" w:before="220"/>
      </w:pPr>
      <w:r>
        <w:rPr>
          <w:rFonts w:ascii="Arial" w:cs="Arial" w:eastAsia="Arial" w:hAnsi="Arial"/>
          <w:b/>
          <w:bCs/>
          <w:color w:val="1C1917"/>
          <w:sz w:val="25"/>
          <w:szCs w:val="25"/>
        </w:rPr>
        <w:t xml:space="preserve">What Accretion and Dilution Mean</w:t>
      </w:r>
    </w:p>
    <w:p>
      <w:pPr>
        <w:spacing w:after="120"/>
      </w:pPr>
      <w:r>
        <w:rPr>
          <w:rFonts w:ascii="Arial" w:cs="Arial" w:eastAsia="Arial" w:hAnsi="Arial"/>
          <w:sz w:val="22"/>
          <w:szCs w:val="22"/>
        </w:rPr>
        <w:t xml:space="preserve">Accretion occurs when the pro-forma (post-deal) EPS of the combined entity exceeds the acquirer's standalone EPS. Dilution is the reverse — the deal mathematically reduces EPS. Neither outcome is automatically good or bad, but the direction and magnitude matter enormously to shareholders and analysts who use EPS as a valuation anchor.</w:t>
      </w:r>
    </w:p>
    <w:p>
      <w:pPr>
        <w:spacing w:after="120"/>
      </w:pPr>
      <w:r>
        <w:rPr>
          <w:rFonts w:ascii="Arial" w:cs="Arial" w:eastAsia="Arial" w:hAnsi="Arial"/>
          <w:sz w:val="22"/>
          <w:szCs w:val="22"/>
        </w:rPr>
        <w:t xml:space="preserve">The core formula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Pro-Forma EPS = (Acquirer Net Income + Target Net Income − After-Tax Interest Cost) / (Acquirer Shares + New Shares Issued)</w:t>
            </w:r>
          </w:p>
        </w:tc>
      </w:tr>
    </w:tbl>
    <w:p>
      <w:pPr>
        <w:spacing w:after="120"/>
      </w:pPr>
      <w:r>
        <w:rPr>
          <w:rFonts w:ascii="Arial" w:cs="Arial" w:eastAsia="Arial" w:hAnsi="Arial"/>
          <w:sz w:val="22"/>
          <w:szCs w:val="22"/>
        </w:rPr>
        <w:t xml:space="preserve">Every term in that formula is a lever. Understanding each one lets you engineer deal structures and stress-test assumptions before a term sheet is signed.</w:t>
      </w:r>
    </w:p>
    <w:p>
      <w:pPr>
        <w:pStyle w:val="Heading2"/>
        <w:spacing w:after="80" w:before="220"/>
      </w:pPr>
      <w:r>
        <w:rPr>
          <w:rFonts w:ascii="Arial" w:cs="Arial" w:eastAsia="Arial" w:hAnsi="Arial"/>
          <w:b/>
          <w:bCs/>
          <w:color w:val="1C1917"/>
          <w:sz w:val="25"/>
          <w:szCs w:val="25"/>
        </w:rPr>
        <w:t xml:space="preserve">Key Inputs and Their Mechanics</w:t>
      </w:r>
    </w:p>
    <w:p>
      <w:pPr>
        <w:spacing w:after="120"/>
      </w:pPr>
      <w:r>
        <w:rPr>
          <w:rFonts w:ascii="Arial" w:cs="Arial" w:eastAsia="Arial" w:hAnsi="Arial"/>
          <w:sz w:val="22"/>
          <w:szCs w:val="22"/>
        </w:rPr>
        <w:t xml:space="preserve">Purchase price and financing mix are the two most controllable variables. A cash-financed deal avoids share dilution but creates interest expense that reduces pro-forma net income. A stock-financed deal avoids interest cost but inflates the share count denominator. Most real transactions blend both, which is exactly what the worked example below illustrates.</w:t>
      </w:r>
    </w:p>
    <w:p>
      <w:pPr>
        <w:spacing w:after="120"/>
      </w:pPr>
      <w:r>
        <w:rPr>
          <w:rFonts w:ascii="Arial" w:cs="Arial" w:eastAsia="Arial" w:hAnsi="Arial"/>
          <w:sz w:val="22"/>
          <w:szCs w:val="22"/>
        </w:rPr>
        <w:t xml:space="preserve">After-tax interest cost has two components: (1) explicit interest on any new acquisition debt, and (2) foregone after-tax return on cash deployed from the balance sheet. Both reduce the numerator. If the acquirer uses $500 million of its own cash at a 5% opportunity cost and a 25% tax rate, the income penalty is $500M × 5% × (1 − 0.25) = $18.75M.</w:t>
      </w:r>
    </w:p>
    <w:p>
      <w:pPr>
        <w:spacing w:after="120"/>
      </w:pPr>
      <w:r>
        <w:rPr>
          <w:rFonts w:ascii="Arial" w:cs="Arial" w:eastAsia="Arial" w:hAnsi="Arial"/>
          <w:sz w:val="22"/>
          <w:szCs w:val="22"/>
        </w:rPr>
        <w:t xml:space="preserve">New shares issued in a stock-financed tranche are calculated by dividing the equity portion of the purchase price by the acquirer's current share price. More shares issued means a larger denominator and greater dilution pressure.</w:t>
      </w:r>
    </w:p>
    <w:p>
      <w:pPr>
        <w:spacing w:after="120"/>
      </w:pPr>
      <w:r>
        <w:rPr>
          <w:rFonts w:ascii="Arial" w:cs="Arial" w:eastAsia="Arial" w:hAnsi="Arial"/>
          <w:sz w:val="22"/>
          <w:szCs w:val="22"/>
        </w:rPr>
        <w:t xml:space="preserve">Goodwill equals the purchase price minus the fair value of net identifiable assets. It sits on the balance sheet and reduces book equity, but under current GAAP/IFRS it is not amortized — so it does not directly reduce EPS. Analysts should still monitor it because impairment charges can hit earnings in future periods.</w:t>
      </w:r>
    </w:p>
    <w:p>
      <w:pPr>
        <w:pStyle w:val="Heading2"/>
        <w:spacing w:after="80" w:before="220"/>
      </w:pPr>
      <w:r>
        <w:rPr>
          <w:rFonts w:ascii="Arial" w:cs="Arial" w:eastAsia="Arial" w:hAnsi="Arial"/>
          <w:b/>
          <w:bCs/>
          <w:color w:val="1C1917"/>
          <w:sz w:val="25"/>
          <w:szCs w:val="25"/>
        </w:rPr>
        <w:t xml:space="preserve">Worked Example</w:t>
      </w:r>
    </w:p>
    <w:p>
      <w:pPr>
        <w:spacing w:after="120"/>
      </w:pPr>
      <w:r>
        <w:rPr>
          <w:rFonts w:ascii="Arial" w:cs="Arial" w:eastAsia="Arial" w:hAnsi="Arial"/>
          <w:sz w:val="22"/>
          <w:szCs w:val="22"/>
        </w:rPr>
        <w:t xml:space="preserve">Given information:</w:t>
      </w:r>
    </w:p>
    <w:p>
      <w:pPr>
        <w:pStyle w:val="ListParagraph"/>
        <w:numPr>
          <w:ilvl w:val="0"/>
          <w:numId w:val="1"/>
        </w:numPr>
        <w:spacing w:after="40"/>
      </w:pPr>
      <w:r>
        <w:rPr>
          <w:rFonts w:ascii="Arial" w:cs="Arial" w:eastAsia="Arial" w:hAnsi="Arial"/>
          <w:sz w:val="22"/>
          <w:szCs w:val="22"/>
        </w:rPr>
        <w:t xml:space="preserve">Acquirer standalone EPS: $4.00; shares outstanding: 100 million</w:t>
      </w:r>
    </w:p>
    <w:p>
      <w:pPr>
        <w:pStyle w:val="ListParagraph"/>
        <w:numPr>
          <w:ilvl w:val="0"/>
          <w:numId w:val="1"/>
        </w:numPr>
        <w:spacing w:after="40"/>
      </w:pPr>
      <w:r>
        <w:rPr>
          <w:rFonts w:ascii="Arial" w:cs="Arial" w:eastAsia="Arial" w:hAnsi="Arial"/>
          <w:sz w:val="22"/>
          <w:szCs w:val="22"/>
        </w:rPr>
        <w:t xml:space="preserve">Acquirer net income: $4.00 × 100M = $400 million</w:t>
      </w:r>
    </w:p>
    <w:p>
      <w:pPr>
        <w:pStyle w:val="ListParagraph"/>
        <w:numPr>
          <w:ilvl w:val="0"/>
          <w:numId w:val="1"/>
        </w:numPr>
        <w:spacing w:after="40"/>
      </w:pPr>
      <w:r>
        <w:rPr>
          <w:rFonts w:ascii="Arial" w:cs="Arial" w:eastAsia="Arial" w:hAnsi="Arial"/>
          <w:sz w:val="22"/>
          <w:szCs w:val="22"/>
        </w:rPr>
        <w:t xml:space="preserve">Target net income: $80 million</w:t>
      </w:r>
    </w:p>
    <w:p>
      <w:pPr>
        <w:pStyle w:val="ListParagraph"/>
        <w:numPr>
          <w:ilvl w:val="0"/>
          <w:numId w:val="1"/>
        </w:numPr>
        <w:spacing w:after="40"/>
      </w:pPr>
      <w:r>
        <w:rPr>
          <w:rFonts w:ascii="Arial" w:cs="Arial" w:eastAsia="Arial" w:hAnsi="Arial"/>
          <w:sz w:val="22"/>
          <w:szCs w:val="22"/>
        </w:rPr>
        <w:t xml:space="preserve">Deal price: $1 billion, financed 50% cash ($500M) at 5% pre-tax cost, 50% stock ($500M) at acquirer share price of $40</w:t>
      </w:r>
    </w:p>
    <w:p>
      <w:pPr>
        <w:pStyle w:val="ListParagraph"/>
        <w:numPr>
          <w:ilvl w:val="0"/>
          <w:numId w:val="1"/>
        </w:numPr>
        <w:spacing w:after="40"/>
      </w:pPr>
      <w:r>
        <w:rPr>
          <w:rFonts w:ascii="Arial" w:cs="Arial" w:eastAsia="Arial" w:hAnsi="Arial"/>
          <w:sz w:val="22"/>
          <w:szCs w:val="22"/>
        </w:rPr>
        <w:t xml:space="preserve">Tax rate: 25%</w:t>
      </w:r>
    </w:p>
    <w:p>
      <w:pPr>
        <w:spacing w:after="120"/>
      </w:pPr>
      <w:r>
        <w:rPr>
          <w:rFonts w:ascii="Arial" w:cs="Arial" w:eastAsia="Arial" w:hAnsi="Arial"/>
          <w:sz w:val="22"/>
          <w:szCs w:val="22"/>
        </w:rPr>
        <w:t xml:space="preserve">Step 1 — Calculate new shares issued.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New shares = $500M equity / $40 per share = 12.5 million shares</w:t>
            </w:r>
          </w:p>
        </w:tc>
      </w:tr>
    </w:tbl>
    <w:p>
      <w:pPr>
        <w:spacing w:after="120"/>
      </w:pPr>
      <w:r>
        <w:rPr>
          <w:rFonts w:ascii="Arial" w:cs="Arial" w:eastAsia="Arial" w:hAnsi="Arial"/>
          <w:sz w:val="22"/>
          <w:szCs w:val="22"/>
        </w:rPr>
        <w:t xml:space="preserve">Step 2 — Calculate after-tax interest cost on the cash tranche.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After-tax interest = $500M × 5% × (1 − 0.25) = $18.75 million</w:t>
            </w:r>
          </w:p>
        </w:tc>
      </w:tr>
    </w:tbl>
    <w:p>
      <w:pPr>
        <w:spacing w:after="120"/>
      </w:pPr>
      <w:r>
        <w:rPr>
          <w:rFonts w:ascii="Arial" w:cs="Arial" w:eastAsia="Arial" w:hAnsi="Arial"/>
          <w:sz w:val="22"/>
          <w:szCs w:val="22"/>
        </w:rPr>
        <w:t xml:space="preserve">Step 3 — Build the pro-forma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Pro-forma net income = $400M + $80M − $18.75M = $461.25 million</w:t>
            </w:r>
          </w:p>
        </w:tc>
      </w:tr>
    </w:tbl>
    <w:p>
      <w:pPr>
        <w:spacing w:after="120"/>
      </w:pPr>
      <w:r>
        <w:rPr>
          <w:rFonts w:ascii="Arial" w:cs="Arial" w:eastAsia="Arial" w:hAnsi="Arial"/>
          <w:sz w:val="22"/>
          <w:szCs w:val="22"/>
        </w:rPr>
        <w:t xml:space="preserve">Step 4 — Build the pro-forma denominator.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Pro-forma shares = 100M + 12.5M = 112.5 million</w:t>
            </w:r>
          </w:p>
        </w:tc>
      </w:tr>
    </w:tbl>
    <w:p>
      <w:pPr>
        <w:spacing w:after="120"/>
      </w:pPr>
      <w:r>
        <w:rPr>
          <w:rFonts w:ascii="Arial" w:cs="Arial" w:eastAsia="Arial" w:hAnsi="Arial"/>
          <w:sz w:val="22"/>
          <w:szCs w:val="22"/>
        </w:rPr>
        <w:t xml:space="preserve">Step 5 — Calculate pro-forma 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Pro-forma EPS = $461.25M / 112.5M = $4.10 per share</w:t>
            </w:r>
          </w:p>
        </w:tc>
      </w:tr>
    </w:tbl>
    <w:p>
      <w:pPr>
        <w:spacing w:after="120"/>
      </w:pPr>
      <w:r>
        <w:rPr>
          <w:rFonts w:ascii="Arial" w:cs="Arial" w:eastAsia="Arial" w:hAnsi="Arial"/>
          <w:sz w:val="22"/>
          <w:szCs w:val="22"/>
        </w:rPr>
        <w:t xml:space="preserve">Step 6 — State accretion in dollars and percent.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Accretion = $4.10 − $4.00 = $0.10 per share, or +2.5%</w:t>
            </w:r>
          </w:p>
        </w:tc>
      </w:tr>
    </w:tbl>
    <w:p>
      <w:pPr>
        <w:spacing w:after="120"/>
      </w:pPr>
      <w:r>
        <w:rPr>
          <w:rFonts w:ascii="Arial" w:cs="Arial" w:eastAsia="Arial" w:hAnsi="Arial"/>
          <w:sz w:val="22"/>
          <w:szCs w:val="22"/>
        </w:rPr>
        <w:t xml:space="preserve">The deal is accretive by $0.10 (2.5%) — the target's earnings contribution outweighs the combined drag from interest expense and share dilution.</w:t>
      </w:r>
    </w:p>
    <w:p>
      <w:pPr>
        <w:pStyle w:val="Heading2"/>
        <w:spacing w:after="80" w:before="220"/>
      </w:pPr>
      <w:r>
        <w:rPr>
          <w:rFonts w:ascii="Arial" w:cs="Arial" w:eastAsia="Arial" w:hAnsi="Arial"/>
          <w:b/>
          <w:bCs/>
          <w:color w:val="1C1917"/>
          <w:sz w:val="25"/>
          <w:szCs w:val="25"/>
        </w:rPr>
        <w:t xml:space="preserve">The EPS Breakeven Price</w:t>
      </w:r>
    </w:p>
    <w:p>
      <w:pPr>
        <w:spacing w:after="120"/>
      </w:pPr>
      <w:r>
        <w:rPr>
          <w:rFonts w:ascii="Arial" w:cs="Arial" w:eastAsia="Arial" w:hAnsi="Arial"/>
          <w:sz w:val="22"/>
          <w:szCs w:val="22"/>
        </w:rPr>
        <w:t xml:space="preserve">For a purely stock-financed deal, there is a maximum price — the EPS breakeven acquisition price — above which the deal becomes dilutive. It is found by setting pro-forma EPS equal to standalone EPS and solving for purchase price. This figure sets a practical upper bound in negotiations and is especially sensitive to the acquirer's P/E multiple relative to the target's implied P/E.</w:t>
      </w:r>
    </w:p>
    <w:p>
      <w:pPr>
        <w:pStyle w:val="Heading2"/>
        <w:spacing w:after="80" w:before="220"/>
      </w:pPr>
      <w:r>
        <w:rPr>
          <w:rFonts w:ascii="Arial" w:cs="Arial" w:eastAsia="Arial" w:hAnsi="Arial"/>
          <w:b/>
          <w:bCs/>
          <w:color w:val="1C1917"/>
          <w:sz w:val="25"/>
          <w:szCs w:val="25"/>
        </w:rPr>
        <w:t xml:space="preserve">Accretion Is Not the Same as Value Creation</w:t>
      </w:r>
    </w:p>
    <w:p>
      <w:pPr>
        <w:spacing w:after="120"/>
      </w:pPr>
      <w:r>
        <w:rPr>
          <w:rFonts w:ascii="Arial" w:cs="Arial" w:eastAsia="Arial" w:hAnsi="Arial"/>
          <w:sz w:val="22"/>
          <w:szCs w:val="22"/>
        </w:rPr>
        <w:t xml:space="preserve">A deal can be EPS-accretive yet value-destructive. If the acquirer overpays and the implied IRR on the investment falls below its weighted average cost of capital, shareholder value erodes even as reported EPS rises. EPS accretion is a short-term optics test; NPV and IRR analysis answer the deeper strategic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forget to tax-affect the interest expense on acquisition debt, overstating the income drag and making a deal look more dilutive than it actually is. Always multiply the gross interest cost by (1 − tax rate) before subtracting it from the pro-forma numerator.</w:t>
            </w:r>
          </w:p>
        </w:tc>
      </w:tr>
    </w:tbl>
    <w:p>
      <w:pPr>
        <w:pStyle w:val="Heading1"/>
        <w:spacing w:after="120" w:before="340"/>
      </w:pPr>
      <w:r>
        <w:rPr>
          <w:rFonts w:ascii="Arial" w:cs="Arial" w:eastAsia="Arial" w:hAnsi="Arial"/>
          <w:b/>
          <w:bCs/>
          <w:color w:val="B45309"/>
          <w:sz w:val="32"/>
          <w:szCs w:val="32"/>
        </w:rPr>
        <w:t xml:space="preserve">Synergy Valuation and Purchase Price Allocation</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Deal is accretive: pro-forma EPS $4.10 vs. standalone $4.00 (+2.5%)</w:t>
      </w:r>
    </w:p>
    <w:p>
      <w:pPr>
        <w:spacing w:after="120"/>
      </w:pPr>
      <w:r>
        <w:rPr>
          <w:rFonts w:ascii="Arial" w:cs="Arial" w:eastAsia="Arial" w:hAnsi="Arial"/>
          <w:sz w:val="22"/>
          <w:szCs w:val="22"/>
        </w:rPr>
        <w:t xml:space="preserve">Synergy valuation sits at the heart of every acquisition model, and getting it right separates disciplined acquirers from those who overpay and destroy shareholder value. The analysis has two distinct phases: quantifying and discounting synergy cash flows to arrive at a synergy NPV, then comparing that NPV to the premium actually paid. If the premium exceeds the NPV, the deal destroys value on day one—regardless of how compelling the strategic narrative sounds.</w:t>
      </w:r>
    </w:p>
    <w:p>
      <w:pPr>
        <w:pStyle w:val="Heading2"/>
        <w:spacing w:after="80" w:before="220"/>
      </w:pPr>
      <w:r>
        <w:rPr>
          <w:rFonts w:ascii="Arial" w:cs="Arial" w:eastAsia="Arial" w:hAnsi="Arial"/>
          <w:b/>
          <w:bCs/>
          <w:color w:val="1C1917"/>
          <w:sz w:val="25"/>
          <w:szCs w:val="25"/>
        </w:rPr>
        <w:t xml:space="preserve">Types of Synergies and Their Risk Profiles</w:t>
      </w:r>
    </w:p>
    <w:p>
      <w:pPr>
        <w:spacing w:after="120"/>
      </w:pPr>
      <w:r>
        <w:rPr>
          <w:rFonts w:ascii="Arial" w:cs="Arial" w:eastAsia="Arial" w:hAnsi="Arial"/>
          <w:sz w:val="22"/>
          <w:szCs w:val="22"/>
        </w:rPr>
        <w:t xml:space="preserve">Cost synergies are the workhorses of M&amp;A value creation. They typically include headcount reduction (eliminating duplicate corporate functions, overlapping sales territories, or redundant back-office staff), facility consolidation (closing duplicate warehouses or offices), and procurement savings (leveraging combined purchasing volume for better supplier pricing). Because these savings are largely within management's control and can be contractually locked in through workforce restructuring plans, they are more predictable. Analysts discount cost synergies at the acquirer's WACC.</w:t>
      </w:r>
    </w:p>
    <w:p>
      <w:pPr>
        <w:spacing w:after="120"/>
      </w:pPr>
      <w:r>
        <w:rPr>
          <w:rFonts w:ascii="Arial" w:cs="Arial" w:eastAsia="Arial" w:hAnsi="Arial"/>
          <w:sz w:val="22"/>
          <w:szCs w:val="22"/>
        </w:rPr>
        <w:t xml:space="preserve">Revenue synergies—cross-selling each company's products to the other's customer base, or exercising greater pricing power in a consolidated market—are far more uncertain. Customers may not respond as projected, sales forces may resist selling unfamiliar products, and competitive responses can erode pricing gains. Best practice is to apply a risk-adjusted discount rate 200–400 basis points above WACC for revenue synergies, or to haircut the projected amounts aggressively before discounting.</w:t>
      </w:r>
    </w:p>
    <w:p>
      <w:pPr>
        <w:pStyle w:val="Heading2"/>
        <w:spacing w:after="80" w:before="220"/>
      </w:pPr>
      <w:r>
        <w:rPr>
          <w:rFonts w:ascii="Arial" w:cs="Arial" w:eastAsia="Arial" w:hAnsi="Arial"/>
          <w:b/>
          <w:bCs/>
          <w:color w:val="1C1917"/>
          <w:sz w:val="25"/>
          <w:szCs w:val="25"/>
        </w:rPr>
        <w:t xml:space="preserve">The Core Valuation Formula</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Synergy NPV = Σ [Synergy_t × (1 − Tax Rate)] / (1 + WACC)^t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Each year's pre-tax synergy is tax-effected first, then discounted. The sum across all projection years (including a terminal value if synergies are permanent) yields the total synergy NPV. This figure is then compared to the control premium—the dollar amount paid above the target's standalone fair value.</w:t>
      </w:r>
    </w:p>
    <w:p>
      <w:pPr>
        <w:pStyle w:val="Heading2"/>
        <w:spacing w:after="80" w:before="220"/>
      </w:pPr>
      <w:r>
        <w:rPr>
          <w:rFonts w:ascii="Arial" w:cs="Arial" w:eastAsia="Arial" w:hAnsi="Arial"/>
          <w:b/>
          <w:bCs/>
          <w:color w:val="1C1917"/>
          <w:sz w:val="25"/>
          <w:szCs w:val="25"/>
        </w:rPr>
        <w:t xml:space="preserve">Worked Example: $50M Cost Synergy Model</w:t>
      </w:r>
    </w:p>
    <w:p>
      <w:pPr>
        <w:spacing w:after="120"/>
      </w:pPr>
      <w:r>
        <w:rPr>
          <w:rFonts w:ascii="Arial" w:cs="Arial" w:eastAsia="Arial" w:hAnsi="Arial"/>
          <w:sz w:val="22"/>
          <w:szCs w:val="22"/>
        </w:rPr>
        <w:t xml:space="preserve">Assume an acquirer projects $50M in annual pre-tax cost synergies once fully realized, phased in over three years as follows: 30% in Year 1, 70% in Year 2, and 100% in Year 3 onward. The tax rate is 25% and WACC is 9%. For simplicity, model a three-year explicit period plus a perpetuity starting in Year 4.</w:t>
      </w:r>
    </w:p>
    <w:p>
      <w:pPr>
        <w:spacing w:after="120"/>
      </w:pPr>
      <w:r>
        <w:rPr>
          <w:rFonts w:ascii="Arial" w:cs="Arial" w:eastAsia="Arial" w:hAnsi="Arial"/>
          <w:sz w:val="22"/>
          <w:szCs w:val="22"/>
        </w:rPr>
        <w:t xml:space="preserve">Step 1 — Calculate annual pre-tax synergies.</w:t>
      </w:r>
    </w:p>
    <w:p>
      <w:pPr>
        <w:spacing w:after="120"/>
      </w:pPr>
      <w:r>
        <w:rPr>
          <w:rFonts w:ascii="Arial" w:cs="Arial" w:eastAsia="Arial" w:hAnsi="Arial"/>
          <w:sz w:val="22"/>
          <w:szCs w:val="22"/>
        </w:rPr>
        <w:t xml:space="preserve">| Year | Phase-in | Pre-tax Synergy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30% | $15.0M |</w:t>
      </w:r>
    </w:p>
    <w:p>
      <w:pPr>
        <w:spacing w:after="120"/>
      </w:pPr>
      <w:r>
        <w:rPr>
          <w:rFonts w:ascii="Arial" w:cs="Arial" w:eastAsia="Arial" w:hAnsi="Arial"/>
          <w:sz w:val="22"/>
          <w:szCs w:val="22"/>
        </w:rPr>
        <w:t xml:space="preserve">| 2 | 70% | $35.0M |</w:t>
      </w:r>
    </w:p>
    <w:p>
      <w:pPr>
        <w:spacing w:after="120"/>
      </w:pPr>
      <w:r>
        <w:rPr>
          <w:rFonts w:ascii="Arial" w:cs="Arial" w:eastAsia="Arial" w:hAnsi="Arial"/>
          <w:sz w:val="22"/>
          <w:szCs w:val="22"/>
        </w:rPr>
        <w:t xml:space="preserve">| 3+ | 100% | $50.0M |</w:t>
      </w:r>
    </w:p>
    <w:p>
      <w:pPr>
        <w:spacing w:after="120"/>
      </w:pPr>
      <w:r>
        <w:rPr>
          <w:rFonts w:ascii="Arial" w:cs="Arial" w:eastAsia="Arial" w:hAnsi="Arial"/>
          <w:sz w:val="22"/>
          <w:szCs w:val="22"/>
        </w:rPr>
        <w:t xml:space="preserve">Step 2 — Tax-effect each year's synergy.</w:t>
      </w:r>
    </w:p>
    <w:p>
      <w:pPr>
        <w:pStyle w:val="ListParagraph"/>
        <w:numPr>
          <w:ilvl w:val="0"/>
          <w:numId w:val="1"/>
        </w:numPr>
        <w:spacing w:after="40"/>
      </w:pPr>
      <w:r>
        <w:rPr>
          <w:rFonts w:ascii="Arial" w:cs="Arial" w:eastAsia="Arial" w:hAnsi="Arial"/>
          <w:sz w:val="22"/>
          <w:szCs w:val="22"/>
        </w:rPr>
        <w:t xml:space="preserve">Year 1: $15.0M × (1 − 0.25) = $11.25M</w:t>
      </w:r>
    </w:p>
    <w:p>
      <w:pPr>
        <w:pStyle w:val="ListParagraph"/>
        <w:numPr>
          <w:ilvl w:val="0"/>
          <w:numId w:val="1"/>
        </w:numPr>
        <w:spacing w:after="40"/>
      </w:pPr>
      <w:r>
        <w:rPr>
          <w:rFonts w:ascii="Arial" w:cs="Arial" w:eastAsia="Arial" w:hAnsi="Arial"/>
          <w:sz w:val="22"/>
          <w:szCs w:val="22"/>
        </w:rPr>
        <w:t xml:space="preserve">Year 2: $35.0M × (1 − 0.25) = $26.25M</w:t>
      </w:r>
    </w:p>
    <w:p>
      <w:pPr>
        <w:pStyle w:val="ListParagraph"/>
        <w:numPr>
          <w:ilvl w:val="0"/>
          <w:numId w:val="1"/>
        </w:numPr>
        <w:spacing w:after="40"/>
      </w:pPr>
      <w:r>
        <w:rPr>
          <w:rFonts w:ascii="Arial" w:cs="Arial" w:eastAsia="Arial" w:hAnsi="Arial"/>
          <w:sz w:val="22"/>
          <w:szCs w:val="22"/>
        </w:rPr>
        <w:t xml:space="preserve">Year 3: $50.0M × (1 − 0.25) = $37.50M (also the steady-state after-tax figure)</w:t>
      </w:r>
    </w:p>
    <w:p>
      <w:pPr>
        <w:spacing w:after="120"/>
      </w:pPr>
      <w:r>
        <w:rPr>
          <w:rFonts w:ascii="Arial" w:cs="Arial" w:eastAsia="Arial" w:hAnsi="Arial"/>
          <w:sz w:val="22"/>
          <w:szCs w:val="22"/>
        </w:rPr>
        <w:t xml:space="preserve">Step 3 — Discount Years 1–3.</w:t>
      </w:r>
    </w:p>
    <w:p>
      <w:pPr>
        <w:pStyle w:val="ListParagraph"/>
        <w:numPr>
          <w:ilvl w:val="0"/>
          <w:numId w:val="1"/>
        </w:numPr>
        <w:spacing w:after="40"/>
      </w:pPr>
      <w:r>
        <w:rPr>
          <w:rFonts w:ascii="Arial" w:cs="Arial" w:eastAsia="Arial" w:hAnsi="Arial"/>
          <w:sz w:val="22"/>
          <w:szCs w:val="22"/>
        </w:rPr>
        <w:t xml:space="preserve">PV₁ = $11.25M / 1.09¹ = $10.32M</w:t>
      </w:r>
    </w:p>
    <w:p>
      <w:pPr>
        <w:pStyle w:val="ListParagraph"/>
        <w:numPr>
          <w:ilvl w:val="0"/>
          <w:numId w:val="1"/>
        </w:numPr>
        <w:spacing w:after="40"/>
      </w:pPr>
      <w:r>
        <w:rPr>
          <w:rFonts w:ascii="Arial" w:cs="Arial" w:eastAsia="Arial" w:hAnsi="Arial"/>
          <w:sz w:val="22"/>
          <w:szCs w:val="22"/>
        </w:rPr>
        <w:t xml:space="preserve">PV₂ = $26.25M / 1.09² = $22.10M</w:t>
      </w:r>
    </w:p>
    <w:p>
      <w:pPr>
        <w:pStyle w:val="ListParagraph"/>
        <w:numPr>
          <w:ilvl w:val="0"/>
          <w:numId w:val="1"/>
        </w:numPr>
        <w:spacing w:after="40"/>
      </w:pPr>
      <w:r>
        <w:rPr>
          <w:rFonts w:ascii="Arial" w:cs="Arial" w:eastAsia="Arial" w:hAnsi="Arial"/>
          <w:sz w:val="22"/>
          <w:szCs w:val="22"/>
        </w:rPr>
        <w:t xml:space="preserve">PV₃ = $37.50M / 1.09³ = $28.95M</w:t>
      </w:r>
    </w:p>
    <w:p>
      <w:pPr>
        <w:spacing w:after="120"/>
      </w:pPr>
      <w:r>
        <w:rPr>
          <w:rFonts w:ascii="Arial" w:cs="Arial" w:eastAsia="Arial" w:hAnsi="Arial"/>
          <w:sz w:val="22"/>
          <w:szCs w:val="22"/>
        </w:rPr>
        <w:t xml:space="preserve">Step 4 — Terminal value at end of Year 3 (perpetuity, zero growth).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TV₃ = $37.50M / 0.09 = $416.67M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of TV = $416.67M / 1.09³ = $321.67M</w:t>
            </w:r>
          </w:p>
        </w:tc>
      </w:tr>
    </w:tbl>
    <w:p>
      <w:pPr>
        <w:spacing w:after="120"/>
      </w:pPr>
      <w:r>
        <w:rPr>
          <w:rFonts w:ascii="Arial" w:cs="Arial" w:eastAsia="Arial" w:hAnsi="Arial"/>
          <w:sz w:val="22"/>
          <w:szCs w:val="22"/>
        </w:rPr>
        <w:t xml:space="preserve">Step 5 — Sum all present values.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Synergy NPV = $10.32M + $22.10M + $28.95M + $321.67M = $383.04M</w:t>
            </w:r>
          </w:p>
        </w:tc>
      </w:tr>
    </w:tbl>
    <w:p>
      <w:pPr>
        <w:spacing w:after="120"/>
      </w:pPr>
      <w:r>
        <w:rPr>
          <w:rFonts w:ascii="Arial" w:cs="Arial" w:eastAsia="Arial" w:hAnsi="Arial"/>
          <w:sz w:val="22"/>
          <w:szCs w:val="22"/>
        </w:rPr>
        <w:t xml:space="preserve">Step 6 — Compare to the control premium paid: $180M.</w:t>
      </w:r>
    </w:p>
    <w:p>
      <w:pPr>
        <w:spacing w:after="120"/>
      </w:pPr>
      <w:r>
        <w:rPr>
          <w:rFonts w:ascii="Arial" w:cs="Arial" w:eastAsia="Arial" w:hAnsi="Arial"/>
          <w:sz w:val="22"/>
          <w:szCs w:val="22"/>
        </w:rPr>
        <w:t xml:space="preserve">The synergy NPV of $383M substantially exceeds the $180M premium, suggesting the deal creates value—if synergies are fully realized.</w:t>
      </w:r>
    </w:p>
    <w:p>
      <w:pPr>
        <w:pStyle w:val="Heading2"/>
        <w:spacing w:after="80" w:before="220"/>
      </w:pPr>
      <w:r>
        <w:rPr>
          <w:rFonts w:ascii="Arial" w:cs="Arial" w:eastAsia="Arial" w:hAnsi="Arial"/>
          <w:b/>
          <w:bCs/>
          <w:color w:val="1C1917"/>
          <w:sz w:val="25"/>
          <w:szCs w:val="25"/>
        </w:rPr>
        <w:t xml:space="preserve">The Synergy Capture Rate: Your Most Important Sensitivity</w:t>
      </w:r>
    </w:p>
    <w:p>
      <w:pPr>
        <w:spacing w:after="120"/>
      </w:pPr>
      <w:r>
        <w:rPr>
          <w:rFonts w:ascii="Arial" w:cs="Arial" w:eastAsia="Arial" w:hAnsi="Arial"/>
          <w:sz w:val="22"/>
          <w:szCs w:val="22"/>
        </w:rPr>
        <w:t xml:space="preserve">Academic research consistently shows acquirers realize only 50–70% of projected synergies. Applying a 70% capture rate to this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Adjusted Synergy NPV = $383.04M × 0.70 = $268.1M</w:t>
            </w:r>
          </w:p>
        </w:tc>
      </w:tr>
    </w:tbl>
    <w:p>
      <w:pPr>
        <w:spacing w:after="120"/>
      </w:pPr>
      <w:r>
        <w:rPr>
          <w:rFonts w:ascii="Arial" w:cs="Arial" w:eastAsia="Arial" w:hAnsi="Arial"/>
          <w:sz w:val="22"/>
          <w:szCs w:val="22"/>
        </w:rPr>
        <w:t xml:space="preserve">Even at 70% realization, the deal still clears the $180M hurdle. Drop the capture rate to 47% and the NPV exactly equals the premium—that is your break-even assumption, and it belongs prominently in your sensitivity table.</w:t>
      </w:r>
    </w:p>
    <w:p>
      <w:pPr>
        <w:pStyle w:val="Heading2"/>
        <w:spacing w:after="80" w:before="220"/>
      </w:pPr>
      <w:r>
        <w:rPr>
          <w:rFonts w:ascii="Arial" w:cs="Arial" w:eastAsia="Arial" w:hAnsi="Arial"/>
          <w:b/>
          <w:bCs/>
          <w:color w:val="1C1917"/>
          <w:sz w:val="25"/>
          <w:szCs w:val="25"/>
        </w:rPr>
        <w:t xml:space="preserve">Purchase Price Allocation</w:t>
      </w:r>
    </w:p>
    <w:p>
      <w:pPr>
        <w:spacing w:after="120"/>
      </w:pPr>
      <w:r>
        <w:rPr>
          <w:rFonts w:ascii="Arial" w:cs="Arial" w:eastAsia="Arial" w:hAnsi="Arial"/>
          <w:sz w:val="22"/>
          <w:szCs w:val="22"/>
        </w:rPr>
        <w:t xml:space="preserve">Once the deal closes, accounting standards (ASC 805 / IFRS 3) require purchase price allocation (PPA). Fair value is assigned first to tangible assets (property, equipment, inventory), then to identifiable intangible assets such as customer lists, trade names, technology, and non-compete agreements. The residual—what the acquirer paid above the fair value of all identified net assets—is recorded as goodwill.</w:t>
      </w:r>
    </w:p>
    <w:p>
      <w:pPr>
        <w:spacing w:after="120"/>
      </w:pPr>
      <w:r>
        <w:rPr>
          <w:rFonts w:ascii="Arial" w:cs="Arial" w:eastAsia="Arial" w:hAnsi="Arial"/>
          <w:sz w:val="22"/>
          <w:szCs w:val="22"/>
        </w:rPr>
        <w:t xml:space="preserve">Identified intangibles are amortized over their useful lives (often 5–15 years). This amortization reduces GAAP EPS post-close but is entirely non-cash, so it does not affect operating cash flow or EBITDA. Analysts routinely add it back when computing adjusted EPS, but auditors and investors scrutinize goodwill impairment risk closely if business performance disappoints.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forget to tax-effect synergies before discounting, overstating synergy NPV by the full tax rate. Always apply (1 − Tax Rate) to pre-tax synergy figures before dividing by the discount factor.</w:t>
            </w:r>
          </w:p>
        </w:tc>
      </w:tr>
    </w:tbl>
    <w:p>
      <w:pPr>
        <w:pStyle w:val="Heading1"/>
        <w:spacing w:after="120" w:before="340"/>
      </w:pPr>
      <w:r>
        <w:rPr>
          <w:rFonts w:ascii="Arial" w:cs="Arial" w:eastAsia="Arial" w:hAnsi="Arial"/>
          <w:b/>
          <w:bCs/>
          <w:color w:val="B45309"/>
          <w:sz w:val="32"/>
          <w:szCs w:val="32"/>
        </w:rPr>
        <w:t xml:space="preserve">Leveraged Buyout (LBO) Modeling and Return Analysis</w:t>
      </w:r>
    </w:p>
    <w:p>
      <w:pPr>
        <w:spacing w:after="120"/>
      </w:pPr>
      <w:r>
        <w:rPr>
          <w:rFonts w:ascii="Arial" w:cs="Arial" w:eastAsia="Arial" w:hAnsi="Arial"/>
          <w:sz w:val="22"/>
          <w:szCs w:val="22"/>
        </w:rPr>
        <w:t xml:space="preserve">LBO modeling sits at the intersection of capital structure engineering, cash flow forecasting, and return analysis. Mastering it means understanding not just the arithmetic but the economic logic: a financial sponsor borrows heavily to amplify equity returns, then relies on the target company's own cash flows to repay that debt over the holding period.</w:t>
      </w:r>
    </w:p>
    <w:p>
      <w:pPr>
        <w:pStyle w:val="Heading2"/>
        <w:spacing w:after="80" w:before="220"/>
      </w:pPr>
      <w:r>
        <w:rPr>
          <w:rFonts w:ascii="Arial" w:cs="Arial" w:eastAsia="Arial" w:hAnsi="Arial"/>
          <w:b/>
          <w:bCs/>
          <w:color w:val="1C1917"/>
          <w:sz w:val="25"/>
          <w:szCs w:val="25"/>
        </w:rPr>
        <w:t xml:space="preserve">The LBO Capital Structure</w:t>
      </w:r>
    </w:p>
    <w:p>
      <w:pPr>
        <w:spacing w:after="120"/>
      </w:pPr>
      <w:r>
        <w:rPr>
          <w:rFonts w:ascii="Arial" w:cs="Arial" w:eastAsia="Arial" w:hAnsi="Arial"/>
          <w:sz w:val="22"/>
          <w:szCs w:val="22"/>
        </w:rPr>
        <w:t xml:space="preserve">In a leveraged buyout, the purchase price is funded by three layers of capital. Sponsor equity sits at the bottom of the priority stack and bears the most risk—but captures all residual upside. Senior secured debt (bank loans or term loans) sits at the top, carries the lowest interest rate, and amortizes on a fixed schedule. Subordinated debt (mezzanine or high-yield bonds) fills the gap between senior debt and equity, carries a higher coupon, and typically has limited or no mandatory amortization. Together these tranches fund the enterprise value (EV) at entry.</w:t>
      </w:r>
    </w:p>
    <w:p>
      <w:pPr>
        <w:spacing w:after="120"/>
      </w:pPr>
      <w:r>
        <w:rPr>
          <w:rFonts w:ascii="Arial" w:cs="Arial" w:eastAsia="Arial" w:hAnsi="Arial"/>
          <w:sz w:val="22"/>
          <w:szCs w:val="22"/>
        </w:rPr>
        <w:t xml:space="preserve">The target's free cash flow services interest and principal on all debt layers. What remains after debt service can be swept against the outstanding debt balance—accelerating paydown and increasing equity value at exit.</w:t>
      </w:r>
    </w:p>
    <w:p>
      <w:pPr>
        <w:pStyle w:val="Heading2"/>
        <w:spacing w:after="80" w:before="220"/>
      </w:pPr>
      <w:r>
        <w:rPr>
          <w:rFonts w:ascii="Arial" w:cs="Arial" w:eastAsia="Arial" w:hAnsi="Arial"/>
          <w:b/>
          <w:bCs/>
          <w:color w:val="1C1917"/>
          <w:sz w:val="25"/>
          <w:szCs w:val="25"/>
        </w:rPr>
        <w:t xml:space="preserve">Entry and Exit Mechanics</w:t>
      </w:r>
    </w:p>
    <w:p>
      <w:pPr>
        <w:spacing w:after="120"/>
      </w:pPr>
      <w:r>
        <w:rPr>
          <w:rFonts w:ascii="Arial" w:cs="Arial" w:eastAsia="Arial" w:hAnsi="Arial"/>
          <w:sz w:val="22"/>
          <w:szCs w:val="22"/>
        </w:rPr>
        <w:t xml:space="preserve">Sponsors express deal pricing as an EV/EBITDA multiple. If a company generates $100M of EBITDA and the entry multiple is 8×, the purchase price is $800M. At exit, the sponsor sells at a new EV/EBITDA multiple applied to the then-current EBITDA. Three levers drive equity returns:</w:t>
      </w:r>
    </w:p>
    <w:p>
      <w:pPr>
        <w:pStyle w:val="ListParagraph"/>
        <w:numPr>
          <w:ilvl w:val="0"/>
          <w:numId w:val="1"/>
        </w:numPr>
        <w:spacing w:after="40"/>
      </w:pPr>
      <w:r>
        <w:rPr>
          <w:rFonts w:ascii="Arial" w:cs="Arial" w:eastAsia="Arial" w:hAnsi="Arial"/>
          <w:sz w:val="22"/>
          <w:szCs w:val="22"/>
        </w:rPr>
        <w:t xml:space="preserve">EBITDA growth — a larger earnings base multiplied at exit produces a higher EV.</w:t>
      </w:r>
    </w:p>
    <w:p>
      <w:pPr>
        <w:pStyle w:val="ListParagraph"/>
        <w:numPr>
          <w:ilvl w:val="0"/>
          <w:numId w:val="1"/>
        </w:numPr>
        <w:spacing w:after="40"/>
      </w:pPr>
      <w:r>
        <w:rPr>
          <w:rFonts w:ascii="Arial" w:cs="Arial" w:eastAsia="Arial" w:hAnsi="Arial"/>
          <w:sz w:val="22"/>
          <w:szCs w:val="22"/>
        </w:rPr>
        <w:t xml:space="preserve">Multiple expansion — exiting at a higher multiple than entry amplifies every dollar of EBITDA growth.</w:t>
      </w:r>
    </w:p>
    <w:p>
      <w:pPr>
        <w:pStyle w:val="ListParagraph"/>
        <w:numPr>
          <w:ilvl w:val="0"/>
          <w:numId w:val="1"/>
        </w:numPr>
        <w:spacing w:after="40"/>
      </w:pPr>
      <w:r>
        <w:rPr>
          <w:rFonts w:ascii="Arial" w:cs="Arial" w:eastAsia="Arial" w:hAnsi="Arial"/>
          <w:sz w:val="22"/>
          <w:szCs w:val="22"/>
        </w:rPr>
        <w:t xml:space="preserve">Debt paydown — every dollar of debt retired converts directly into equity value at exit.</w:t>
      </w:r>
    </w:p>
    <w:p>
      <w:pPr>
        <w:pStyle w:val="Heading2"/>
        <w:spacing w:after="80" w:before="220"/>
      </w:pPr>
      <w:r>
        <w:rPr>
          <w:rFonts w:ascii="Arial" w:cs="Arial" w:eastAsia="Arial" w:hAnsi="Arial"/>
          <w:b/>
          <w:bCs/>
          <w:color w:val="1C1917"/>
          <w:sz w:val="25"/>
          <w:szCs w:val="25"/>
        </w:rPr>
        <w:t xml:space="preserve">Return Metrics: IRR and MOIC</w:t>
      </w:r>
    </w:p>
    <w:p>
      <w:pPr>
        <w:spacing w:after="120"/>
      </w:pPr>
      <w:r>
        <w:rPr>
          <w:rFonts w:ascii="Arial" w:cs="Arial" w:eastAsia="Arial" w:hAnsi="Arial"/>
          <w:sz w:val="22"/>
          <w:szCs w:val="22"/>
        </w:rPr>
        <w:t xml:space="preserve">Sponsors track two primary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MOIC = Exit Equity Value / Entry Equity Invested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Entry Equity = Exit Equity / (1 + IRR)^n</w:t>
            </w:r>
          </w:p>
        </w:tc>
      </w:tr>
    </w:tbl>
    <w:p>
      <w:pPr>
        <w:spacing w:after="120"/>
      </w:pPr>
      <w:r>
        <w:rPr>
          <w:rFonts w:ascii="Arial" w:cs="Arial" w:eastAsia="Arial" w:hAnsi="Arial"/>
          <w:sz w:val="22"/>
          <w:szCs w:val="22"/>
        </w:rPr>
        <w:t xml:space="preserve">MOIC (Multiple on Invested Capital) tells you how many times you got your money back. IRR (Internal Rate of Return) adjusts for time—a 3× MOIC over 3 years is far more impressive than the same multiple over 10 years.</w:t>
      </w:r>
    </w:p>
    <w:p>
      <w:pPr>
        <w:pStyle w:val="Heading2"/>
        <w:spacing w:after="80" w:before="220"/>
      </w:pPr>
      <w:r>
        <w:rPr>
          <w:rFonts w:ascii="Arial" w:cs="Arial" w:eastAsia="Arial" w:hAnsi="Arial"/>
          <w:b/>
          <w:bCs/>
          <w:color w:val="1C1917"/>
          <w:sz w:val="25"/>
          <w:szCs w:val="25"/>
        </w:rPr>
        <w:t xml:space="preserve">Debt Schedule Mechanics</w:t>
      </w:r>
    </w:p>
    <w:p>
      <w:pPr>
        <w:spacing w:after="120"/>
      </w:pPr>
      <w:r>
        <w:rPr>
          <w:rFonts w:ascii="Arial" w:cs="Arial" w:eastAsia="Arial" w:hAnsi="Arial"/>
          <w:sz w:val="22"/>
          <w:szCs w:val="22"/>
        </w:rPr>
        <w:t xml:space="preserve">Each year the debt schedule records: opening balance → mandatory amortization → optional cash sweep → closing balance. The cash sweep applies all available free cash flow (after mandatory amortization and interest) to reduce the principal balance. Covenants constrain how much debt can be raised at entry; a common limit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Debt / EBITDA ≤ 5×</w:t>
            </w:r>
          </w:p>
        </w:tc>
      </w:tr>
    </w:tbl>
    <w:p>
      <w:pPr>
        <w:spacing w:after="120"/>
      </w:pPr>
      <w:r>
        <w:rPr>
          <w:rFonts w:ascii="Arial" w:cs="Arial" w:eastAsia="Arial" w:hAnsi="Arial"/>
          <w:sz w:val="22"/>
          <w:szCs w:val="22"/>
        </w:rPr>
        <w:t xml:space="preserve">A Debt Service Coverage Ratio (DSCR) covenant—typically DSCR ≥ 1.2×—ensures operating cash flow comfortably covers interest and scheduled principal.</w:t>
      </w:r>
    </w:p>
    <w:p>
      <w:pPr>
        <w:pStyle w:val="Heading2"/>
        <w:spacing w:after="80" w:before="220"/>
      </w:pPr>
      <w:r>
        <w:rPr>
          <w:rFonts w:ascii="Arial" w:cs="Arial" w:eastAsia="Arial" w:hAnsi="Arial"/>
          <w:b/>
          <w:bCs/>
          <w:color w:val="1C1917"/>
          <w:sz w:val="25"/>
          <w:szCs w:val="25"/>
        </w:rPr>
        <w:t xml:space="preserve">Fully Worked Example</w:t>
      </w:r>
    </w:p>
    <w:p>
      <w:pPr>
        <w:spacing w:after="120"/>
      </w:pPr>
      <w:r>
        <w:rPr>
          <w:rFonts w:ascii="Arial" w:cs="Arial" w:eastAsia="Arial" w:hAnsi="Arial"/>
          <w:sz w:val="22"/>
          <w:szCs w:val="22"/>
        </w:rPr>
        <w:t xml:space="preserve">Given information:</w:t>
      </w:r>
    </w:p>
    <w:p>
      <w:pPr>
        <w:pStyle w:val="ListParagraph"/>
        <w:numPr>
          <w:ilvl w:val="0"/>
          <w:numId w:val="1"/>
        </w:numPr>
        <w:spacing w:after="40"/>
      </w:pPr>
      <w:r>
        <w:rPr>
          <w:rFonts w:ascii="Arial" w:cs="Arial" w:eastAsia="Arial" w:hAnsi="Arial"/>
          <w:sz w:val="22"/>
          <w:szCs w:val="22"/>
        </w:rPr>
        <w:t xml:space="preserve">Entry EBITDA: $100M; Entry multiple: 8× → Purchase price = $800M</w:t>
      </w:r>
    </w:p>
    <w:p>
      <w:pPr>
        <w:pStyle w:val="ListParagraph"/>
        <w:numPr>
          <w:ilvl w:val="0"/>
          <w:numId w:val="1"/>
        </w:numPr>
        <w:spacing w:after="40"/>
      </w:pPr>
      <w:r>
        <w:rPr>
          <w:rFonts w:ascii="Arial" w:cs="Arial" w:eastAsia="Arial" w:hAnsi="Arial"/>
          <w:sz w:val="22"/>
          <w:szCs w:val="22"/>
        </w:rPr>
        <w:t xml:space="preserve">Debt: 60% of $800M = $480M at 7% interest; Equity: 40% = $320M</w:t>
      </w:r>
    </w:p>
    <w:p>
      <w:pPr>
        <w:pStyle w:val="ListParagraph"/>
        <w:numPr>
          <w:ilvl w:val="0"/>
          <w:numId w:val="1"/>
        </w:numPr>
        <w:spacing w:after="40"/>
      </w:pPr>
      <w:r>
        <w:rPr>
          <w:rFonts w:ascii="Arial" w:cs="Arial" w:eastAsia="Arial" w:hAnsi="Arial"/>
          <w:sz w:val="22"/>
          <w:szCs w:val="22"/>
        </w:rPr>
        <w:t xml:space="preserve">EBITDA grows linearly to $130M over 5 years (~5.4% CAGR)</w:t>
      </w:r>
    </w:p>
    <w:p>
      <w:pPr>
        <w:pStyle w:val="ListParagraph"/>
        <w:numPr>
          <w:ilvl w:val="0"/>
          <w:numId w:val="1"/>
        </w:numPr>
        <w:spacing w:after="40"/>
      </w:pPr>
      <w:r>
        <w:rPr>
          <w:rFonts w:ascii="Arial" w:cs="Arial" w:eastAsia="Arial" w:hAnsi="Arial"/>
          <w:sz w:val="22"/>
          <w:szCs w:val="22"/>
        </w:rPr>
        <w:t xml:space="preserve">All free cash flow swept to debt each year (simplified: assume FCF ≈ EBITDA × 50% after interest and taxes)</w:t>
      </w:r>
    </w:p>
    <w:p>
      <w:pPr>
        <w:pStyle w:val="ListParagraph"/>
        <w:numPr>
          <w:ilvl w:val="0"/>
          <w:numId w:val="1"/>
        </w:numPr>
        <w:spacing w:after="40"/>
      </w:pPr>
      <w:r>
        <w:rPr>
          <w:rFonts w:ascii="Arial" w:cs="Arial" w:eastAsia="Arial" w:hAnsi="Arial"/>
          <w:sz w:val="22"/>
          <w:szCs w:val="22"/>
        </w:rPr>
        <w:t xml:space="preserve">Exit multiple: 8× at Year 5</w:t>
      </w:r>
    </w:p>
    <w:p>
      <w:pPr>
        <w:spacing w:after="120"/>
      </w:pPr>
      <w:r>
        <w:rPr>
          <w:rFonts w:ascii="Arial" w:cs="Arial" w:eastAsia="Arial" w:hAnsi="Arial"/>
          <w:sz w:val="22"/>
          <w:szCs w:val="22"/>
        </w:rPr>
        <w:t xml:space="preserve">Step 1 — Annual cash available for debt sweep</w:t>
      </w:r>
    </w:p>
    <w:p>
      <w:pPr>
        <w:spacing w:after="120"/>
      </w:pPr>
      <w:r>
        <w:rPr>
          <w:rFonts w:ascii="Arial" w:cs="Arial" w:eastAsia="Arial" w:hAnsi="Arial"/>
          <w:sz w:val="22"/>
          <w:szCs w:val="22"/>
        </w:rPr>
        <w:t xml:space="preserve">Average EBITDA over 5 years ≈ $115M. Approximate annual interest (declining, use Year 1 as conservative): $480M × 7% = $33.6M. Assume taxes + capex consume ~$25M/year. Annual cash sweep ≈ $115M − $33.6M − $25M ≈ $56M/year.</w:t>
      </w:r>
    </w:p>
    <w:p>
      <w:pPr>
        <w:spacing w:after="120"/>
      </w:pPr>
      <w:r>
        <w:rPr>
          <w:rFonts w:ascii="Arial" w:cs="Arial" w:eastAsia="Arial" w:hAnsi="Arial"/>
          <w:sz w:val="22"/>
          <w:szCs w:val="22"/>
        </w:rPr>
        <w:t xml:space="preserve">Step 2 — Closing debt balance at Year 5</w:t>
      </w:r>
    </w:p>
    <w:p>
      <w:pPr>
        <w:spacing w:after="120"/>
      </w:pPr>
      <w:r>
        <w:rPr>
          <w:rFonts w:ascii="Arial" w:cs="Arial" w:eastAsia="Arial" w:hAnsi="Arial"/>
          <w:sz w:val="22"/>
          <w:szCs w:val="22"/>
        </w:rPr>
        <w:t xml:space="preserve">Total swept over 5 years: $56M × 5 = $280M. Closing debt = $480M − $280M = $200M.</w:t>
      </w:r>
    </w:p>
    <w:p>
      <w:pPr>
        <w:spacing w:after="120"/>
      </w:pPr>
      <w:r>
        <w:rPr>
          <w:rFonts w:ascii="Arial" w:cs="Arial" w:eastAsia="Arial" w:hAnsi="Arial"/>
          <w:sz w:val="22"/>
          <w:szCs w:val="22"/>
        </w:rPr>
        <w:t xml:space="preserve">Step 3 — Exit Enterprise Value</w:t>
      </w:r>
    </w:p>
    <w:p>
      <w:pPr>
        <w:spacing w:after="120"/>
      </w:pPr>
      <w:r>
        <w:rPr>
          <w:rFonts w:ascii="Arial" w:cs="Arial" w:eastAsia="Arial" w:hAnsi="Arial"/>
          <w:sz w:val="22"/>
          <w:szCs w:val="22"/>
        </w:rPr>
        <w:t xml:space="preserve">Exit EV = $130M × 8 = $1,040M</w:t>
      </w:r>
    </w:p>
    <w:p>
      <w:pPr>
        <w:spacing w:after="120"/>
      </w:pPr>
      <w:r>
        <w:rPr>
          <w:rFonts w:ascii="Arial" w:cs="Arial" w:eastAsia="Arial" w:hAnsi="Arial"/>
          <w:sz w:val="22"/>
          <w:szCs w:val="22"/>
        </w:rPr>
        <w:t xml:space="preserve">Step 4 — Exit Equity Value</w:t>
      </w:r>
    </w:p>
    <w:p>
      <w:pPr>
        <w:spacing w:after="120"/>
      </w:pPr>
      <w:r>
        <w:rPr>
          <w:rFonts w:ascii="Arial" w:cs="Arial" w:eastAsia="Arial" w:hAnsi="Arial"/>
          <w:sz w:val="22"/>
          <w:szCs w:val="22"/>
        </w:rPr>
        <w:t xml:space="preserve">Exit Equity = $1,040M − $200M = $840M</w:t>
      </w:r>
    </w:p>
    <w:p>
      <w:pPr>
        <w:spacing w:after="120"/>
      </w:pPr>
      <w:r>
        <w:rPr>
          <w:rFonts w:ascii="Arial" w:cs="Arial" w:eastAsia="Arial" w:hAnsi="Arial"/>
          <w:sz w:val="22"/>
          <w:szCs w:val="22"/>
        </w:rPr>
        <w:t xml:space="preserve">Step 5 — MOIC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MOIC = $840M / $320M = 2.63×</w:t>
            </w:r>
          </w:p>
        </w:tc>
      </w:tr>
    </w:tbl>
    <w:p>
      <w:pPr>
        <w:spacing w:after="120"/>
      </w:pPr>
      <w:r>
        <w:rPr>
          <w:rFonts w:ascii="Arial" w:cs="Arial" w:eastAsia="Arial" w:hAnsi="Arial"/>
          <w:sz w:val="22"/>
          <w:szCs w:val="22"/>
        </w:rPr>
        <w:t xml:space="preserve">Step 6 — IRR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$320M = $840M / (1 + IRR)^5</w:t>
            </w:r>
          </w:p>
        </w:tc>
      </w:tr>
    </w:tbl>
    <w:p>
      <w:pPr>
        <w:spacing w:after="120"/>
      </w:pPr>
      <w:r>
        <w:rPr>
          <w:rFonts w:ascii="Arial" w:cs="Arial" w:eastAsia="Arial" w:hAnsi="Arial"/>
          <w:sz w:val="22"/>
          <w:szCs w:val="22"/>
        </w:rPr>
        <w:t xml:space="preserve">$(1 + IRR)^5 = 2.625$</w:t>
      </w:r>
    </w:p>
    <w:p>
      <w:pPr>
        <w:spacing w:after="120"/>
      </w:pPr>
      <w:r>
        <w:rPr>
          <w:rFonts w:ascii="Arial" w:cs="Arial" w:eastAsia="Arial" w:hAnsi="Arial"/>
          <w:sz w:val="22"/>
          <w:szCs w:val="22"/>
        </w:rPr>
        <w:t xml:space="preserve">$1 + IRR = 2.625^{0.2} = 1.2126$</w:t>
      </w:r>
    </w:p>
    <w:p>
      <w:pPr>
        <w:spacing w:after="120"/>
      </w:pPr>
      <w:r>
        <w:rPr>
          <w:rFonts w:ascii="Arial" w:cs="Arial" w:eastAsia="Arial" w:hAnsi="Arial"/>
          <w:sz w:val="22"/>
          <w:szCs w:val="22"/>
        </w:rPr>
        <w:t xml:space="preserve">IRR ≈ 21.3%</w:t>
      </w:r>
    </w:p>
    <w:p>
      <w:pPr>
        <w:spacing w:after="120"/>
      </w:pPr>
      <w:r>
        <w:rPr>
          <w:rFonts w:ascii="Arial" w:cs="Arial" w:eastAsia="Arial" w:hAnsi="Arial"/>
          <w:sz w:val="22"/>
          <w:szCs w:val="22"/>
        </w:rPr>
        <w:t xml:space="preserve">Even with no multiple expansion, EBITDA growth and debt paydown alone deliver a 21% IRR—a strong result that illustrates the power of leverage.</w:t>
      </w:r>
    </w:p>
    <w:p>
      <w:pPr>
        <w:pStyle w:val="Heading2"/>
        <w:spacing w:after="80" w:before="220"/>
      </w:pPr>
      <w:r>
        <w:rPr>
          <w:rFonts w:ascii="Arial" w:cs="Arial" w:eastAsia="Arial" w:hAnsi="Arial"/>
          <w:b/>
          <w:bCs/>
          <w:color w:val="1C1917"/>
          <w:sz w:val="25"/>
          <w:szCs w:val="25"/>
        </w:rPr>
        <w:t xml:space="preserve">Sensitivity Analysis</w:t>
      </w:r>
    </w:p>
    <w:p>
      <w:pPr>
        <w:spacing w:after="120"/>
      </w:pPr>
      <w:r>
        <w:rPr>
          <w:rFonts w:ascii="Arial" w:cs="Arial" w:eastAsia="Arial" w:hAnsi="Arial"/>
          <w:sz w:val="22"/>
          <w:szCs w:val="22"/>
        </w:rPr>
        <w:t xml:space="preserve">A two-way sensitivity table crossing entry multiples (7×–10×) against exit multiples (7×–10×) reveals the margin of safety: how much multiple compression the deal can absorb before IRR falls below the sponsor's hurdle rate (typically 20%). Deals bought at tight entry multiples with limited EBITDA growth assumptions are most vulnerable to multiple contraction.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Candidates forget to subtract closing debt (not entry debt) from exit EV when computing exit equity value. Using the $480M entry debt instead of the $200M post-sweep balance would slash the calculated MOIC from 2.63× to 1.75× and dramatically understate the return—a critical error in any deal analysis.</w:t>
            </w:r>
          </w:p>
        </w:tc>
      </w:tr>
    </w:tbl>
    <w:p>
      <w:pPr>
        <w:pStyle w:val="Heading1"/>
        <w:spacing w:after="120" w:before="340"/>
      </w:pPr>
      <w:r>
        <w:rPr>
          <w:rFonts w:ascii="Arial" w:cs="Arial" w:eastAsia="Arial" w:hAnsi="Arial"/>
          <w:b/>
          <w:bCs/>
          <w:color w:val="B45309"/>
          <w:sz w:val="32"/>
          <w:szCs w:val="32"/>
        </w:rPr>
        <w:t xml:space="preserve">Capital Budgeting Models: NPV, IRR, and Payback for Investment Decisions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Financing mix is the most controllable lever in accretion/dilution analysis</w:t>
      </w:r>
    </w:p>
    <w:p>
      <w:pPr>
        <w:spacing w:after="120"/>
      </w:pPr>
      <w:r>
        <w:rPr>
          <w:rFonts w:ascii="Arial" w:cs="Arial" w:eastAsia="Arial" w:hAnsi="Arial"/>
          <w:sz w:val="22"/>
          <w:szCs w:val="22"/>
        </w:rPr>
        <w:t xml:space="preserve">Capital budgeting models give analysts a disciplined framework for deciding whether a proposed investment creates or destroys shareholder value. Three metrics dominate practice: Net Present Value (NPV), Internal Rate of Return (IRR), and Payback Period. Each answers a slightly different question, and understanding when they agree—and when they conflict—is essential for sound investment decisions.</w:t>
      </w:r>
    </w:p>
    <w:p>
      <w:pPr>
        <w:pStyle w:val="Heading2"/>
        <w:spacing w:after="80" w:before="220"/>
      </w:pPr>
      <w:r>
        <w:rPr>
          <w:rFonts w:ascii="Arial" w:cs="Arial" w:eastAsia="Arial" w:hAnsi="Arial"/>
          <w:b/>
          <w:bCs/>
          <w:color w:val="1C1917"/>
          <w:sz w:val="25"/>
          <w:szCs w:val="25"/>
        </w:rPr>
        <w:t xml:space="preserve">Net Present Value</w:t>
      </w:r>
    </w:p>
    <w:p>
      <w:pPr>
        <w:spacing w:after="120"/>
      </w:pPr>
      <w:r>
        <w:rPr>
          <w:rFonts w:ascii="Arial" w:cs="Arial" w:eastAsia="Arial" w:hAnsi="Arial"/>
          <w:sz w:val="22"/>
          <w:szCs w:val="22"/>
        </w:rPr>
        <w:t xml:space="preserve">NPV measures the dollar value added to the firm by accepting a project. It discounts every incremental after-tax free cash flow (FCF) back to today using the firm's weighted-average cost of capital (WACC), then subtracts the initial outlay.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Σ [FCF_t / (1 + WACC)^t] − Initial Outlay</w:t>
            </w:r>
          </w:p>
        </w:tc>
      </w:tr>
    </w:tbl>
    <w:p>
      <w:pPr>
        <w:spacing w:after="120"/>
      </w:pPr>
      <w:r>
        <w:rPr>
          <w:rFonts w:ascii="Arial" w:cs="Arial" w:eastAsia="Arial" w:hAnsi="Arial"/>
          <w:sz w:val="22"/>
          <w:szCs w:val="22"/>
        </w:rPr>
        <w:t xml:space="preserve">A positive NPV means the project earns more than the cost of capital, creating shareholder value. A negative NPV destroys value. NPV is theoretically superior because it measures absolute wealth creation in today's dollars and assumes reinvestment at WACC—a realistic rate.</w:t>
      </w:r>
    </w:p>
    <w:p>
      <w:pPr>
        <w:spacing w:after="120"/>
      </w:pPr>
      <w:r>
        <w:rPr>
          <w:rFonts w:ascii="Arial" w:cs="Arial" w:eastAsia="Arial" w:hAnsi="Arial"/>
          <w:sz w:val="22"/>
          <w:szCs w:val="22"/>
        </w:rPr>
        <w:t xml:space="preserve">Incremental cash flows must be constructed carefully: exclude sunk costs (already spent, irrelevant to the decision), include opportunity costs (value of the next-best use of the asset), and include terminal or salvage values in the final period.</w:t>
      </w:r>
    </w:p>
    <w:p>
      <w:pPr>
        <w:pStyle w:val="Heading2"/>
        <w:spacing w:after="80" w:before="220"/>
      </w:pPr>
      <w:r>
        <w:rPr>
          <w:rFonts w:ascii="Arial" w:cs="Arial" w:eastAsia="Arial" w:hAnsi="Arial"/>
          <w:b/>
          <w:bCs/>
          <w:color w:val="1C1917"/>
          <w:sz w:val="25"/>
          <w:szCs w:val="25"/>
        </w:rPr>
        <w:t xml:space="preserve">Internal Rate of Return and Modified IRR</w:t>
      </w:r>
    </w:p>
    <w:p>
      <w:pPr>
        <w:spacing w:after="120"/>
      </w:pPr>
      <w:r>
        <w:rPr>
          <w:rFonts w:ascii="Arial" w:cs="Arial" w:eastAsia="Arial" w:hAnsi="Arial"/>
          <w:sz w:val="22"/>
          <w:szCs w:val="22"/>
        </w:rPr>
        <w:t xml:space="preserve">IRR is the discount rate that sets NPV exactly to zero. The decision rule is simple: accept if IRR &gt; hurdle rate (WACC). IRR is intuitive and widely reported, but it carries a hidden flaw—it implicitly assumes interim cash flows are reinvested at the IRR itself, which is often unrealistically high.</w:t>
      </w:r>
    </w:p>
    <w:p>
      <w:pPr>
        <w:spacing w:after="120"/>
      </w:pPr>
      <w:r>
        <w:rPr>
          <w:rFonts w:ascii="Arial" w:cs="Arial" w:eastAsia="Arial" w:hAnsi="Arial"/>
          <w:sz w:val="22"/>
          <w:szCs w:val="22"/>
        </w:rPr>
        <w:t xml:space="preserve">Modified IRR (MIRR) corrects this by compounding all positive cash flows forward to the terminal year at WACC, then solving for the single rate that equates the present value of the outlay to that terminal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MIRR = (FV of positive cash flows at WACC / PV of costs)^(1/n) − 1</w:t>
            </w:r>
          </w:p>
        </w:tc>
      </w:tr>
    </w:tbl>
    <w:p>
      <w:pPr>
        <w:spacing w:after="120"/>
      </w:pPr>
      <w:r>
        <w:rPr>
          <w:rFonts w:ascii="Arial" w:cs="Arial" w:eastAsia="Arial" w:hAnsi="Arial"/>
          <w:sz w:val="22"/>
          <w:szCs w:val="22"/>
        </w:rPr>
        <w:t xml:space="preserve">MIRR is always a more conservative and realistic estimate than IRR when IRR exceeds WACC.</w:t>
      </w:r>
    </w:p>
    <w:p>
      <w:pPr>
        <w:pStyle w:val="Heading2"/>
        <w:spacing w:after="80" w:before="220"/>
      </w:pPr>
      <w:r>
        <w:rPr>
          <w:rFonts w:ascii="Arial" w:cs="Arial" w:eastAsia="Arial" w:hAnsi="Arial"/>
          <w:b/>
          <w:bCs/>
          <w:color w:val="1C1917"/>
          <w:sz w:val="25"/>
          <w:szCs w:val="25"/>
        </w:rPr>
        <w:t xml:space="preserve">Payback Period</w:t>
      </w:r>
    </w:p>
    <w:p>
      <w:pPr>
        <w:spacing w:after="120"/>
      </w:pPr>
      <w:r>
        <w:rPr>
          <w:rFonts w:ascii="Arial" w:cs="Arial" w:eastAsia="Arial" w:hAnsi="Arial"/>
          <w:sz w:val="22"/>
          <w:szCs w:val="22"/>
        </w:rPr>
        <w:t xml:space="preserve">Payback period counts the number of years required to recover the initial outlay from undiscounted cash flows. It ignores the time value of money and ignores all cash flows after the payback date. Use it only as a quick liquidity risk screen—if a project must pay back within two years to avoid a cash crisis, payback is a relevant constraint, not a value measure.</w:t>
      </w:r>
    </w:p>
    <w:p>
      <w:pPr>
        <w:pStyle w:val="Heading2"/>
        <w:spacing w:after="80" w:before="220"/>
      </w:pPr>
      <w:r>
        <w:rPr>
          <w:rFonts w:ascii="Arial" w:cs="Arial" w:eastAsia="Arial" w:hAnsi="Arial"/>
          <w:b/>
          <w:bCs/>
          <w:color w:val="1C1917"/>
          <w:sz w:val="25"/>
          <w:szCs w:val="25"/>
        </w:rPr>
        <w:t xml:space="preserve">Resolving Conflicts Between Metrics</w:t>
      </w:r>
    </w:p>
    <w:p>
      <w:pPr>
        <w:spacing w:after="120"/>
      </w:pPr>
      <w:r>
        <w:rPr>
          <w:rFonts w:ascii="Arial" w:cs="Arial" w:eastAsia="Arial" w:hAnsi="Arial"/>
          <w:sz w:val="22"/>
          <w:szCs w:val="22"/>
        </w:rPr>
        <w:t xml:space="preserve">For mutually exclusive projects that differ in scale or cash-flow timing, IRR can rank them incorrectly. A smaller project may show a higher IRR while delivering less absolute value. In every such conflict, NPV is the tiebreaker because it measures wealth creation directly.</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Fully Worked Example</w:t>
      </w:r>
    </w:p>
    <w:p>
      <w:pPr>
        <w:spacing w:after="120"/>
      </w:pPr>
      <w:r>
        <w:rPr>
          <w:rFonts w:ascii="Arial" w:cs="Arial" w:eastAsia="Arial" w:hAnsi="Arial"/>
          <w:sz w:val="22"/>
          <w:szCs w:val="22"/>
        </w:rPr>
        <w:t xml:space="preserve">Setup: A $500,000 machine generates $150,000 in annual after-tax FCF for five years and has a $50,000 salvage value at the end of Year 5. WACC = 10%.</w:t>
      </w:r>
    </w:p>
    <w:p>
      <w:pPr>
        <w:spacing w:after="120"/>
      </w:pPr>
      <w:r>
        <w:rPr>
          <w:rFonts w:ascii="Arial" w:cs="Arial" w:eastAsia="Arial" w:hAnsi="Arial"/>
          <w:sz w:val="22"/>
          <w:szCs w:val="22"/>
        </w:rPr>
        <w:t xml:space="preserve">Step 1 — Lay out cash flows.</w:t>
      </w:r>
    </w:p>
    <w:p>
      <w:pPr>
        <w:spacing w:after="120"/>
      </w:pPr>
      <w:r>
        <w:rPr>
          <w:rFonts w:ascii="Arial" w:cs="Arial" w:eastAsia="Arial" w:hAnsi="Arial"/>
          <w:sz w:val="22"/>
          <w:szCs w:val="22"/>
        </w:rPr>
        <w:t xml:space="preserve">| Year | FCF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0 | −$500,000 |</w:t>
      </w:r>
    </w:p>
    <w:p>
      <w:pPr>
        <w:spacing w:after="120"/>
      </w:pPr>
      <w:r>
        <w:rPr>
          <w:rFonts w:ascii="Arial" w:cs="Arial" w:eastAsia="Arial" w:hAnsi="Arial"/>
          <w:sz w:val="22"/>
          <w:szCs w:val="22"/>
        </w:rPr>
        <w:t xml:space="preserve">| 1–4 | $150,000 each |</w:t>
      </w:r>
    </w:p>
    <w:p>
      <w:pPr>
        <w:spacing w:after="120"/>
      </w:pPr>
      <w:r>
        <w:rPr>
          <w:rFonts w:ascii="Arial" w:cs="Arial" w:eastAsia="Arial" w:hAnsi="Arial"/>
          <w:sz w:val="22"/>
          <w:szCs w:val="22"/>
        </w:rPr>
        <w:t xml:space="preserve">| 5 | $150,000 + $50,000 = $200,000 |</w:t>
      </w:r>
    </w:p>
    <w:p>
      <w:pPr>
        <w:spacing w:after="120"/>
      </w:pPr>
      <w:r>
        <w:rPr>
          <w:rFonts w:ascii="Arial" w:cs="Arial" w:eastAsia="Arial" w:hAnsi="Arial"/>
          <w:sz w:val="22"/>
          <w:szCs w:val="22"/>
        </w:rPr>
        <w:t xml:space="preserve">Step 2 — Compute NPV.</w:t>
      </w:r>
    </w:p>
    <w:p>
      <w:pPr>
        <w:spacing w:after="120"/>
      </w:pPr>
      <w:r>
        <w:rPr>
          <w:rFonts w:ascii="Arial" w:cs="Arial" w:eastAsia="Arial" w:hAnsi="Arial"/>
          <w:sz w:val="22"/>
          <w:szCs w:val="22"/>
        </w:rPr>
        <w:t xml:space="preserve">Discount each cash flow at 10%:</w:t>
      </w:r>
    </w:p>
    <w:p>
      <w:pPr>
        <w:pStyle w:val="ListParagraph"/>
        <w:numPr>
          <w:ilvl w:val="0"/>
          <w:numId w:val="1"/>
        </w:numPr>
        <w:spacing w:after="40"/>
      </w:pPr>
      <w:r>
        <w:rPr>
          <w:rFonts w:ascii="Arial" w:cs="Arial" w:eastAsia="Arial" w:hAnsi="Arial"/>
          <w:sz w:val="22"/>
          <w:szCs w:val="22"/>
        </w:rPr>
        <w:t xml:space="preserve">Year 1: $150,000 / 1.10 = $136,364</w:t>
      </w:r>
    </w:p>
    <w:p>
      <w:pPr>
        <w:pStyle w:val="ListParagraph"/>
        <w:numPr>
          <w:ilvl w:val="0"/>
          <w:numId w:val="1"/>
        </w:numPr>
        <w:spacing w:after="40"/>
      </w:pPr>
      <w:r>
        <w:rPr>
          <w:rFonts w:ascii="Arial" w:cs="Arial" w:eastAsia="Arial" w:hAnsi="Arial"/>
          <w:sz w:val="22"/>
          <w:szCs w:val="22"/>
        </w:rPr>
        <w:t xml:space="preserve">Year 2: $150,000 / 1.21 = $123,967</w:t>
      </w:r>
    </w:p>
    <w:p>
      <w:pPr>
        <w:pStyle w:val="ListParagraph"/>
        <w:numPr>
          <w:ilvl w:val="0"/>
          <w:numId w:val="1"/>
        </w:numPr>
        <w:spacing w:after="40"/>
      </w:pPr>
      <w:r>
        <w:rPr>
          <w:rFonts w:ascii="Arial" w:cs="Arial" w:eastAsia="Arial" w:hAnsi="Arial"/>
          <w:sz w:val="22"/>
          <w:szCs w:val="22"/>
        </w:rPr>
        <w:t xml:space="preserve">Year 3: $150,000 / 1.331 = $112,697</w:t>
      </w:r>
    </w:p>
    <w:p>
      <w:pPr>
        <w:pStyle w:val="ListParagraph"/>
        <w:numPr>
          <w:ilvl w:val="0"/>
          <w:numId w:val="1"/>
        </w:numPr>
        <w:spacing w:after="40"/>
      </w:pPr>
      <w:r>
        <w:rPr>
          <w:rFonts w:ascii="Arial" w:cs="Arial" w:eastAsia="Arial" w:hAnsi="Arial"/>
          <w:sz w:val="22"/>
          <w:szCs w:val="22"/>
        </w:rPr>
        <w:t xml:space="preserve">Year 4: $150,000 / 1.4641 = $102,452</w:t>
      </w:r>
    </w:p>
    <w:p>
      <w:pPr>
        <w:pStyle w:val="ListParagraph"/>
        <w:numPr>
          <w:ilvl w:val="0"/>
          <w:numId w:val="1"/>
        </w:numPr>
        <w:spacing w:after="40"/>
      </w:pPr>
      <w:r>
        <w:rPr>
          <w:rFonts w:ascii="Arial" w:cs="Arial" w:eastAsia="Arial" w:hAnsi="Arial"/>
          <w:sz w:val="22"/>
          <w:szCs w:val="22"/>
        </w:rPr>
        <w:t xml:space="preserve">Year 5: $200,000 / 1.6105 = $124,186</w:t>
      </w:r>
    </w:p>
    <w:p>
      <w:pPr>
        <w:spacing w:after="120"/>
      </w:pPr>
      <w:r>
        <w:rPr>
          <w:rFonts w:ascii="Arial" w:cs="Arial" w:eastAsia="Arial" w:hAnsi="Arial"/>
          <w:sz w:val="22"/>
          <w:szCs w:val="22"/>
        </w:rPr>
        <w:t xml:space="preserve">Sum of PVs = $599,666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$599,666 − $500,000 = +$99,666</w:t>
            </w:r>
          </w:p>
        </w:tc>
      </w:tr>
    </w:tbl>
    <w:p>
      <w:pPr>
        <w:spacing w:after="120"/>
      </w:pPr>
      <w:r>
        <w:rPr>
          <w:rFonts w:ascii="Arial" w:cs="Arial" w:eastAsia="Arial" w:hAnsi="Arial"/>
          <w:sz w:val="22"/>
          <w:szCs w:val="22"/>
        </w:rPr>
        <w:t xml:space="preserve">Step 3 — Compute IRR. By trial and interpolation (or solver), the rate that sets NPV to zero is approximately 19.6%. Since 19.6% &gt; 10% WACC, the IRR rule also says accept.</w:t>
      </w:r>
    </w:p>
    <w:p>
      <w:pPr>
        <w:spacing w:after="120"/>
      </w:pPr>
      <w:r>
        <w:rPr>
          <w:rFonts w:ascii="Arial" w:cs="Arial" w:eastAsia="Arial" w:hAnsi="Arial"/>
          <w:sz w:val="22"/>
          <w:szCs w:val="22"/>
        </w:rPr>
        <w:t xml:space="preserve">Step 4 — Compute MIRR. Compound each positive cash flow to Year 5 at 10%:</w:t>
      </w:r>
    </w:p>
    <w:p>
      <w:pPr>
        <w:pStyle w:val="ListParagraph"/>
        <w:numPr>
          <w:ilvl w:val="0"/>
          <w:numId w:val="1"/>
        </w:numPr>
        <w:spacing w:after="40"/>
      </w:pPr>
      <w:r>
        <w:rPr>
          <w:rFonts w:ascii="Arial" w:cs="Arial" w:eastAsia="Arial" w:hAnsi="Arial"/>
          <w:sz w:val="22"/>
          <w:szCs w:val="22"/>
        </w:rPr>
        <w:t xml:space="preserve">Year 1 FCF: $150,000 × 1.10⁴ = $219,615</w:t>
      </w:r>
    </w:p>
    <w:p>
      <w:pPr>
        <w:pStyle w:val="ListParagraph"/>
        <w:numPr>
          <w:ilvl w:val="0"/>
          <w:numId w:val="1"/>
        </w:numPr>
        <w:spacing w:after="40"/>
      </w:pPr>
      <w:r>
        <w:rPr>
          <w:rFonts w:ascii="Arial" w:cs="Arial" w:eastAsia="Arial" w:hAnsi="Arial"/>
          <w:sz w:val="22"/>
          <w:szCs w:val="22"/>
        </w:rPr>
        <w:t xml:space="preserve">Year 2 FCF: $150,000 × 1.10³ = $199,650</w:t>
      </w:r>
    </w:p>
    <w:p>
      <w:pPr>
        <w:pStyle w:val="ListParagraph"/>
        <w:numPr>
          <w:ilvl w:val="0"/>
          <w:numId w:val="1"/>
        </w:numPr>
        <w:spacing w:after="40"/>
      </w:pPr>
      <w:r>
        <w:rPr>
          <w:rFonts w:ascii="Arial" w:cs="Arial" w:eastAsia="Arial" w:hAnsi="Arial"/>
          <w:sz w:val="22"/>
          <w:szCs w:val="22"/>
        </w:rPr>
        <w:t xml:space="preserve">Year 3 FCF: $150,000 × 1.10² = $181,500</w:t>
      </w:r>
    </w:p>
    <w:p>
      <w:pPr>
        <w:pStyle w:val="ListParagraph"/>
        <w:numPr>
          <w:ilvl w:val="0"/>
          <w:numId w:val="1"/>
        </w:numPr>
        <w:spacing w:after="40"/>
      </w:pPr>
      <w:r>
        <w:rPr>
          <w:rFonts w:ascii="Arial" w:cs="Arial" w:eastAsia="Arial" w:hAnsi="Arial"/>
          <w:sz w:val="22"/>
          <w:szCs w:val="22"/>
        </w:rPr>
        <w:t xml:space="preserve">Year 4 FCF: $150,000 × 1.10¹ = $165,000</w:t>
      </w:r>
    </w:p>
    <w:p>
      <w:pPr>
        <w:pStyle w:val="ListParagraph"/>
        <w:numPr>
          <w:ilvl w:val="0"/>
          <w:numId w:val="1"/>
        </w:numPr>
        <w:spacing w:after="40"/>
      </w:pPr>
      <w:r>
        <w:rPr>
          <w:rFonts w:ascii="Arial" w:cs="Arial" w:eastAsia="Arial" w:hAnsi="Arial"/>
          <w:sz w:val="22"/>
          <w:szCs w:val="22"/>
        </w:rPr>
        <w:t xml:space="preserve">Year 5 FCF: $200,000 × 1.10⁰ = $200,000</w:t>
      </w:r>
    </w:p>
    <w:p>
      <w:pPr>
        <w:spacing w:after="120"/>
      </w:pPr>
      <w:r>
        <w:rPr>
          <w:rFonts w:ascii="Arial" w:cs="Arial" w:eastAsia="Arial" w:hAnsi="Arial"/>
          <w:sz w:val="22"/>
          <w:szCs w:val="22"/>
        </w:rPr>
        <w:t xml:space="preserve">Terminal value = $965,765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MIRR = ($965,765 / $500,000)^(1/5) − 1 = 1.9315^0.20 − 1 ≈ 14.1%</w:t>
            </w:r>
          </w:p>
        </w:tc>
      </w:tr>
    </w:tbl>
    <w:p>
      <w:pPr>
        <w:spacing w:after="120"/>
      </w:pPr>
      <w:r>
        <w:rPr>
          <w:rFonts w:ascii="Arial" w:cs="Arial" w:eastAsia="Arial" w:hAnsi="Arial"/>
          <w:sz w:val="22"/>
          <w:szCs w:val="22"/>
        </w:rPr>
        <w:t xml:space="preserve">MIRR of 14.1% &gt; 10% WACC — accept.</w:t>
      </w:r>
    </w:p>
    <w:p>
      <w:pPr>
        <w:spacing w:after="120"/>
      </w:pPr>
      <w:r>
        <w:rPr>
          <w:rFonts w:ascii="Arial" w:cs="Arial" w:eastAsia="Arial" w:hAnsi="Arial"/>
          <w:sz w:val="22"/>
          <w:szCs w:val="22"/>
        </w:rPr>
        <w:t xml:space="preserve">Step 5 — Compute Payback Period.</w:t>
      </w:r>
    </w:p>
    <w:p>
      <w:pPr>
        <w:pStyle w:val="ListParagraph"/>
        <w:numPr>
          <w:ilvl w:val="0"/>
          <w:numId w:val="1"/>
        </w:numPr>
        <w:spacing w:after="40"/>
      </w:pPr>
      <w:r>
        <w:rPr>
          <w:rFonts w:ascii="Arial" w:cs="Arial" w:eastAsia="Arial" w:hAnsi="Arial"/>
          <w:sz w:val="22"/>
          <w:szCs w:val="22"/>
        </w:rPr>
        <w:t xml:space="preserve">After Year 1: $150,000 recovered; cumulative = $150,000</w:t>
      </w:r>
    </w:p>
    <w:p>
      <w:pPr>
        <w:pStyle w:val="ListParagraph"/>
        <w:numPr>
          <w:ilvl w:val="0"/>
          <w:numId w:val="1"/>
        </w:numPr>
        <w:spacing w:after="40"/>
      </w:pPr>
      <w:r>
        <w:rPr>
          <w:rFonts w:ascii="Arial" w:cs="Arial" w:eastAsia="Arial" w:hAnsi="Arial"/>
          <w:sz w:val="22"/>
          <w:szCs w:val="22"/>
        </w:rPr>
        <w:t xml:space="preserve">After Year 2: cumulative = $300,000</w:t>
      </w:r>
    </w:p>
    <w:p>
      <w:pPr>
        <w:pStyle w:val="ListParagraph"/>
        <w:numPr>
          <w:ilvl w:val="0"/>
          <w:numId w:val="1"/>
        </w:numPr>
        <w:spacing w:after="40"/>
      </w:pPr>
      <w:r>
        <w:rPr>
          <w:rFonts w:ascii="Arial" w:cs="Arial" w:eastAsia="Arial" w:hAnsi="Arial"/>
          <w:sz w:val="22"/>
          <w:szCs w:val="22"/>
        </w:rPr>
        <w:t xml:space="preserve">After Year 3: cumulative = $450,000</w:t>
      </w:r>
    </w:p>
    <w:p>
      <w:pPr>
        <w:pStyle w:val="ListParagraph"/>
        <w:numPr>
          <w:ilvl w:val="0"/>
          <w:numId w:val="1"/>
        </w:numPr>
        <w:spacing w:after="40"/>
      </w:pPr>
      <w:r>
        <w:rPr>
          <w:rFonts w:ascii="Arial" w:cs="Arial" w:eastAsia="Arial" w:hAnsi="Arial"/>
          <w:sz w:val="22"/>
          <w:szCs w:val="22"/>
        </w:rPr>
        <w:t xml:space="preserve">Into Year 4: need $50,000 more; $50,000 / $150,000 = 0.33 years</w:t>
      </w:r>
    </w:p>
    <w:p>
      <w:pPr>
        <w:spacing w:after="120"/>
      </w:pPr>
      <w:r>
        <w:rPr>
          <w:rFonts w:ascii="Arial" w:cs="Arial" w:eastAsia="Arial" w:hAnsi="Arial"/>
          <w:sz w:val="22"/>
          <w:szCs w:val="22"/>
        </w:rPr>
        <w:t xml:space="preserve">Payback ≈ 3.3 years</w:t>
      </w:r>
    </w:p>
    <w:p>
      <w:pPr>
        <w:spacing w:after="120"/>
      </w:pPr>
      <w:r>
        <w:rPr>
          <w:rFonts w:ascii="Arial" w:cs="Arial" w:eastAsia="Arial" w:hAnsi="Arial"/>
          <w:sz w:val="22"/>
          <w:szCs w:val="22"/>
        </w:rPr>
        <w:t xml:space="preserve">Recommendation: All three metrics align—positive NPV of ~$99,666, IRR and MIRR both above WACC, and a payback under four years. Accept the investment.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sometimes include sunk costs (e.g., a prior feasibility study fee) in the Year 0 outlay. Sunk costs are irreversible and must be excluded; including them artificially depresses NPV and can cause rejection of a value-creating project.</w:t>
            </w:r>
          </w:p>
        </w:tc>
      </w:tr>
    </w:tbl>
    <w:p>
      <w:pPr>
        <w:pStyle w:val="Heading1"/>
        <w:spacing w:after="120" w:before="340"/>
      </w:pPr>
      <w:r>
        <w:rPr>
          <w:rFonts w:ascii="Arial" w:cs="Arial" w:eastAsia="Arial" w:hAnsi="Arial"/>
          <w:b/>
          <w:bCs/>
          <w:color w:val="B45309"/>
          <w:sz w:val="32"/>
          <w:szCs w:val="32"/>
        </w:rPr>
        <w:t xml:space="preserve">Financing Mix Optimization and Its Impact on Returns</w:t>
      </w:r>
    </w:p>
    <w:p>
      <w:pPr>
        <w:spacing w:after="120"/>
      </w:pPr>
      <w:r>
        <w:rPr>
          <w:rFonts w:ascii="Arial" w:cs="Arial" w:eastAsia="Arial" w:hAnsi="Arial"/>
          <w:sz w:val="22"/>
          <w:szCs w:val="22"/>
        </w:rPr>
        <w:t xml:space="preserve">Optimizing the financing mix in an acquisition is one of the most consequential decisions a financial modeler makes. Choose too little debt and you leave tax shield value on the table; choose too much and rising financial distress costs—legal fees, management distraction, supplier credit tightening—erode firm value faster than the shield creates it. The goal is to find the capital structure where the marginal benefit of an additional dollar of debt exactly equals its marginal cost.</w:t>
      </w:r>
    </w:p>
    <w:p>
      <w:pPr>
        <w:pStyle w:val="Heading2"/>
        <w:spacing w:after="80" w:before="220"/>
      </w:pPr>
      <w:r>
        <w:rPr>
          <w:rFonts w:ascii="Arial" w:cs="Arial" w:eastAsia="Arial" w:hAnsi="Arial"/>
          <w:b/>
          <w:bCs/>
          <w:color w:val="1C1917"/>
          <w:sz w:val="25"/>
          <w:szCs w:val="25"/>
        </w:rPr>
        <w:t xml:space="preserve">The Mechanics of Leverage on Value and Returns</w:t>
      </w:r>
    </w:p>
    <w:p>
      <w:pPr>
        <w:spacing w:after="120"/>
      </w:pPr>
      <w:r>
        <w:rPr>
          <w:rFonts w:ascii="Arial" w:cs="Arial" w:eastAsia="Arial" w:hAnsi="Arial"/>
          <w:sz w:val="22"/>
          <w:szCs w:val="22"/>
        </w:rPr>
        <w:t xml:space="preserve">Under Modigliani-Miller with corporate taxes, every dollar of debt generates a permanent interest tax shield: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Interest Tax Shield = Debt × Interest Rate × Tax Rate</w:t>
            </w:r>
          </w:p>
        </w:tc>
      </w:tr>
    </w:tbl>
    <w:p>
      <w:pPr>
        <w:spacing w:after="120"/>
      </w:pPr>
      <w:r>
        <w:rPr>
          <w:rFonts w:ascii="Arial" w:cs="Arial" w:eastAsia="Arial" w:hAnsi="Arial"/>
          <w:sz w:val="22"/>
          <w:szCs w:val="22"/>
        </w:rPr>
        <w:t xml:space="preserve">This shield increases firm value directly. A $100M loan at 6% with a 25% tax rate produces $1.5M of annual tax savings, with a present value that, when capitalized, meaningfully lifts enterprise value. However, this benefit is not linear forever. Beyond a threshold, lenders demand higher spreads, covenants tighten, and the probability of costly financial distress rises—eventually overwhelming the shield.</w:t>
      </w:r>
    </w:p>
    <w:p>
      <w:pPr>
        <w:spacing w:after="120"/>
      </w:pPr>
      <w:r>
        <w:rPr>
          <w:rFonts w:ascii="Arial" w:cs="Arial" w:eastAsia="Arial" w:hAnsi="Arial"/>
          <w:sz w:val="22"/>
          <w:szCs w:val="22"/>
        </w:rPr>
        <w:t xml:space="preserve">Leverage also amplifies equity returns. Because debt holders have a fixed claim, any upside in operating performance flows disproportionately to equity holders. This is financial leverage amplification: the same EBITDA growth produces a higher equity IRR when the equity base is smaller. The flip side is symmetric—downside scenarios destroy equity value faster, and default probability climbs with each turn of additional leverage.</w:t>
      </w:r>
    </w:p>
    <w:p>
      <w:pPr>
        <w:pStyle w:val="Heading2"/>
        <w:spacing w:after="80" w:before="220"/>
      </w:pPr>
      <w:r>
        <w:rPr>
          <w:rFonts w:ascii="Arial" w:cs="Arial" w:eastAsia="Arial" w:hAnsi="Arial"/>
          <w:b/>
          <w:bCs/>
          <w:color w:val="1C1917"/>
          <w:sz w:val="25"/>
          <w:szCs w:val="25"/>
        </w:rPr>
        <w:t xml:space="preserve">WACC and Its Relationship to Capital Structure</w:t>
      </w:r>
    </w:p>
    <w:p>
      <w:pPr>
        <w:spacing w:after="120"/>
      </w:pPr>
      <w:r>
        <w:rPr>
          <w:rFonts w:ascii="Arial" w:cs="Arial" w:eastAsia="Arial" w:hAnsi="Arial"/>
          <w:sz w:val="22"/>
          <w:szCs w:val="22"/>
        </w:rPr>
        <w:t xml:space="preserve">The weighted average cost of capital ties these dynamics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WACC = [E/(D+E)] × Ke + [D/(D+E)] × Kd × (1 − Tax Rate)</w:t>
            </w:r>
          </w:p>
        </w:tc>
      </w:tr>
    </w:tbl>
    <w:p>
      <w:pPr>
        <w:spacing w:after="120"/>
      </w:pPr>
      <w:r>
        <w:rPr>
          <w:rFonts w:ascii="Arial" w:cs="Arial" w:eastAsia="Arial" w:hAnsi="Arial"/>
          <w:sz w:val="22"/>
          <w:szCs w:val="22"/>
        </w:rPr>
        <w:t xml:space="preserve">As debt replaces equity (which is typically more expensive), WACC falls—but only while the after-tax cost of debt remains below the blended rate. Once leverage triggers credit-spread widening or forces equity investors to demand a higher risk premium, WACC bottoms out and begins rising again. The optimal capital structure sits at that trough.</w:t>
      </w:r>
    </w:p>
    <w:p>
      <w:pPr>
        <w:pStyle w:val="Heading2"/>
        <w:spacing w:after="80" w:before="220"/>
      </w:pPr>
      <w:r>
        <w:rPr>
          <w:rFonts w:ascii="Arial" w:cs="Arial" w:eastAsia="Arial" w:hAnsi="Arial"/>
          <w:b/>
          <w:bCs/>
          <w:color w:val="1C1917"/>
          <w:sz w:val="25"/>
          <w:szCs w:val="25"/>
        </w:rPr>
        <w:t xml:space="preserve">Debt Capacity Constraints</w:t>
      </w:r>
    </w:p>
    <w:p>
      <w:pPr>
        <w:spacing w:after="120"/>
      </w:pPr>
      <w:r>
        <w:rPr>
          <w:rFonts w:ascii="Arial" w:cs="Arial" w:eastAsia="Arial" w:hAnsi="Arial"/>
          <w:sz w:val="22"/>
          <w:szCs w:val="22"/>
        </w:rPr>
        <w:t xml:space="preserve">Lenders and rating agencies impose practical guardrails. Two ratios dominate:</w:t>
      </w:r>
    </w:p>
    <w:p>
      <w:pPr>
        <w:pStyle w:val="ListParagraph"/>
        <w:numPr>
          <w:ilvl w:val="0"/>
          <w:numId w:val="1"/>
        </w:numPr>
        <w:spacing w:after="40"/>
      </w:pPr>
      <w:r>
        <w:rPr>
          <w:rFonts w:ascii="Arial" w:cs="Arial" w:eastAsia="Arial" w:hAnsi="Arial"/>
          <w:sz w:val="22"/>
          <w:szCs w:val="22"/>
        </w:rPr>
        <w:t xml:space="preserve">Interest Coverage Ratio: EBITDA / Interest Expense ≥ 2× (minimum; 3× is more comfortable)</w:t>
      </w:r>
    </w:p>
    <w:p>
      <w:pPr>
        <w:pStyle w:val="ListParagraph"/>
        <w:numPr>
          <w:ilvl w:val="0"/>
          <w:numId w:val="1"/>
        </w:numPr>
        <w:spacing w:after="40"/>
      </w:pPr>
      <w:r>
        <w:rPr>
          <w:rFonts w:ascii="Arial" w:cs="Arial" w:eastAsia="Arial" w:hAnsi="Arial"/>
          <w:sz w:val="22"/>
          <w:szCs w:val="22"/>
        </w:rPr>
        <w:t xml:space="preserve">Leverage Ratio: Net Debt / EBITDA ≤ 4–5× for investment-grade credits, lower for cyclical industries</w:t>
      </w:r>
    </w:p>
    <w:p>
      <w:pPr>
        <w:spacing w:after="120"/>
      </w:pPr>
      <w:r>
        <w:rPr>
          <w:rFonts w:ascii="Arial" w:cs="Arial" w:eastAsia="Arial" w:hAnsi="Arial"/>
          <w:sz w:val="22"/>
          <w:szCs w:val="22"/>
        </w:rPr>
        <w:t xml:space="preserve">These constraints define the feasible set before any return optimization begins.</w:t>
      </w:r>
    </w:p>
    <w:p>
      <w:pPr>
        <w:pStyle w:val="Heading2"/>
        <w:spacing w:after="80" w:before="220"/>
      </w:pPr>
      <w:r>
        <w:rPr>
          <w:rFonts w:ascii="Arial" w:cs="Arial" w:eastAsia="Arial" w:hAnsi="Arial"/>
          <w:b/>
          <w:bCs/>
          <w:color w:val="1C1917"/>
          <w:sz w:val="25"/>
          <w:szCs w:val="25"/>
        </w:rPr>
        <w:t xml:space="preserve">Worked Example: $200M Acquisition Under Three Capital Structures</w:t>
      </w:r>
    </w:p>
    <w:p>
      <w:pPr>
        <w:spacing w:after="120"/>
      </w:pPr>
      <w:r>
        <w:rPr>
          <w:rFonts w:ascii="Arial" w:cs="Arial" w:eastAsia="Arial" w:hAnsi="Arial"/>
          <w:sz w:val="22"/>
          <w:szCs w:val="22"/>
        </w:rPr>
        <w:t xml:space="preserve">Assumptions: Purchase price $200M; EBITDA Year 1 = $30M, growing 5% annually; D&amp;A = $8M; tax rate = 25%; cost of equity (Ke) = 12%; debt interest rate = 6%; exit at 7× EBITDA after 5 years; shares outstanding = equity invested ÷ $10 per share.</w:t>
      </w:r>
    </w:p>
    <w:p>
      <w:pPr>
        <w:spacing w:after="120"/>
      </w:pPr>
      <w:r>
        <w:rPr>
          <w:rFonts w:ascii="Arial" w:cs="Arial" w:eastAsia="Arial" w:hAnsi="Arial"/>
          <w:sz w:val="22"/>
          <w:szCs w:val="22"/>
        </w:rPr>
        <w:t xml:space="preserve">Scenario A — All-Equity (0% Debt): Equity = $200M, Debt = $0.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WACC = 1.0 × 12% + 0 = 12.0%</w:t>
            </w:r>
          </w:p>
        </w:tc>
      </w:tr>
    </w:tbl>
    <w:p>
      <w:pPr>
        <w:spacing w:after="120"/>
      </w:pPr>
      <w:r>
        <w:rPr>
          <w:rFonts w:ascii="Arial" w:cs="Arial" w:eastAsia="Arial" w:hAnsi="Arial"/>
          <w:sz w:val="22"/>
          <w:szCs w:val="22"/>
        </w:rPr>
        <w:t xml:space="preserve">EBIT Year 1 = $30M − $8M = $22M; Interest = $0; EBT = $22M; Tax = $5.5M; Net Income = $16.5M; Shares = 20M; EPS = $0.83.</w:t>
      </w:r>
    </w:p>
    <w:p>
      <w:pPr>
        <w:spacing w:after="120"/>
      </w:pPr>
      <w:r>
        <w:rPr>
          <w:rFonts w:ascii="Arial" w:cs="Arial" w:eastAsia="Arial" w:hAnsi="Arial"/>
          <w:sz w:val="22"/>
          <w:szCs w:val="22"/>
        </w:rPr>
        <w:t xml:space="preserve">Exit value = $30M × (1.05)^5 × 7 = $38.29M × 7 = $268M. Equity IRR on $200M invested over 5 years to $268M ≈ 6.0%.</w:t>
      </w:r>
    </w:p>
    <w:p>
      <w:pPr>
        <w:spacing w:after="120"/>
      </w:pPr>
      <w:r>
        <w:rPr>
          <w:rFonts w:ascii="Arial" w:cs="Arial" w:eastAsia="Arial" w:hAnsi="Arial"/>
          <w:sz w:val="22"/>
          <w:szCs w:val="22"/>
        </w:rPr>
        <w:t xml:space="preserve">Scenario B — Moderate Debt (40% Debt): Debt = $80M, Equity = $120M.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WACC = (120/200) × 12% + (80/200) × 6% × (1 − 0.25) = 7.2% + 2.25% = 9.45%</w:t>
            </w:r>
          </w:p>
        </w:tc>
      </w:tr>
    </w:tbl>
    <w:p>
      <w:pPr>
        <w:spacing w:after="120"/>
      </w:pPr>
      <w:r>
        <w:rPr>
          <w:rFonts w:ascii="Arial" w:cs="Arial" w:eastAsia="Arial" w:hAnsi="Arial"/>
          <w:sz w:val="22"/>
          <w:szCs w:val="22"/>
        </w:rPr>
        <w:t xml:space="preserve">Interest = $80M × 6% = $4.8M. EBIT = $22M; EBT = $17.2M; Tax = $4.3M; Net Income = $12.9M; Shares = 12M; EPS = $1.08.</w:t>
      </w:r>
    </w:p>
    <w:p>
      <w:pPr>
        <w:spacing w:after="120"/>
      </w:pPr>
      <w:r>
        <w:rPr>
          <w:rFonts w:ascii="Arial" w:cs="Arial" w:eastAsia="Arial" w:hAnsi="Arial"/>
          <w:sz w:val="22"/>
          <w:szCs w:val="22"/>
        </w:rPr>
        <w:t xml:space="preserve">Coverage ratio = $30M / $4.8M = 6.25× ✓. Equity IRR: equity grows from $120M to $268M − $80M debt repaid = $188M over 5 years ≈ 9.4%.</w:t>
      </w:r>
    </w:p>
    <w:p>
      <w:pPr>
        <w:spacing w:after="120"/>
      </w:pPr>
      <w:r>
        <w:rPr>
          <w:rFonts w:ascii="Arial" w:cs="Arial" w:eastAsia="Arial" w:hAnsi="Arial"/>
          <w:sz w:val="22"/>
          <w:szCs w:val="22"/>
        </w:rPr>
        <w:t xml:space="preserve">Scenario C — High Debt (60% Debt): Debt = $120M, Equity = $80M.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WACC = (80/200) × 12% + (120/200) × 6% × 0.75 = 4.8% + 2.7% = 7.5%</w:t>
            </w:r>
          </w:p>
        </w:tc>
      </w:tr>
    </w:tbl>
    <w:p>
      <w:pPr>
        <w:spacing w:after="120"/>
      </w:pPr>
      <w:r>
        <w:rPr>
          <w:rFonts w:ascii="Arial" w:cs="Arial" w:eastAsia="Arial" w:hAnsi="Arial"/>
          <w:sz w:val="22"/>
          <w:szCs w:val="22"/>
        </w:rPr>
        <w:t xml:space="preserve">Interest = $120M × 6% = $7.2M. EBIT = $22M; EBT = $14.8M; Tax = $3.7M; Net Income = $11.1M; Shares = 8M; EPS = $1.39.</w:t>
      </w:r>
    </w:p>
    <w:p>
      <w:pPr>
        <w:spacing w:after="120"/>
      </w:pPr>
      <w:r>
        <w:rPr>
          <w:rFonts w:ascii="Arial" w:cs="Arial" w:eastAsia="Arial" w:hAnsi="Arial"/>
          <w:sz w:val="22"/>
          <w:szCs w:val="22"/>
        </w:rPr>
        <w:t xml:space="preserve">Coverage ratio = $30M / $7.2M = 4.17× ✓ (passes 2× minimum, but stress-test required). Equity IRR: $80M to $268M − $120M = $148M ≈ 13.1%.</w:t>
      </w:r>
    </w:p>
    <w:p>
      <w:pPr>
        <w:pStyle w:val="Heading2"/>
        <w:spacing w:after="80" w:before="220"/>
      </w:pPr>
      <w:r>
        <w:rPr>
          <w:rFonts w:ascii="Arial" w:cs="Arial" w:eastAsia="Arial" w:hAnsi="Arial"/>
          <w:b/>
          <w:bCs/>
          <w:color w:val="1C1917"/>
          <w:sz w:val="25"/>
          <w:szCs w:val="25"/>
        </w:rPr>
        <w:t xml:space="preserve">Stress-Testing and Scenario Selection</w:t>
      </w:r>
    </w:p>
    <w:p>
      <w:pPr>
        <w:spacing w:after="120"/>
      </w:pPr>
      <w:r>
        <w:rPr>
          <w:rFonts w:ascii="Arial" w:cs="Arial" w:eastAsia="Arial" w:hAnsi="Arial"/>
          <w:sz w:val="22"/>
          <w:szCs w:val="22"/>
        </w:rPr>
        <w:t xml:space="preserve">A 20% revenue downside reduces EBITDA to roughly $24M in Year 1. Under Scenario C, coverage falls to $24M / $7.2M = 3.3×—still above 2×, but a further 10% shock breaches covenants. Refinancing risk in a rising-rate environment could push the interest rate to 8%, compressing coverage to 2.5× and threatening technical default.</w:t>
      </w:r>
    </w:p>
    <w:p>
      <w:pPr>
        <w:spacing w:after="120"/>
      </w:pPr>
      <w:r>
        <w:rPr>
          <w:rFonts w:ascii="Arial" w:cs="Arial" w:eastAsia="Arial" w:hAnsi="Arial"/>
          <w:sz w:val="22"/>
          <w:szCs w:val="22"/>
        </w:rPr>
        <w:t xml:space="preserve">Optimal choice: Scenario B. It delivers a meaningfully higher equity IRR than all-equity (9.4% vs. 6.0%), maintains comfortable coverage headroom, and survives the downside stress test without covenant breach—unlike Scenario C, which offers higher returns but unacceptable tail risk.</w:t>
      </w:r>
    </w:p>
    <w:p>
      <w:pPr>
        <w:pStyle w:val="Heading2"/>
        <w:spacing w:after="80" w:before="220"/>
      </w:pPr>
      <w:r>
        <w:rPr>
          <w:rFonts w:ascii="Arial" w:cs="Arial" w:eastAsia="Arial" w:hAnsi="Arial"/>
          <w:b/>
          <w:bCs/>
          <w:color w:val="1C1917"/>
          <w:sz w:val="25"/>
          <w:szCs w:val="25"/>
        </w:rPr>
        <w:t xml:space="preserve">Step-by-Step Procedure</w:t>
      </w:r>
    </w:p>
    <w:p>
      <w:pPr>
        <w:pStyle w:val="ListParagraph"/>
        <w:numPr>
          <w:ilvl w:val="0"/>
          <w:numId w:val="1"/>
        </w:numPr>
        <w:spacing w:after="40"/>
      </w:pPr>
      <w:r>
        <w:rPr>
          <w:rFonts w:ascii="Arial" w:cs="Arial" w:eastAsia="Arial" w:hAnsi="Arial"/>
          <w:sz w:val="22"/>
          <w:szCs w:val="22"/>
        </w:rPr>
        <w:t xml:space="preserve">Define the acquisition price and build base-case EBITDA projections.</w:t>
      </w:r>
    </w:p>
    <w:p>
      <w:pPr>
        <w:pStyle w:val="ListParagraph"/>
        <w:numPr>
          <w:ilvl w:val="0"/>
          <w:numId w:val="1"/>
        </w:numPr>
        <w:spacing w:after="40"/>
      </w:pPr>
      <w:r>
        <w:rPr>
          <w:rFonts w:ascii="Arial" w:cs="Arial" w:eastAsia="Arial" w:hAnsi="Arial"/>
          <w:sz w:val="22"/>
          <w:szCs w:val="22"/>
        </w:rPr>
        <w:t xml:space="preserve">Construct three financing scenarios spanning 0%, moderate, and high debt.</w:t>
      </w:r>
    </w:p>
    <w:p>
      <w:pPr>
        <w:pStyle w:val="ListParagraph"/>
        <w:numPr>
          <w:ilvl w:val="0"/>
          <w:numId w:val="1"/>
        </w:numPr>
        <w:spacing w:after="40"/>
      </w:pPr>
      <w:r>
        <w:rPr>
          <w:rFonts w:ascii="Arial" w:cs="Arial" w:eastAsia="Arial" w:hAnsi="Arial"/>
          <w:sz w:val="22"/>
          <w:szCs w:val="22"/>
        </w:rPr>
        <w:t xml:space="preserve">Compute WACC for each using the formula above.</w:t>
      </w:r>
    </w:p>
    <w:p>
      <w:pPr>
        <w:pStyle w:val="ListParagraph"/>
        <w:numPr>
          <w:ilvl w:val="0"/>
          <w:numId w:val="1"/>
        </w:numPr>
        <w:spacing w:after="40"/>
      </w:pPr>
      <w:r>
        <w:rPr>
          <w:rFonts w:ascii="Arial" w:cs="Arial" w:eastAsia="Arial" w:hAnsi="Arial"/>
          <w:sz w:val="22"/>
          <w:szCs w:val="22"/>
        </w:rPr>
        <w:t xml:space="preserve">Calculate pro-forma interest expense, EBT, net income, and EPS.</w:t>
      </w:r>
    </w:p>
    <w:p>
      <w:pPr>
        <w:pStyle w:val="ListParagraph"/>
        <w:numPr>
          <w:ilvl w:val="0"/>
          <w:numId w:val="1"/>
        </w:numPr>
        <w:spacing w:after="40"/>
      </w:pPr>
      <w:r>
        <w:rPr>
          <w:rFonts w:ascii="Arial" w:cs="Arial" w:eastAsia="Arial" w:hAnsi="Arial"/>
          <w:sz w:val="22"/>
          <w:szCs w:val="22"/>
        </w:rPr>
        <w:t xml:space="preserve">Verify interest coverage (≥ 2×) and leverage ratio constraints.</w:t>
      </w:r>
    </w:p>
    <w:p>
      <w:pPr>
        <w:pStyle w:val="ListParagraph"/>
        <w:numPr>
          <w:ilvl w:val="0"/>
          <w:numId w:val="1"/>
        </w:numPr>
        <w:spacing w:after="40"/>
      </w:pPr>
      <w:r>
        <w:rPr>
          <w:rFonts w:ascii="Arial" w:cs="Arial" w:eastAsia="Arial" w:hAnsi="Arial"/>
          <w:sz w:val="22"/>
          <w:szCs w:val="22"/>
        </w:rPr>
        <w:t xml:space="preserve">Compute equity IRR using equity invested and residual equity at exit.</w:t>
      </w:r>
    </w:p>
    <w:p>
      <w:pPr>
        <w:pStyle w:val="ListParagraph"/>
        <w:numPr>
          <w:ilvl w:val="0"/>
          <w:numId w:val="1"/>
        </w:numPr>
        <w:spacing w:after="40"/>
      </w:pPr>
      <w:r>
        <w:rPr>
          <w:rFonts w:ascii="Arial" w:cs="Arial" w:eastAsia="Arial" w:hAnsi="Arial"/>
          <w:sz w:val="22"/>
          <w:szCs w:val="22"/>
        </w:rPr>
        <w:t xml:space="preserve">Apply a downside revenue scenario (−15% to −20%) and recheck coverage ratios.</w:t>
      </w:r>
    </w:p>
    <w:p>
      <w:pPr>
        <w:pStyle w:val="ListParagraph"/>
        <w:numPr>
          <w:ilvl w:val="0"/>
          <w:numId w:val="1"/>
        </w:numPr>
        <w:spacing w:after="40"/>
      </w:pPr>
      <w:r>
        <w:rPr>
          <w:rFonts w:ascii="Arial" w:cs="Arial" w:eastAsia="Arial" w:hAnsi="Arial"/>
          <w:sz w:val="22"/>
          <w:szCs w:val="22"/>
        </w:rPr>
        <w:t xml:space="preserve">Select the structure with the best risk-adjusted IRR that passes all stress tests.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Modelers often hold Ke constant across leverage scenarios. In reality, as debt increases, equity holders bear more risk and demand a higher return—understating WACC at high leverage and making aggressive structures appear more attractive than they truly are. Always re-estimate Ke using the Hamada equation or a re-levered beta when shifting capital structure.</w:t>
            </w:r>
          </w:p>
        </w:tc>
      </w:tr>
    </w:tbl>
    <w:p>
      <w:pPr>
        <w:pStyle w:val="Heading1"/>
        <w:spacing w:after="120" w:before="340"/>
      </w:pPr>
      <w:r>
        <w:rPr>
          <w:rFonts w:ascii="Arial" w:cs="Arial" w:eastAsia="Arial" w:hAnsi="Arial"/>
          <w:b/>
          <w:bCs/>
          <w:color w:val="B45309"/>
          <w:sz w:val="32"/>
          <w:szCs w:val="32"/>
        </w:rPr>
        <w:t xml:space="preserve">Model Governance, Audit Trails, and Assumption Documentation in M&amp;A Models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Cost synergies are more predictable; revenue synergies require aggressive haircuts</w:t>
      </w:r>
    </w:p>
    <w:p>
      <w:pPr>
        <w:spacing w:after="120"/>
      </w:pPr>
      <w:r>
        <w:rPr>
          <w:rFonts w:ascii="Arial" w:cs="Arial" w:eastAsia="Arial" w:hAnsi="Arial"/>
          <w:sz w:val="22"/>
          <w:szCs w:val="22"/>
        </w:rPr>
        <w:t xml:space="preserve">Model governance transforms a spreadsheet from a private calculation tool into a defensible, auditable artifact that can withstand scrutiny from deal counterparties, senior management, or an exam grader. The discipline rests on three pillars: structural transparency, rigorous assumption documentation, and systematic error detection.</w:t>
      </w:r>
    </w:p>
    <w:p>
      <w:pPr>
        <w:pStyle w:val="Heading2"/>
        <w:spacing w:after="80" w:before="220"/>
      </w:pPr>
      <w:r>
        <w:rPr>
          <w:rFonts w:ascii="Arial" w:cs="Arial" w:eastAsia="Arial" w:hAnsi="Arial"/>
          <w:b/>
          <w:bCs/>
          <w:color w:val="1C1917"/>
          <w:sz w:val="25"/>
          <w:szCs w:val="25"/>
        </w:rPr>
        <w:t xml:space="preserve">Separating Inputs, Calculations, and Outputs</w:t>
      </w:r>
    </w:p>
    <w:p>
      <w:pPr>
        <w:spacing w:after="120"/>
      </w:pPr>
      <w:r>
        <w:rPr>
          <w:rFonts w:ascii="Arial" w:cs="Arial" w:eastAsia="Arial" w:hAnsi="Arial"/>
          <w:sz w:val="22"/>
          <w:szCs w:val="22"/>
        </w:rPr>
        <w:t xml:space="preserve">A well-governed M&amp;A model uses at least three distinct sheets. The Inputs sheet holds every hardcoded assumption—revenue growth rates, synergy percentages, exit multiples, tax rates—in one visible location. The Calculations sheet contains all formulas that reference the Inputs sheet; no raw numbers appear here. The Outputs sheet (or Summary sheet) pulls final metrics—IRR, MOIC, accretion/dilution—from the Calculations sheet. This architecture means a stress test requires changing one cell on the Inputs sheet, and every downstream result updates automatically. It also means an auditor can verify assumptions without reverse-engineering buried constants.</w:t>
      </w:r>
    </w:p>
    <w:p>
      <w:pPr>
        <w:pStyle w:val="Heading2"/>
        <w:spacing w:after="80" w:before="220"/>
      </w:pPr>
      <w:r>
        <w:rPr>
          <w:rFonts w:ascii="Arial" w:cs="Arial" w:eastAsia="Arial" w:hAnsi="Arial"/>
          <w:b/>
          <w:bCs/>
          <w:color w:val="1C1917"/>
          <w:sz w:val="25"/>
          <w:szCs w:val="25"/>
        </w:rPr>
        <w:t xml:space="preserve">Color-Coding as a Universal Audit Standard</w:t>
      </w:r>
    </w:p>
    <w:p>
      <w:pPr>
        <w:spacing w:after="120"/>
      </w:pPr>
      <w:r>
        <w:rPr>
          <w:rFonts w:ascii="Arial" w:cs="Arial" w:eastAsia="Arial" w:hAnsi="Arial"/>
          <w:sz w:val="22"/>
          <w:szCs w:val="22"/>
        </w:rPr>
        <w:t xml:space="preserve">The industry-standard color convention is straightforward and should be applied consistently:</w:t>
      </w:r>
    </w:p>
    <w:p>
      <w:pPr>
        <w:pStyle w:val="ListParagraph"/>
        <w:numPr>
          <w:ilvl w:val="0"/>
          <w:numId w:val="1"/>
        </w:numPr>
        <w:spacing w:after="40"/>
      </w:pPr>
      <w:r>
        <w:rPr>
          <w:rFonts w:ascii="Arial" w:cs="Arial" w:eastAsia="Arial" w:hAnsi="Arial"/>
          <w:sz w:val="22"/>
          <w:szCs w:val="22"/>
        </w:rPr>
        <w:t xml:space="preserve">Blue font — hardcoded inputs (numbers typed directly into a cell)</w:t>
      </w:r>
    </w:p>
    <w:p>
      <w:pPr>
        <w:pStyle w:val="ListParagraph"/>
        <w:numPr>
          <w:ilvl w:val="0"/>
          <w:numId w:val="1"/>
        </w:numPr>
        <w:spacing w:after="40"/>
      </w:pPr>
      <w:r>
        <w:rPr>
          <w:rFonts w:ascii="Arial" w:cs="Arial" w:eastAsia="Arial" w:hAnsi="Arial"/>
          <w:sz w:val="22"/>
          <w:szCs w:val="22"/>
        </w:rPr>
        <w:t xml:space="preserve">Black font — formulas that calculate within the same sheet</w:t>
      </w:r>
    </w:p>
    <w:p>
      <w:pPr>
        <w:pStyle w:val="ListParagraph"/>
        <w:numPr>
          <w:ilvl w:val="0"/>
          <w:numId w:val="1"/>
        </w:numPr>
        <w:spacing w:after="40"/>
      </w:pPr>
      <w:r>
        <w:rPr>
          <w:rFonts w:ascii="Arial" w:cs="Arial" w:eastAsia="Arial" w:hAnsi="Arial"/>
          <w:sz w:val="22"/>
          <w:szCs w:val="22"/>
        </w:rPr>
        <w:t xml:space="preserve">Green font — links that pull data from another sheet or workbook</w:t>
      </w:r>
    </w:p>
    <w:p>
      <w:pPr>
        <w:spacing w:after="120"/>
      </w:pPr>
      <w:r>
        <w:rPr>
          <w:rFonts w:ascii="Arial" w:cs="Arial" w:eastAsia="Arial" w:hAnsi="Arial"/>
          <w:sz w:val="22"/>
          <w:szCs w:val="22"/>
        </w:rPr>
        <w:t xml:space="preserve">When a reviewer opens a model and sees a black-font cell containing a number rather than a formula, that is an immediate red flag. Color-coding makes such violations visible at a glance and supports the Error Rate Proxy:</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Error Rate Proxy = (# of unique formulas with hardcoded constants / total formula cells) × 100%</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Best practice targets this ratio below 5%. A ratio of 15% signals that assumptions are scattered throughout the model and cannot be reliably stress-tested.</w:t>
      </w:r>
    </w:p>
    <w:p>
      <w:pPr>
        <w:pStyle w:val="Heading2"/>
        <w:spacing w:after="80" w:before="220"/>
      </w:pPr>
      <w:r>
        <w:rPr>
          <w:rFonts w:ascii="Arial" w:cs="Arial" w:eastAsia="Arial" w:hAnsi="Arial"/>
          <w:b/>
          <w:bCs/>
          <w:color w:val="1C1917"/>
          <w:sz w:val="25"/>
          <w:szCs w:val="25"/>
        </w:rPr>
        <w:t xml:space="preserve">Documenting Every Key Assumption</w:t>
      </w:r>
    </w:p>
    <w:p>
      <w:pPr>
        <w:spacing w:after="120"/>
      </w:pPr>
      <w:r>
        <w:rPr>
          <w:rFonts w:ascii="Arial" w:cs="Arial" w:eastAsia="Arial" w:hAnsi="Arial"/>
          <w:sz w:val="22"/>
          <w:szCs w:val="22"/>
        </w:rPr>
        <w:t xml:space="preserve">Each material assumption must carry a source and a rationale, either in an adjacent comment, a dedicated assumptions log tab, or a footnote column. For example: "Revenue synergy: 3% of combined revenue in Year 2, sourced from management presentation dated 14 March 2025; reflects cross-sell opportunity in overlapping customer segments, validated against comparable transactions in the sector." Undocumented synergies are among the most common sources of model risk—the valuation looks plausible, but the number is effectively fiction.</w:t>
      </w:r>
    </w:p>
    <w:p>
      <w:pPr>
        <w:pStyle w:val="Heading2"/>
        <w:spacing w:after="80" w:before="220"/>
      </w:pPr>
      <w:r>
        <w:rPr>
          <w:rFonts w:ascii="Arial" w:cs="Arial" w:eastAsia="Arial" w:hAnsi="Arial"/>
          <w:b/>
          <w:bCs/>
          <w:color w:val="1C1917"/>
          <w:sz w:val="25"/>
          <w:szCs w:val="25"/>
        </w:rPr>
        <w:t xml:space="preserve">Circular References in Debt and Interest Schedules</w:t>
      </w:r>
    </w:p>
    <w:p>
      <w:pPr>
        <w:spacing w:after="120"/>
      </w:pPr>
      <w:r>
        <w:rPr>
          <w:rFonts w:ascii="Arial" w:cs="Arial" w:eastAsia="Arial" w:hAnsi="Arial"/>
          <w:sz w:val="22"/>
          <w:szCs w:val="22"/>
        </w:rPr>
        <w:t xml:space="preserve">Interest expense depends on the debt balance; the debt balance depends on cash available after interest; cash available after interest depends on interest expense. This circularity is structural in LBO and acquisition financing models. Two solutions exist: (1) enable iterative calculation in Excel settings (File → Options → Formulas → Enable iterative calculation, max iterations 100, max change 0.001), which resolves the loop automatically; or (2) use a manual plug, where the prior period's debt balance drives the current period's interest calculation, breaking the circle at the cost of a one-period lag. Both approaches must be documented so the next user does not accidentally disable iterative calculation and produce a #REF! cascade.</w:t>
      </w:r>
    </w:p>
    <w:p>
      <w:pPr>
        <w:pStyle w:val="Heading2"/>
        <w:spacing w:after="80" w:before="220"/>
      </w:pPr>
      <w:r>
        <w:rPr>
          <w:rFonts w:ascii="Arial" w:cs="Arial" w:eastAsia="Arial" w:hAnsi="Arial"/>
          <w:b/>
          <w:bCs/>
          <w:color w:val="1C1917"/>
          <w:sz w:val="25"/>
          <w:szCs w:val="25"/>
        </w:rPr>
        <w:t xml:space="preserve">Worked Example: Correcting Three Deliberate Errors in an LBO Snippet</w:t>
      </w:r>
    </w:p>
    <w:p>
      <w:pPr>
        <w:spacing w:after="120"/>
      </w:pPr>
      <w:r>
        <w:rPr>
          <w:rFonts w:ascii="Arial" w:cs="Arial" w:eastAsia="Arial" w:hAnsi="Arial"/>
          <w:sz w:val="22"/>
          <w:szCs w:val="22"/>
        </w:rPr>
        <w:t xml:space="preserve">A model snippet contains the following three errors. Realistic numbers are used throughout.</w:t>
      </w:r>
    </w:p>
    <w:p>
      <w:pPr>
        <w:spacing w:after="120"/>
      </w:pPr>
      <w:r>
        <w:rPr>
          <w:rFonts w:ascii="Arial" w:cs="Arial" w:eastAsia="Arial" w:hAnsi="Arial"/>
          <w:sz w:val="22"/>
          <w:szCs w:val="22"/>
        </w:rPr>
        <w:t xml:space="preserve">Error 1 — Hardcoded interest rate inside a formula</w:t>
      </w:r>
    </w:p>
    <w:p>
      <w:pPr>
        <w:spacing w:after="120"/>
      </w:pPr>
      <w:r>
        <w:rPr>
          <w:rFonts w:ascii="Arial" w:cs="Arial" w:eastAsia="Arial" w:hAnsi="Arial"/>
          <w:sz w:val="22"/>
          <w:szCs w:val="22"/>
        </w:rPr>
        <w:t xml:space="preserve">The debt service cell reads = 50,000,000  0.065 rather than = Debt_Balance  Inputs!B14, where cell B14 holds the 6.5% interest rate assumption. If the deal team renegotiates the credit facility to 5.8%, the formula never updates.</w:t>
      </w:r>
    </w:p>
    <w:p>
      <w:pPr>
        <w:spacing w:after="120"/>
      </w:pPr>
      <w:r>
        <w:rPr>
          <w:rFonts w:ascii="Arial" w:cs="Arial" w:eastAsia="Arial" w:hAnsi="Arial"/>
          <w:sz w:val="22"/>
          <w:szCs w:val="22"/>
        </w:rPr>
        <w:t xml:space="preserve">Fix: Replace with = Debt_Balance * Inputs!B14. Change font to black (formula) and ensure B14 is blue (hardcoded input). The Error Rate Proxy improves: if the model had 200 formula cells and 18 contained hardcoded constants, the ratio was 9.0%. Fixing this and two similar cells drops it to 7.5%; fixing all violations below 10 cells achieves the target of &lt; 5%.</w:t>
      </w:r>
    </w:p>
    <w:p>
      <w:pPr>
        <w:spacing w:after="120"/>
      </w:pPr>
      <w:r>
        <w:rPr>
          <w:rFonts w:ascii="Arial" w:cs="Arial" w:eastAsia="Arial" w:hAnsi="Arial"/>
          <w:sz w:val="22"/>
          <w:szCs w:val="22"/>
        </w:rPr>
        <w:t xml:space="preserve">Error 2 — Broken circular reference</w:t>
      </w:r>
    </w:p>
    <w:p>
      <w:pPr>
        <w:spacing w:after="120"/>
      </w:pPr>
      <w:r>
        <w:rPr>
          <w:rFonts w:ascii="Arial" w:cs="Arial" w:eastAsia="Arial" w:hAnsi="Arial"/>
          <w:sz w:val="22"/>
          <w:szCs w:val="22"/>
        </w:rPr>
        <w:t xml:space="preserve">The interest schedule shows #VALUE! errors because iterative calculation is disabled. The interest expense formula correctly references the ending debt balance, which itself references interest expense—a legitimate circle—but Excel cannot resolve it.</w:t>
      </w:r>
    </w:p>
    <w:p>
      <w:pPr>
        <w:spacing w:after="120"/>
      </w:pPr>
      <w:r>
        <w:rPr>
          <w:rFonts w:ascii="Arial" w:cs="Arial" w:eastAsia="Arial" w:hAnsi="Arial"/>
          <w:sz w:val="22"/>
          <w:szCs w:val="22"/>
        </w:rPr>
        <w:t xml:space="preserve">Fix: Enable iterative calculation (max iterations: 100; max change: 0.001). Verify convergence by confirming that interest expense stabilizes: in this model, Year 1 interest converges to $3,185,000 on a $49,000,000 average debt balance at 6.5%. Document the setting in the model's cover sheet so any user who opens the file on a different machine knows to re-enable it.</w:t>
      </w:r>
    </w:p>
    <w:p>
      <w:pPr>
        <w:spacing w:after="120"/>
      </w:pPr>
      <w:r>
        <w:rPr>
          <w:rFonts w:ascii="Arial" w:cs="Arial" w:eastAsia="Arial" w:hAnsi="Arial"/>
          <w:sz w:val="22"/>
          <w:szCs w:val="22"/>
        </w:rPr>
        <w:t xml:space="preserve">Error 3 — Undocumented synergy assumption</w:t>
      </w:r>
    </w:p>
    <w:p>
      <w:pPr>
        <w:spacing w:after="120"/>
      </w:pPr>
      <w:r>
        <w:rPr>
          <w:rFonts w:ascii="Arial" w:cs="Arial" w:eastAsia="Arial" w:hAnsi="Arial"/>
          <w:sz w:val="22"/>
          <w:szCs w:val="22"/>
        </w:rPr>
        <w:t xml:space="preserve">The Inputs sheet shows a cost synergy of $4,200,000 in Year 2 with no source, no rationale, and no phase-in schedule. This inflates the exit equity value by approximately $21,000,000 at a 5.0× exit EBITDA multiple—a material misstatement.</w:t>
      </w:r>
    </w:p>
    <w:p>
      <w:pPr>
        <w:spacing w:after="120"/>
      </w:pPr>
      <w:r>
        <w:rPr>
          <w:rFonts w:ascii="Arial" w:cs="Arial" w:eastAsia="Arial" w:hAnsi="Arial"/>
          <w:sz w:val="22"/>
          <w:szCs w:val="22"/>
        </w:rPr>
        <w:t xml:space="preserve">Fix: Add a comment: "Cost synergy $4.2M in Year 2 (Year 1: $1.4M, Year 3: $4.2M steady-state); source: operational due diligence report, Section 4.2; represents headcount rationalization in overlapping back-office functions; validated against acquirer's prior integration of a comparable target in 2022." Link the synergy cells to a phase-in schedule on the Calculations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often document synergies in a PowerPoint deck but never link that rationale back to the model itself. When the model is audited six months later, the assumption appears arbitrary and the entire valuation becomes difficult to defend. Always embed the source directly in the model file.</w:t>
            </w:r>
          </w:p>
        </w:tc>
      </w:tr>
    </w:tbl>
    <w:p>
      <w:pPr>
        <w:pStyle w:val="Heading2"/>
        <w:spacing w:after="80" w:before="220"/>
      </w:pPr>
      <w:r>
        <w:rPr>
          <w:rFonts w:ascii="Arial" w:cs="Arial" w:eastAsia="Arial" w:hAnsi="Arial"/>
          <w:b/>
          <w:bCs/>
          <w:color w:val="1C1917"/>
          <w:sz w:val="25"/>
          <w:szCs w:val="25"/>
        </w:rPr>
        <w:t xml:space="preserve">Formal Model Audit Checklist</w:t>
      </w:r>
    </w:p>
    <w:p>
      <w:pPr>
        <w:spacing w:after="120"/>
      </w:pPr>
      <w:r>
        <w:rPr>
          <w:rFonts w:ascii="Arial" w:cs="Arial" w:eastAsia="Arial" w:hAnsi="Arial"/>
          <w:sz w:val="22"/>
          <w:szCs w:val="22"/>
        </w:rPr>
        <w:t xml:space="preserve">A complete pre-close audit should verify: (1) formula consistency across rows—copy a formula horizontally and confirm no column references are accidentally anchored; (2) named ranges are current and not pointing to deleted cells; (3) IFERROR wrappers are used on division formulas to prevent #DIV/0! errors from propagating; (4) version control is maintained with a dated change log on the cover sheet; and (5) the Error Rate Proxy is calculated and documented. Models that pass this checklist are structurally defensible—a critical standard in both live transactions and professional certification contexts.</w:t>
      </w:r>
    </w:p>
    <w:p>
      <w:pPr>
        <w:pStyle w:val="Heading1"/>
        <w:spacing w:after="120" w:before="340"/>
      </w:pPr>
      <w:r>
        <w:rPr>
          <w:rFonts w:ascii="Arial" w:cs="Arial" w:eastAsia="Arial" w:hAnsi="Arial"/>
          <w:b/>
          <w:bCs/>
          <w:color w:val="B45309"/>
          <w:sz w:val="32"/>
          <w:szCs w:val="32"/>
        </w:rPr>
        <w:t xml:space="preserve">Glossary</w:t>
      </w:r>
    </w:p>
    <w:p>
      <w:pPr>
        <w:pStyle w:val="ListParagraph"/>
        <w:numPr>
          <w:ilvl w:val="0"/>
          <w:numId w:val="1"/>
        </w:numPr>
        <w:spacing w:after="40"/>
      </w:pPr>
      <w:r>
        <w:rPr>
          <w:rFonts w:ascii="Arial" w:cs="Arial" w:eastAsia="Arial" w:hAnsi="Arial"/>
          <w:sz w:val="22"/>
          <w:szCs w:val="22"/>
        </w:rPr>
        <w:t xml:space="preserve">Accretion/Dilution — Change in acquirer EPS after a deal closes, positive or negative.</w:t>
      </w:r>
    </w:p>
    <w:p>
      <w:pPr>
        <w:pStyle w:val="ListParagraph"/>
        <w:numPr>
          <w:ilvl w:val="0"/>
          <w:numId w:val="1"/>
        </w:numPr>
        <w:spacing w:after="40"/>
      </w:pPr>
      <w:r>
        <w:rPr>
          <w:rFonts w:ascii="Arial" w:cs="Arial" w:eastAsia="Arial" w:hAnsi="Arial"/>
          <w:sz w:val="22"/>
          <w:szCs w:val="22"/>
        </w:rPr>
        <w:t xml:space="preserve">Goodwill — Excess of purchase price over fair value of net identifiable acquired assets.</w:t>
      </w:r>
    </w:p>
    <w:p>
      <w:pPr>
        <w:pStyle w:val="ListParagraph"/>
        <w:numPr>
          <w:ilvl w:val="0"/>
          <w:numId w:val="1"/>
        </w:numPr>
        <w:spacing w:after="40"/>
      </w:pPr>
      <w:r>
        <w:rPr>
          <w:rFonts w:ascii="Arial" w:cs="Arial" w:eastAsia="Arial" w:hAnsi="Arial"/>
          <w:sz w:val="22"/>
          <w:szCs w:val="22"/>
        </w:rPr>
        <w:t xml:space="preserve">MOIC — Multiple on Invested Capital; exit equity value divided by equity invested.</w:t>
      </w:r>
    </w:p>
    <w:p>
      <w:pPr>
        <w:pStyle w:val="ListParagraph"/>
        <w:numPr>
          <w:ilvl w:val="0"/>
          <w:numId w:val="1"/>
        </w:numPr>
        <w:spacing w:after="40"/>
      </w:pPr>
      <w:r>
        <w:rPr>
          <w:rFonts w:ascii="Arial" w:cs="Arial" w:eastAsia="Arial" w:hAnsi="Arial"/>
          <w:sz w:val="22"/>
          <w:szCs w:val="22"/>
        </w:rPr>
        <w:t xml:space="preserve">Synergy NPV — Present value of after-tax synergy cash flows discounted at WACC.</w:t>
      </w:r>
    </w:p>
    <w:p>
      <w:pPr>
        <w:pStyle w:val="ListParagraph"/>
        <w:numPr>
          <w:ilvl w:val="0"/>
          <w:numId w:val="1"/>
        </w:numPr>
        <w:spacing w:after="40"/>
      </w:pPr>
      <w:r>
        <w:rPr>
          <w:rFonts w:ascii="Arial" w:cs="Arial" w:eastAsia="Arial" w:hAnsi="Arial"/>
          <w:sz w:val="22"/>
          <w:szCs w:val="22"/>
        </w:rPr>
        <w:t xml:space="preserve">DSCR — Debt Service Coverage Ratio; EBITDA divided by total debt service obligations.</w:t>
      </w:r>
    </w:p>
    <w:p>
      <w:pPr>
        <w:pStyle w:val="ListParagraph"/>
        <w:numPr>
          <w:ilvl w:val="0"/>
          <w:numId w:val="1"/>
        </w:numPr>
        <w:spacing w:after="40"/>
      </w:pPr>
      <w:r>
        <w:rPr>
          <w:rFonts w:ascii="Arial" w:cs="Arial" w:eastAsia="Arial" w:hAnsi="Arial"/>
          <w:sz w:val="22"/>
          <w:szCs w:val="22"/>
        </w:rPr>
        <w:t xml:space="preserve">MIRR — Modified IRR that reinvests cash flows at WACC, correcting standard IRR's flaw.</w:t>
      </w:r>
    </w:p>
    <w:p>
      <w:pPr>
        <w:pStyle w:val="ListParagraph"/>
        <w:numPr>
          <w:ilvl w:val="0"/>
          <w:numId w:val="1"/>
        </w:numPr>
        <w:spacing w:after="40"/>
      </w:pPr>
      <w:r>
        <w:rPr>
          <w:rFonts w:ascii="Arial" w:cs="Arial" w:eastAsia="Arial" w:hAnsi="Arial"/>
          <w:sz w:val="22"/>
          <w:szCs w:val="22"/>
        </w:rPr>
        <w:t xml:space="preserve">Interest Tax Shield — Tax savings equal to debt outstanding multiplied by interest rate and tax rate.</w:t>
      </w:r>
    </w:p>
    <w:p>
      <w:pPr>
        <w:pStyle w:val="ListParagraph"/>
        <w:numPr>
          <w:ilvl w:val="0"/>
          <w:numId w:val="1"/>
        </w:numPr>
        <w:spacing w:after="40"/>
      </w:pPr>
      <w:r>
        <w:rPr>
          <w:rFonts w:ascii="Arial" w:cs="Arial" w:eastAsia="Arial" w:hAnsi="Arial"/>
          <w:sz w:val="22"/>
          <w:szCs w:val="22"/>
        </w:rPr>
        <w:t xml:space="preserve">Purchase Price Allocation — Accounting assignment of acquisition price to tangible assets, intangibles, and goodwill.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b20e420414b1b0a5b49034d9202e8838883067.png"/><Relationship Id="rId10" Type="http://schemas.openxmlformats.org/officeDocument/2006/relationships/image" Target="media/818200e4a0f7cff34c964c053d377e9cb7d59629.png"/><Relationship Id="rId11" Type="http://schemas.openxmlformats.org/officeDocument/2006/relationships/image" Target="media/d4c3cd09e8e69a4c114a27565c7792bebcf4940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2026-07-09T20:43:43.055Z</dcterms:created>
  <dcterms:modified xsi:type="dcterms:W3CDTF">2026-07-09T20:43:43.055Z</dcterms:modified>
</cp:coreProperties>
</file>

<file path=docProps/custom.xml><?xml version="1.0" encoding="utf-8"?>
<Properties xmlns="http://schemas.openxmlformats.org/officeDocument/2006/custom-properties" xmlns:vt="http://schemas.openxmlformats.org/officeDocument/2006/docPropsVTypes"/>
</file>