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6</w:t>
      </w:r>
    </w:p>
    <w:p>
      <w:pPr>
        <w:spacing w:after="120"/>
      </w:pPr>
      <w:r>
        <w:rPr>
          <w:rFonts w:ascii="Arial" w:cs="Arial" w:eastAsia="Arial" w:hAnsi="Arial"/>
          <w:b/>
          <w:bCs/>
          <w:color w:val="1C1917"/>
          <w:sz w:val="52"/>
          <w:szCs w:val="52"/>
        </w:rPr>
        <w:t xml:space="preserve">Model Audit and Risk Management</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A financial model that cannot be audited is a liability, not an asset. In high-stakes decisions—M&amp;A transactions, LBOs, capital budgeting—a single undetected formula error can cost millions and destroy credibility. This chapter equips you to systematically audit spreadsheet models, quantify and communicate model risk, build robust documentation frameworks, and design risk management strategies that satisfy both internal governance and external scrutiny. By the end, you will be able to independently audit a peer's model, assign a risk rating to its weaknesses, and produce documentation that makes the model reproducible without your presence—core competencies tested directly on the FMVA exam.</w:t>
      </w:r>
    </w:p>
    <w:p>
      <w:pPr>
        <w:pStyle w:val="Heading1"/>
        <w:spacing w:after="120" w:before="340"/>
      </w:pPr>
      <w:r>
        <w:rPr>
          <w:rFonts w:ascii="Arial" w:cs="Arial" w:eastAsia="Arial" w:hAnsi="Arial"/>
          <w:b/>
          <w:bCs/>
          <w:color w:val="B45309"/>
          <w:sz w:val="32"/>
          <w:szCs w:val="32"/>
        </w:rPr>
        <w:t xml:space="preserve">Anatomy of Spreadsheet Risk: Error Taxonomy and Prevalence</w:t>
      </w:r>
    </w:p>
    <w:p>
      <w:pPr>
        <w:spacing w:after="120"/>
      </w:pPr>
      <w:r>
        <w:rPr>
          <w:rFonts w:ascii="Arial" w:cs="Arial" w:eastAsia="Arial" w:hAnsi="Arial"/>
          <w:sz w:val="22"/>
          <w:szCs w:val="22"/>
        </w:rPr>
        <w:t xml:space="preserve">Spreadsheet errors are not rare exceptions—they are the statistical norm. Raymond Panko's foundational research, replicated across multiple studies, consistently finds that 88% or more of large spreadsheets contain at least one material error. For financial professionals building or auditing models, this figure is not a curiosity; it is a baseline risk assumption that should shape every review engagement.</w:t>
      </w:r>
    </w:p>
    <w:p>
      <w:pPr>
        <w:pStyle w:val="Heading2"/>
        <w:spacing w:after="80" w:before="220"/>
      </w:pPr>
      <w:r>
        <w:rPr>
          <w:rFonts w:ascii="Arial" w:cs="Arial" w:eastAsia="Arial" w:hAnsi="Arial"/>
          <w:b/>
          <w:bCs/>
          <w:color w:val="1C1917"/>
          <w:sz w:val="25"/>
          <w:szCs w:val="25"/>
        </w:rPr>
        <w:t xml:space="preserve">The Four-Class Error Taxonomy</w:t>
      </w:r>
    </w:p>
    <w:p>
      <w:pPr>
        <w:spacing w:after="120"/>
      </w:pPr>
      <w:r>
        <w:rPr>
          <w:rFonts w:ascii="Arial" w:cs="Arial" w:eastAsia="Arial" w:hAnsi="Arial"/>
          <w:sz w:val="22"/>
          <w:szCs w:val="22"/>
        </w:rPr>
        <w:t xml:space="preserve">Practitioners and model auditors organize spreadsheet errors into four distinct classes, each with different detection difficulty and financial consequence.</w:t>
      </w:r>
    </w:p>
    <w:p>
      <w:pPr>
        <w:spacing w:after="120"/>
      </w:pPr>
      <w:r>
        <w:rPr>
          <w:rFonts w:ascii="Arial" w:cs="Arial" w:eastAsia="Arial" w:hAnsi="Arial"/>
          <w:sz w:val="22"/>
          <w:szCs w:val="22"/>
        </w:rPr>
        <w:t xml:space="preserve">Mechanical errors are the most visible class: typos, mis-keyed numbers, and—most commonly—hard-coded values embedded directly inside formula cells rather than referenced from a dedicated input area. A cell reading =D141.05 instead of =D14$B$3 is a textbook mechanical error. It looks functional, it calculates, and it will be wrong the moment anyone needs to change the growth assumption.</w:t>
      </w:r>
    </w:p>
    <w:p>
      <w:pPr>
        <w:spacing w:after="120"/>
      </w:pPr>
      <w:r>
        <w:rPr>
          <w:rFonts w:ascii="Arial" w:cs="Arial" w:eastAsia="Arial" w:hAnsi="Arial"/>
          <w:sz w:val="22"/>
          <w:szCs w:val="22"/>
        </w:rPr>
        <w:t xml:space="preserve">Logic errors involve structurally incorrect formulas—wrong aggregation ranges, misapplied discount factors, or an IRR formula that omits the initial outflow. These are the most dangerous errors in practice because they pass visual inspection and produce plausible outputs. A DCF that discounts cash flows at period t using (1+r)^t instead of (1+r)^(t−0.5) for mid-year convention will return a number that looks entirely reasonable to a reviewer who does not test the underlying mechanics.</w:t>
      </w:r>
    </w:p>
    <w:p>
      <w:pPr>
        <w:spacing w:after="120"/>
      </w:pPr>
      <w:r>
        <w:rPr>
          <w:rFonts w:ascii="Arial" w:cs="Arial" w:eastAsia="Arial" w:hAnsi="Arial"/>
          <w:sz w:val="22"/>
          <w:szCs w:val="22"/>
        </w:rPr>
        <w:t xml:space="preserve">Omission errors occur when line items are simply missing—a lease obligation excluded from an enterprise value bridge, or a working capital movement absent from a cash flow statement. These errors are structurally invisible: there is no broken formula to flag, only an absence.</w:t>
      </w:r>
    </w:p>
    <w:p>
      <w:pPr>
        <w:spacing w:after="120"/>
      </w:pPr>
      <w:r>
        <w:rPr>
          <w:rFonts w:ascii="Arial" w:cs="Arial" w:eastAsia="Arial" w:hAnsi="Arial"/>
          <w:sz w:val="22"/>
          <w:szCs w:val="22"/>
        </w:rPr>
        <w:t xml:space="preserve">Interface errors arise at the boundaries between sheets, workbooks, or linked files. Broken external references, stale paste-linked values, or a summary tab pulling from an outdated version of a subsidiary model all fall here. In company-specific models—which, as the dominant form of financial modeling, have no off-the-shelf validation layer—interface errors can persist undetected through multiple review cycles.</w:t>
      </w:r>
    </w:p>
    <w:p>
      <w:pPr>
        <w:pStyle w:val="Heading2"/>
        <w:spacing w:after="80" w:before="220"/>
      </w:pPr>
      <w:r>
        <w:rPr>
          <w:rFonts w:ascii="Arial" w:cs="Arial" w:eastAsia="Arial" w:hAnsi="Arial"/>
          <w:b/>
          <w:bCs/>
          <w:color w:val="1C1917"/>
          <w:sz w:val="25"/>
          <w:szCs w:val="25"/>
        </w:rPr>
        <w:t xml:space="preserve">Why Hard-Coded Values Dominate Mechanical Error Counts</w:t>
      </w:r>
    </w:p>
    <w:p>
      <w:pPr>
        <w:spacing w:after="120"/>
      </w:pPr>
      <w:r>
        <w:rPr>
          <w:rFonts w:ascii="Arial" w:cs="Arial" w:eastAsia="Arial" w:hAnsi="Arial"/>
          <w:sz w:val="22"/>
          <w:szCs w:val="22"/>
        </w:rPr>
        <w:t xml:space="preserve">The single most common mechanical error in financial models is the hard-coded assumption scattered across multiple calculation cells. Rather than entering a growth rate once in a clearly labeled input cell and referencing it throughout, analysts frequently type the same value in every period column. This practice multiplies both the effort required to update the model and the probability that an update is applied inconsistently.</w:t>
      </w:r>
    </w:p>
    <w:p>
      <w:pPr>
        <w:pStyle w:val="Heading2"/>
        <w:spacing w:after="80" w:before="220"/>
      </w:pPr>
      <w:r>
        <w:rPr>
          <w:rFonts w:ascii="Arial" w:cs="Arial" w:eastAsia="Arial" w:hAnsi="Arial"/>
          <w:b/>
          <w:bCs/>
          <w:color w:val="1C1917"/>
          <w:sz w:val="25"/>
          <w:szCs w:val="25"/>
        </w:rPr>
        <w:t xml:space="preserve">Worked Example: Probability of Inconsistency in a Hard-Coded DCF</w:t>
      </w:r>
    </w:p>
    <w:p>
      <w:pPr>
        <w:spacing w:after="120"/>
      </w:pPr>
      <w:r>
        <w:rPr>
          <w:rFonts w:ascii="Arial" w:cs="Arial" w:eastAsia="Arial" w:hAnsi="Arial"/>
          <w:sz w:val="22"/>
          <w:szCs w:val="22"/>
        </w:rPr>
        <w:t xml:space="preserve">Consider a ten-year DCF model in which the analyst has hard-coded a 5% revenue growth rate directly into 12 separate formula cells (one per projected period, plus two scenario cells) rather than linking them all to a single input. The lead analyst now needs to sensitize the model for a 4% growth scenario.</w:t>
      </w:r>
    </w:p>
    <w:p>
      <w:pPr>
        <w:spacing w:after="120"/>
      </w:pPr>
      <w:r>
        <w:rPr>
          <w:rFonts w:ascii="Arial" w:cs="Arial" w:eastAsia="Arial" w:hAnsi="Arial"/>
          <w:sz w:val="22"/>
          <w:szCs w:val="22"/>
        </w:rPr>
        <w:t xml:space="preserve">Step 1 — Count required manual changes.</w:t>
      </w:r>
    </w:p>
    <w:p>
      <w:pPr>
        <w:spacing w:after="120"/>
      </w:pPr>
      <w:r>
        <w:rPr>
          <w:rFonts w:ascii="Arial" w:cs="Arial" w:eastAsia="Arial" w:hAnsi="Arial"/>
          <w:sz w:val="22"/>
          <w:szCs w:val="22"/>
        </w:rPr>
        <w:t xml:space="preserve">Each of the 12 cells must be individually edited. That is 12 discrete manual interventions, compared with 1 if a single input cell had been used.</w:t>
      </w:r>
    </w:p>
    <w:p>
      <w:pPr>
        <w:spacing w:after="120"/>
      </w:pPr>
      <w:r>
        <w:rPr>
          <w:rFonts w:ascii="Arial" w:cs="Arial" w:eastAsia="Arial" w:hAnsi="Arial"/>
          <w:sz w:val="22"/>
          <w:szCs w:val="22"/>
        </w:rPr>
        <w:t xml:space="preserve">Step 2 — Apply the per-cell error rate.</w:t>
      </w:r>
    </w:p>
    <w:p>
      <w:pPr>
        <w:spacing w:after="120"/>
      </w:pPr>
      <w:r>
        <w:rPr>
          <w:rFonts w:ascii="Arial" w:cs="Arial" w:eastAsia="Arial" w:hAnsi="Arial"/>
          <w:sz w:val="22"/>
          <w:szCs w:val="22"/>
        </w:rPr>
        <w:t xml:space="preserve">Empirical studies support a per-cell error rate of approximately 2% (p = 0.02) for experienced analysts performing manual edits under normal working conditions.</w:t>
      </w:r>
    </w:p>
    <w:p>
      <w:pPr>
        <w:spacing w:after="120"/>
      </w:pPr>
      <w:r>
        <w:rPr>
          <w:rFonts w:ascii="Arial" w:cs="Arial" w:eastAsia="Arial" w:hAnsi="Arial"/>
          <w:sz w:val="22"/>
          <w:szCs w:val="22"/>
        </w:rPr>
        <w:t xml:space="preserve">Step 3 — Calculate the probability of at least one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P(at least one error) = 1 − (1 − p)^n</w:t>
            </w:r>
          </w:p>
        </w:tc>
      </w:tr>
    </w:tbl>
    <w:p>
      <w:pPr>
        <w:spacing w:after="120"/>
      </w:pPr>
      <w:r>
        <w:rPr>
          <w:rFonts w:ascii="Arial" w:cs="Arial" w:eastAsia="Arial" w:hAnsi="Arial"/>
          <w:sz w:val="22"/>
          <w:szCs w:val="22"/>
        </w:rPr>
        <w:t xml:space="preserve">Substituting p = 0.02 and n = 12: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 = 1 − (1 − 0.02)^12 = 1 − (0.98)^12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(0.98)^12 = 0.7847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 = 1 − 0.7847 = 0.2153</w:t>
            </w:r>
          </w:p>
        </w:tc>
      </w:tr>
    </w:tbl>
    <w:p>
      <w:pPr>
        <w:spacing w:after="120"/>
      </w:pPr>
      <w:r>
        <w:rPr>
          <w:rFonts w:ascii="Arial" w:cs="Arial" w:eastAsia="Arial" w:hAnsi="Arial"/>
          <w:sz w:val="22"/>
          <w:szCs w:val="22"/>
        </w:rPr>
        <w:t xml:space="preserve">There is a 21.5% probability that at least one of the 12 cells retains the old 5% value, producing a model that silently blends two different growth assumptions across the forecast period. The output will still sum to a single valuation figure—and nothing will visually flag the inconsistency.</w:t>
      </w:r>
    </w:p>
    <w:p>
      <w:pPr>
        <w:spacing w:after="120"/>
      </w:pPr>
      <w:r>
        <w:rPr>
          <w:rFonts w:ascii="Arial" w:cs="Arial" w:eastAsia="Arial" w:hAnsi="Arial"/>
          <w:sz w:val="22"/>
          <w:szCs w:val="22"/>
        </w:rPr>
        <w:t xml:space="preserve">Had the growth rate lived in one input cell, n = 1, and P = 0.02, a tenfold reduction in error probability.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treat a formula that calculates correctly today as a formula that is structured correctly. Logic errors and hard-coded mechanical errors both produce arithmetically valid outputs under the original assumptions. The error only surfaces when assumptions change or when a reviewer tests the formula's behavior at the boundary—which is precisely why structured model audits, not just output checks, are required.</w:t>
            </w:r>
          </w:p>
        </w:tc>
      </w:tr>
    </w:tbl>
    <w:p>
      <w:pPr>
        <w:pStyle w:val="Heading2"/>
        <w:spacing w:after="80" w:before="220"/>
      </w:pPr>
      <w:r>
        <w:rPr>
          <w:rFonts w:ascii="Arial" w:cs="Arial" w:eastAsia="Arial" w:hAnsi="Arial"/>
          <w:b/>
          <w:bCs/>
          <w:color w:val="1C1917"/>
          <w:sz w:val="25"/>
          <w:szCs w:val="25"/>
        </w:rPr>
        <w:t xml:space="preserve">Structural Mitigation Across All Four Error Classes</w:t>
      </w:r>
    </w:p>
    <w:p>
      <w:pPr>
        <w:spacing w:after="120"/>
      </w:pPr>
      <w:r>
        <w:rPr>
          <w:rFonts w:ascii="Arial" w:cs="Arial" w:eastAsia="Arial" w:hAnsi="Arial"/>
          <w:sz w:val="22"/>
          <w:szCs w:val="22"/>
        </w:rPr>
        <w:t xml:space="preserve">Separating a model into distinct input, calculation, and output sheets directly reduces error propagation across all four classes. Mechanical errors are contained to the input sheet where hard-coded values belong. Logic errors in calculation sheets are easier to audit when formulas reference only structured inputs. Omission errors become visible when a standardized input checklist governs the input sheet. Interface errors are minimized because inter-sheet links follow a single directional flow—inputs feed calculations, calculations feed outputs—rather than a tangled web of cross-references. This architecture does not eliminate spreadsheet risk, but it makes errors locatable, and locatable errors are manageable ones.</w:t>
      </w:r>
    </w:p>
    <w:p>
      <w:pPr>
        <w:pStyle w:val="Heading1"/>
        <w:spacing w:after="120" w:before="340"/>
      </w:pPr>
      <w:r>
        <w:rPr>
          <w:rFonts w:ascii="Arial" w:cs="Arial" w:eastAsia="Arial" w:hAnsi="Arial"/>
          <w:b/>
          <w:bCs/>
          <w:color w:val="B45309"/>
          <w:sz w:val="32"/>
          <w:szCs w:val="32"/>
        </w:rPr>
        <w:t xml:space="preserve">Structured Model Audit: The Five-Pass Review Protocol</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Bottom = easiest to detect; top = hardest; all four classes require structured audit</w:t>
      </w:r>
    </w:p>
    <w:p>
      <w:pPr>
        <w:spacing w:after="120"/>
      </w:pPr>
      <w:r>
        <w:rPr>
          <w:rFonts w:ascii="Arial" w:cs="Arial" w:eastAsia="Arial" w:hAnsi="Arial"/>
          <w:sz w:val="22"/>
          <w:szCs w:val="22"/>
        </w:rPr>
        <w:t xml:space="preserve">The five-pass review protocol gives auditors a repeatable, defensible framework for examining any financial model—from a simple DCF to a complex leveraged buyout. Each pass isolates a distinct failure mode, so errors cannot hide behind the complexity of adjacent layers. Work through all five passes in sequence; skipping ahead defeats the systematic logic of the approach.</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Pass 1 – Structural Review</w:t>
      </w:r>
    </w:p>
    <w:p>
      <w:pPr>
        <w:spacing w:after="120"/>
      </w:pPr>
      <w:r>
        <w:rPr>
          <w:rFonts w:ascii="Arial" w:cs="Arial" w:eastAsia="Arial" w:hAnsi="Arial"/>
          <w:sz w:val="22"/>
          <w:szCs w:val="22"/>
        </w:rPr>
        <w:t xml:space="preserve">Begin by mapping the workbook architecture before touching a single formula. A well-structured model separates three zones: an Inputs sheet (all assumptions live here and only here), a Calculations sheet (formulas reference inputs; no raw numbers typed directly), and an Output sheet (summaries and charts pull from calculations). Trace the directional flow of data using Excel's Trace Precedents and Trace Dependents arrows. Flag any cell where data flows backward—output feeding into a calculation, or a calculation cell containing a hard-coded override. Circular references must be resolved or explicitly documented with iterative calculation settings noted in the audit log.</w:t>
      </w:r>
    </w:p>
    <w:p>
      <w:pPr>
        <w:pStyle w:val="Heading2"/>
        <w:spacing w:after="80" w:before="220"/>
      </w:pPr>
      <w:r>
        <w:rPr>
          <w:rFonts w:ascii="Arial" w:cs="Arial" w:eastAsia="Arial" w:hAnsi="Arial"/>
          <w:b/>
          <w:bCs/>
          <w:color w:val="1C1917"/>
          <w:sz w:val="25"/>
          <w:szCs w:val="25"/>
        </w:rPr>
        <w:t xml:space="preserve">Pass 2 – Input Integrity</w:t>
      </w:r>
    </w:p>
    <w:p>
      <w:pPr>
        <w:spacing w:after="120"/>
      </w:pPr>
      <w:r>
        <w:rPr>
          <w:rFonts w:ascii="Arial" w:cs="Arial" w:eastAsia="Arial" w:hAnsi="Arial"/>
          <w:sz w:val="22"/>
          <w:szCs w:val="22"/>
        </w:rPr>
        <w:t xml:space="preserve">Every assumption must carry three attributes: a source (e.g., "Management guidance, Q3 2024 board deck"), a date, and a single master cell that all formulas reference. Use Excel's Name Manager to confirm named ranges point to the correct input cells. Run a search for numeric constants embedded in formula rows—any literal number that is not 0 or 1 in a formula string is a candidate for flagging. Common culprits include tax rates, depreciation percentages, and debt amortization schedules typed directly into calculation rows.</w:t>
      </w:r>
    </w:p>
    <w:p>
      <w:pPr>
        <w:pStyle w:val="Heading2"/>
        <w:spacing w:after="80" w:before="220"/>
      </w:pPr>
      <w:r>
        <w:rPr>
          <w:rFonts w:ascii="Arial" w:cs="Arial" w:eastAsia="Arial" w:hAnsi="Arial"/>
          <w:b/>
          <w:bCs/>
          <w:color w:val="1C1917"/>
          <w:sz w:val="25"/>
          <w:szCs w:val="25"/>
        </w:rPr>
        <w:t xml:space="preserve">Pass 3 – Formula Consistency</w:t>
      </w:r>
    </w:p>
    <w:p>
      <w:pPr>
        <w:spacing w:after="120"/>
      </w:pPr>
      <w:r>
        <w:rPr>
          <w:rFonts w:ascii="Arial" w:cs="Arial" w:eastAsia="Arial" w:hAnsi="Arial"/>
          <w:sz w:val="22"/>
          <w:szCs w:val="22"/>
        </w:rPr>
        <w:t xml:space="preserve">Press Ctrl+ to activate Show Formulas mode and visually scan each row for breaks in pattern. A revenue row should show the same formula structure across all projection columns; a sudden shift from =D14D7 to =E140.18` signals a hard-coded break. Complement this with conditional formatting: apply a formula that tests whether the current cell's formula text matches the prior cell's formula text (substituting column references), and color mismatches red. Document every highlighted cell with its address and the nature of the deviation.</w:t>
      </w:r>
    </w:p>
    <w:p>
      <w:pPr>
        <w:pStyle w:val="Heading2"/>
        <w:spacing w:after="80" w:before="220"/>
      </w:pPr>
      <w:r>
        <w:rPr>
          <w:rFonts w:ascii="Arial" w:cs="Arial" w:eastAsia="Arial" w:hAnsi="Arial"/>
          <w:b/>
          <w:bCs/>
          <w:color w:val="1C1917"/>
          <w:sz w:val="25"/>
          <w:szCs w:val="25"/>
        </w:rPr>
        <w:t xml:space="preserve">Pass 4 – Output Reconciliation</w:t>
      </w:r>
    </w:p>
    <w:p>
      <w:pPr>
        <w:spacing w:after="120"/>
      </w:pPr>
      <w:r>
        <w:rPr>
          <w:rFonts w:ascii="Arial" w:cs="Arial" w:eastAsia="Arial" w:hAnsi="Arial"/>
          <w:sz w:val="22"/>
          <w:szCs w:val="22"/>
        </w:rPr>
        <w:t xml:space="preserve">Cross-foot the income statement: verify that net income on the P&amp;L equals the net income line feeding into retained earnings on the balance sheet. Then confirm the cash flow statement's ending cash balance equals the cash line on the balance sheet for every period column. The tolerance for these ties should be zero—not a rounding threshold. Any discrepancy, however small, must be traced to its source before the audit closes.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Audit Coverage Ratio = Cells Reviewed / Total Formula Cells × 100%</w:t>
            </w:r>
          </w:p>
        </w:tc>
      </w:tr>
    </w:tbl>
    <w:p>
      <w:pPr>
        <w:spacing w:after="120"/>
      </w:pPr>
      <w:r>
        <w:rPr>
          <w:rFonts w:ascii="Arial" w:cs="Arial" w:eastAsia="Arial" w:hAnsi="Arial"/>
          <w:sz w:val="22"/>
          <w:szCs w:val="22"/>
        </w:rPr>
        <w:t xml:space="preserve">Target a coverage ratio of ≥ 95% for models classified as Critical (those used in investment decisions, regulatory submissions, or external reporting).</w:t>
      </w:r>
    </w:p>
    <w:p>
      <w:pPr>
        <w:pStyle w:val="Heading2"/>
        <w:spacing w:after="80" w:before="220"/>
      </w:pPr>
      <w:r>
        <w:rPr>
          <w:rFonts w:ascii="Arial" w:cs="Arial" w:eastAsia="Arial" w:hAnsi="Arial"/>
          <w:b/>
          <w:bCs/>
          <w:color w:val="1C1917"/>
          <w:sz w:val="25"/>
          <w:szCs w:val="25"/>
        </w:rPr>
        <w:t xml:space="preserve">Pass 5 – Stress and Boundary Testing</w:t>
      </w:r>
    </w:p>
    <w:p>
      <w:pPr>
        <w:spacing w:after="120"/>
      </w:pPr>
      <w:r>
        <w:rPr>
          <w:rFonts w:ascii="Arial" w:cs="Arial" w:eastAsia="Arial" w:hAnsi="Arial"/>
          <w:sz w:val="22"/>
          <w:szCs w:val="22"/>
        </w:rPr>
        <w:t xml:space="preserve">Set revenue growth to 0%, operating margins to their breakeven level, and the discount rate to both a very low value (1%) and a very high value (30%). Observe whether the model returns #DIV/0!, #VALUE!, #REF!, or implausible outputs such as negative equity with positive dividends. Each error state reveals an unguarded formula. Fix boundary conditions with IFERROR wrappers only after understanding the root cause—masking errors without fixing them is itself an audit finding.</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Worked Example: LBO Model Interest Expense Audit</w:t>
      </w:r>
    </w:p>
    <w:p>
      <w:pPr>
        <w:spacing w:after="120"/>
      </w:pPr>
      <w:r>
        <w:rPr>
          <w:rFonts w:ascii="Arial" w:cs="Arial" w:eastAsia="Arial" w:hAnsi="Arial"/>
          <w:sz w:val="22"/>
          <w:szCs w:val="22"/>
        </w:rPr>
        <w:t xml:space="preserve">Scenario: A five-year LBO model projects interest expense in cells C45:G45. The EBITDA bridge in row 60 uses =SUM(C45:F45) to accumulate total interest—inadvertently excluding Year 5 (column G).</w:t>
      </w:r>
    </w:p>
    <w:p>
      <w:pPr>
        <w:spacing w:after="120"/>
      </w:pPr>
      <w:r>
        <w:rPr>
          <w:rFonts w:ascii="Arial" w:cs="Arial" w:eastAsia="Arial" w:hAnsi="Arial"/>
          <w:sz w:val="22"/>
          <w:szCs w:val="22"/>
        </w:rPr>
        <w:t xml:space="preserve">Step 1 – Identify the range error. During Pass 3, the Show Formulas scan reveals that every other SUM in row 60 spans columns C through G, but cell H60 reads =SUM(C45:F45). The missing column is flagged.</w:t>
      </w:r>
    </w:p>
    <w:p>
      <w:pPr>
        <w:spacing w:after="120"/>
      </w:pPr>
      <w:r>
        <w:rPr>
          <w:rFonts w:ascii="Arial" w:cs="Arial" w:eastAsia="Arial" w:hAnsi="Arial"/>
          <w:sz w:val="22"/>
          <w:szCs w:val="22"/>
        </w:rPr>
        <w:t xml:space="preserve">Step 2 – Quantify the dollar impact. Year 5 interest expense in G45 = $3,200,000. The SUM omits this amount, so cumulative interest is understated by $3,200,000, causing EBITDA to be overstated by $3,200,000 in the exit-year summary.</w:t>
      </w:r>
    </w:p>
    <w:p>
      <w:pPr>
        <w:spacing w:after="120"/>
      </w:pPr>
      <w:r>
        <w:rPr>
          <w:rFonts w:ascii="Arial" w:cs="Arial" w:eastAsia="Arial" w:hAnsi="Arial"/>
          <w:sz w:val="22"/>
          <w:szCs w:val="22"/>
        </w:rPr>
        <w:t xml:space="preserve">Step 3 – Recalculate IRR impact. The LBO exit proceeds use the overstated EBITDA × 7.5× exit multiple, inflating exit enterprise value by $3,200,000 × 7.5 = $24,000,000. With equity invested of $80,000,000, the model showed an IRR of 18.4%. Correcting the exit value to $24M lower reduces equity proceeds proportionally, dropping the IRR to 16.1%—a 230-basis-point overstatement.</w:t>
      </w:r>
    </w:p>
    <w:p>
      <w:pPr>
        <w:spacing w:after="120"/>
      </w:pPr>
      <w:r>
        <w:rPr>
          <w:rFonts w:ascii="Arial" w:cs="Arial" w:eastAsia="Arial" w:hAnsi="Arial"/>
          <w:sz w:val="22"/>
          <w:szCs w:val="22"/>
        </w:rPr>
        <w:t xml:space="preserve">Step 4 – Log the finding.</w:t>
      </w:r>
    </w:p>
    <w:p>
      <w:pPr>
        <w:spacing w:after="120"/>
      </w:pPr>
      <w:r>
        <w:rPr>
          <w:rFonts w:ascii="Arial" w:cs="Arial" w:eastAsia="Arial" w:hAnsi="Arial"/>
          <w:sz w:val="22"/>
          <w:szCs w:val="22"/>
        </w:rPr>
        <w:t xml:space="preserve">| Cell | Error Class | Severity | Remediation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H60 | Range omission in SUM() | Critical | Extend range to =SUM(C45:G45); add a cross-check row confirming sum equals individual cell total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Auditors often stop at Pass 3 once formulas look consistent and skip the output reconciliation in Pass 4. A formula can be internally consistent yet reference the wrong row entirely—only the balance sheet tie-out will catch a mislinked net income figure.</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Documenting Findings</w:t>
      </w:r>
    </w:p>
    <w:p>
      <w:pPr>
        <w:spacing w:after="120"/>
      </w:pPr>
      <w:r>
        <w:rPr>
          <w:rFonts w:ascii="Arial" w:cs="Arial" w:eastAsia="Arial" w:hAnsi="Arial"/>
          <w:sz w:val="22"/>
          <w:szCs w:val="22"/>
        </w:rPr>
        <w:t xml:space="preserve">Every finding, regardless of severity, must record: the cell reference, the error class (range error, hard-code, broken link, logic flaw), a severity rating (Critical / Major / Minor), and a recommended remediation with an owner and target resolution date. Critical findings block model sign-off. Major findings require remediation before distribution. Minor findings are logged for the next model version. This log becomes the audit trail that satisfies both internal governance and any external reviewer examining the model's reliability.</w:t>
      </w:r>
    </w:p>
    <w:p>
      <w:pPr>
        <w:pStyle w:val="Heading1"/>
        <w:spacing w:after="120" w:before="340"/>
      </w:pPr>
      <w:r>
        <w:rPr>
          <w:rFonts w:ascii="Arial" w:cs="Arial" w:eastAsia="Arial" w:hAnsi="Arial"/>
          <w:b/>
          <w:bCs/>
          <w:color w:val="B45309"/>
          <w:sz w:val="32"/>
          <w:szCs w:val="32"/>
        </w:rPr>
        <w:t xml:space="preserve">Model Risk Quantification: Sensitivity, Scenario, and Monte Carlo Analysis</w:t>
      </w:r>
    </w:p>
    <w:p>
      <w:pPr>
        <w:spacing w:after="120"/>
      </w:pPr>
      <w:r>
        <w:rPr>
          <w:rFonts w:ascii="Arial" w:cs="Arial" w:eastAsia="Arial" w:hAnsi="Arial"/>
          <w:sz w:val="22"/>
          <w:szCs w:val="22"/>
        </w:rPr>
        <w:t xml:space="preserve">Model risk is not merely a qualitative concern—it is something you can measure, rank, and govern numerically. The three core techniques for doing so are sensitivity analysis, scenario analysis, and Monte Carlo simulation, each offering a progressively richer picture of how uncertainty in your assumptions translates into uncertainty in your output.</w:t>
      </w:r>
    </w:p>
    <w:p>
      <w:pPr>
        <w:pStyle w:val="Heading2"/>
        <w:spacing w:after="80" w:before="220"/>
      </w:pPr>
      <w:r>
        <w:rPr>
          <w:rFonts w:ascii="Arial" w:cs="Arial" w:eastAsia="Arial" w:hAnsi="Arial"/>
          <w:b/>
          <w:bCs/>
          <w:color w:val="1C1917"/>
          <w:sz w:val="25"/>
          <w:szCs w:val="25"/>
        </w:rPr>
        <w:t xml:space="preserve">Sensitivity Analysis and the Tornado Chart</w:t>
      </w:r>
    </w:p>
    <w:p>
      <w:pPr>
        <w:spacing w:after="120"/>
      </w:pPr>
      <w:r>
        <w:rPr>
          <w:rFonts w:ascii="Arial" w:cs="Arial" w:eastAsia="Arial" w:hAnsi="Arial"/>
          <w:sz w:val="22"/>
          <w:szCs w:val="22"/>
        </w:rPr>
        <w:t xml:space="preserve">Sensitivity analysis isolates one input variable at a time while holding all others at their base-case values. For each input, you calculate how much the target output (typically equity value or enterprise value) changes as the input moves through a defined range—commonly ±100 to ±200 basis points for rates, or ±10–20% for volume assumptions.</w:t>
      </w:r>
    </w:p>
    <w:p>
      <w:pPr>
        <w:spacing w:after="120"/>
      </w:pPr>
      <w:r>
        <w:rPr>
          <w:rFonts w:ascii="Arial" w:cs="Arial" w:eastAsia="Arial" w:hAnsi="Arial"/>
          <w:sz w:val="22"/>
          <w:szCs w:val="22"/>
        </w:rPr>
        <w:t xml:space="preserve">The result is expressed as an elasticity-style sensitivity coefficient: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Output Sensitivity = (ΔOutput / Output_base) / (ΔInput / Input_base) × 100%</w:t>
            </w:r>
          </w:p>
        </w:tc>
      </w:tr>
    </w:tbl>
    <w:p>
      <w:pPr>
        <w:spacing w:after="120"/>
      </w:pPr>
      <w:r>
        <w:rPr>
          <w:rFonts w:ascii="Arial" w:cs="Arial" w:eastAsia="Arial" w:hAnsi="Arial"/>
          <w:sz w:val="22"/>
          <w:szCs w:val="22"/>
        </w:rPr>
        <w:t xml:space="preserve">A coefficient of 8.5 means a 1% change in the input drives an 8.5% change in the output. Inputs are then ranked by the absolute magnitude of this coefficient and displayed in a tornado chart—widest bars at the top, narrowest at the bottom. This ranking immediately tells the audit team where assumption governance effort should be concentrated.</w:t>
      </w:r>
    </w:p>
    <w:p>
      <w:pPr>
        <w:spacing w:after="120"/>
      </w:pPr>
      <w:r>
        <w:rPr>
          <w:rFonts w:ascii="Arial" w:cs="Arial" w:eastAsia="Arial" w:hAnsi="Arial"/>
          <w:sz w:val="22"/>
          <w:szCs w:val="22"/>
        </w:rPr>
        <w:t xml:space="preserve">Key Risk Drivers (KRDs) are defined as inputs where this coefficient exceeds 5.0—that is, a 1% change in the input produces more than a 5% change in the target metric. KRDs demand the tightest documentation, the most defensible sourcing, and the most frequent re-examination during model review cycles.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often run sensitivity on every available input and then treat all results equally. This dilutes attention. Prioritize KRDs explicitly; flag them in a dedicated assumption register so reviewers know exactly where model risk is concentrated.</w:t>
            </w:r>
          </w:p>
        </w:tc>
      </w:tr>
    </w:tbl>
    <w:p>
      <w:pPr>
        <w:pStyle w:val="Heading2"/>
        <w:spacing w:after="80" w:before="220"/>
      </w:pPr>
      <w:r>
        <w:rPr>
          <w:rFonts w:ascii="Arial" w:cs="Arial" w:eastAsia="Arial" w:hAnsi="Arial"/>
          <w:b/>
          <w:bCs/>
          <w:color w:val="1C1917"/>
          <w:sz w:val="25"/>
          <w:szCs w:val="25"/>
        </w:rPr>
        <w:t xml:space="preserve">Scenario Analysis: Bundling Correlated Assumptions</w:t>
      </w:r>
    </w:p>
    <w:p>
      <w:pPr>
        <w:spacing w:after="120"/>
      </w:pPr>
      <w:r>
        <w:rPr>
          <w:rFonts w:ascii="Arial" w:cs="Arial" w:eastAsia="Arial" w:hAnsi="Arial"/>
          <w:sz w:val="22"/>
          <w:szCs w:val="22"/>
        </w:rPr>
        <w:t xml:space="preserve">Where sensitivity analysis moves one lever at a time, scenario analysis moves several levers simultaneously in a coherent, internally consistent way. A standard three-scenario structure—base, upside, and downside—reflects the real-world fact that macroeconomic variables are correlated. A recession scenario, for example, would simultaneously compress revenue growth, widen credit spreads (raising WACC), and reduce terminal growth—not just one of these in isolation.</w:t>
      </w:r>
    </w:p>
    <w:p>
      <w:pPr>
        <w:spacing w:after="120"/>
      </w:pPr>
      <w:r>
        <w:rPr>
          <w:rFonts w:ascii="Arial" w:cs="Arial" w:eastAsia="Arial" w:hAnsi="Arial"/>
          <w:sz w:val="22"/>
          <w:szCs w:val="22"/>
        </w:rPr>
        <w:t xml:space="preserve">Stress testing should always include at least one historically anchored extreme scenario. For a consumer discretionary company, the 2008–09 period saw revenue declines of 15–25% in a single year; using that as a floor for the downside scenario grounds the analysis in observed reality rather than arbitrary haircuts.</w:t>
      </w:r>
    </w:p>
    <w:p>
      <w:pPr>
        <w:pStyle w:val="Heading2"/>
        <w:spacing w:after="80" w:before="220"/>
      </w:pPr>
      <w:r>
        <w:rPr>
          <w:rFonts w:ascii="Arial" w:cs="Arial" w:eastAsia="Arial" w:hAnsi="Arial"/>
          <w:b/>
          <w:bCs/>
          <w:color w:val="1C1917"/>
          <w:sz w:val="25"/>
          <w:szCs w:val="25"/>
        </w:rPr>
        <w:t xml:space="preserve">Monte Carlo Simulation and Confidence Intervals</w:t>
      </w:r>
    </w:p>
    <w:p>
      <w:pPr>
        <w:spacing w:after="120"/>
      </w:pPr>
      <w:r>
        <w:rPr>
          <w:rFonts w:ascii="Arial" w:cs="Arial" w:eastAsia="Arial" w:hAnsi="Arial"/>
          <w:sz w:val="22"/>
          <w:szCs w:val="22"/>
        </w:rPr>
        <w:t xml:space="preserve">Monte Carlo simulation assigns probability distributions—normal, log-normal, triangular, or empirically fitted—to each key input. The model is then re-run thousands of times, sampling from those distributions simultaneously, producing a full output distribution rather than a single point estimate.</w:t>
      </w:r>
    </w:p>
    <w:p>
      <w:pPr>
        <w:spacing w:after="120"/>
      </w:pPr>
      <w:r>
        <w:rPr>
          <w:rFonts w:ascii="Arial" w:cs="Arial" w:eastAsia="Arial" w:hAnsi="Arial"/>
          <w:sz w:val="22"/>
          <w:szCs w:val="22"/>
        </w:rPr>
        <w:t xml:space="preserve">From this distribution you can extract VaR-style confidence intervals: for example, "at the 5th percentile, equity value is $42 per share," giving a probabilistic downside anchor. The Conditional Value at Risk (CVaR)—the average of all outcomes below the 5th percentile—captures tail risk more completely than VaR alone, exactly as it does in financial risk modeling for trading portfolios.</w:t>
      </w:r>
    </w:p>
    <w:p>
      <w:pPr>
        <w:pStyle w:val="Heading2"/>
        <w:spacing w:after="80" w:before="220"/>
      </w:pPr>
      <w:r>
        <w:rPr>
          <w:rFonts w:ascii="Arial" w:cs="Arial" w:eastAsia="Arial" w:hAnsi="Arial"/>
          <w:b/>
          <w:bCs/>
          <w:color w:val="1C1917"/>
          <w:sz w:val="25"/>
          <w:szCs w:val="25"/>
        </w:rPr>
        <w:t xml:space="preserve">Worked Example: Two-Variable DCF Data Table</w:t>
      </w:r>
    </w:p>
    <w:p>
      <w:pPr>
        <w:spacing w:after="120"/>
      </w:pPr>
      <w:r>
        <w:rPr>
          <w:rFonts w:ascii="Arial" w:cs="Arial" w:eastAsia="Arial" w:hAnsi="Arial"/>
          <w:sz w:val="22"/>
          <w:szCs w:val="22"/>
        </w:rPr>
        <w:t xml:space="preserve">Setup. A DCF model produces a base-case equity value of $100 per share using WACC = 10% and terminal growth rate g = 2.5%. You build a two-variable data table in Excel with WACC running from 8% to 14% in 100 bp steps (rows) and g running from 1% to 4% in 50 bp steps (columns).</w:t>
      </w:r>
    </w:p>
    <w:p>
      <w:pPr>
        <w:spacing w:after="120"/>
      </w:pPr>
      <w:r>
        <w:rPr>
          <w:rFonts w:ascii="Arial" w:cs="Arial" w:eastAsia="Arial" w:hAnsi="Arial"/>
          <w:sz w:val="22"/>
          <w:szCs w:val="22"/>
        </w:rPr>
        <w:t xml:space="preserve">Objective. Identify every WACC/g combination that produces equity value ≤ $80 (a 20% downside to base case).</w:t>
      </w:r>
    </w:p>
    <w:p>
      <w:pPr>
        <w:spacing w:after="120"/>
      </w:pPr>
      <w:r>
        <w:rPr>
          <w:rFonts w:ascii="Arial" w:cs="Arial" w:eastAsia="Arial" w:hAnsi="Arial"/>
          <w:sz w:val="22"/>
          <w:szCs w:val="22"/>
        </w:rPr>
        <w:t xml:space="preserve">Step 1 — Anchor the base case. Confirm that WACC = 10%, g = 2.5% → $100/share.</w:t>
      </w:r>
    </w:p>
    <w:p>
      <w:pPr>
        <w:spacing w:after="120"/>
      </w:pPr>
      <w:r>
        <w:rPr>
          <w:rFonts w:ascii="Arial" w:cs="Arial" w:eastAsia="Arial" w:hAnsi="Arial"/>
          <w:sz w:val="22"/>
          <w:szCs w:val="22"/>
        </w:rPr>
        <w:t xml:space="preserve">Step 2 — Build the table structure. Place WACC values in column A (rows 2–8) and g values in row 1 (columns B–H). Link the top-left corner cell to the equity value output formula.</w:t>
      </w:r>
    </w:p>
    <w:p>
      <w:pPr>
        <w:spacing w:after="120"/>
      </w:pPr>
      <w:r>
        <w:rPr>
          <w:rFonts w:ascii="Arial" w:cs="Arial" w:eastAsia="Arial" w:hAnsi="Arial"/>
          <w:sz w:val="22"/>
          <w:szCs w:val="22"/>
        </w:rPr>
        <w:t xml:space="preserve">Step 3 — Run the data table. Use Excel's Data → What-If Analysis → Data Table, setting the row input cell to WACC and the column input cell to g.</w:t>
      </w:r>
    </w:p>
    <w:p>
      <w:pPr>
        <w:spacing w:after="120"/>
      </w:pPr>
      <w:r>
        <w:rPr>
          <w:rFonts w:ascii="Arial" w:cs="Arial" w:eastAsia="Arial" w:hAnsi="Arial"/>
          <w:sz w:val="22"/>
          <w:szCs w:val="22"/>
        </w:rPr>
        <w:t xml:space="preserve">Step 4 — Read the results. Selected outputs from the table:</w:t>
      </w:r>
    </w:p>
    <w:p>
      <w:pPr>
        <w:spacing w:after="120"/>
      </w:pPr>
      <w:r>
        <w:rPr>
          <w:rFonts w:ascii="Arial" w:cs="Arial" w:eastAsia="Arial" w:hAnsi="Arial"/>
          <w:sz w:val="22"/>
          <w:szCs w:val="22"/>
        </w:rPr>
        <w:t xml:space="preserve">| WACC \ g | 1.0% | 2.0% | 2.5% | 3.0% | 4.0%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8% | $118 | $131 | $138 | $147 | $172 |</w:t>
      </w:r>
    </w:p>
    <w:p>
      <w:pPr>
        <w:spacing w:after="120"/>
      </w:pPr>
      <w:r>
        <w:rPr>
          <w:rFonts w:ascii="Arial" w:cs="Arial" w:eastAsia="Arial" w:hAnsi="Arial"/>
          <w:sz w:val="22"/>
          <w:szCs w:val="22"/>
        </w:rPr>
        <w:t xml:space="preserve">| 10% | $88 | $96 | $100 | $105 | $120 |</w:t>
      </w:r>
    </w:p>
    <w:p>
      <w:pPr>
        <w:spacing w:after="120"/>
      </w:pPr>
      <w:r>
        <w:rPr>
          <w:rFonts w:ascii="Arial" w:cs="Arial" w:eastAsia="Arial" w:hAnsi="Arial"/>
          <w:sz w:val="22"/>
          <w:szCs w:val="22"/>
        </w:rPr>
        <w:t xml:space="preserve">| 12% | $68 | $74 | $77 | $80 | $90 |</w:t>
      </w:r>
    </w:p>
    <w:p>
      <w:pPr>
        <w:spacing w:after="120"/>
      </w:pPr>
      <w:r>
        <w:rPr>
          <w:rFonts w:ascii="Arial" w:cs="Arial" w:eastAsia="Arial" w:hAnsi="Arial"/>
          <w:sz w:val="22"/>
          <w:szCs w:val="22"/>
        </w:rPr>
        <w:t xml:space="preserve">| 14% | $55 | $59 | $61 | $64 | $71 |</w:t>
      </w:r>
    </w:p>
    <w:p>
      <w:pPr>
        <w:spacing w:after="120"/>
      </w:pPr>
      <w:r>
        <w:rPr>
          <w:rFonts w:ascii="Arial" w:cs="Arial" w:eastAsia="Arial" w:hAnsi="Arial"/>
          <w:sz w:val="22"/>
          <w:szCs w:val="22"/>
        </w:rPr>
        <w:t xml:space="preserve">Step 5 — Identify the 20% downside boundary. The $80 threshold is crossed at WACC = 12% / g = 3.0% (exactly $80) and at all combinations where WACC ≥ 12% with g ≤ 2.5%, or WACC ≥ 14% at any g shown. The critical insight: moving WACC from 10% to 12% (+200 bps) while holding g constant at 2.5% drops equity value from $100 to $77—a 23% decline, confirming WACC is a KRD with a sensitivity coefficient of approximately 11.5 (23% output change / 2% input change relative to 10% base).</w:t>
      </w:r>
    </w:p>
    <w:p>
      <w:pPr>
        <w:spacing w:after="120"/>
      </w:pPr>
      <w:r>
        <w:rPr>
          <w:rFonts w:ascii="Arial" w:cs="Arial" w:eastAsia="Arial" w:hAnsi="Arial"/>
          <w:sz w:val="22"/>
          <w:szCs w:val="22"/>
        </w:rPr>
        <w:t xml:space="preserve">Step 6 — Governance action. Because WACC clears the KRD threshold decisively, the model audit should require a written WACC derivation memo, a beta source citation, and a capital structure assumption sign-off before the model is distributed to decision-makers.</w:t>
      </w:r>
    </w:p>
    <w:p>
      <w:pPr>
        <w:pStyle w:val="Heading1"/>
        <w:spacing w:after="120" w:before="340"/>
      </w:pPr>
      <w:r>
        <w:rPr>
          <w:rFonts w:ascii="Arial" w:cs="Arial" w:eastAsia="Arial" w:hAnsi="Arial"/>
          <w:b/>
          <w:bCs/>
          <w:color w:val="B45309"/>
          <w:sz w:val="32"/>
          <w:szCs w:val="32"/>
        </w:rPr>
        <w:t xml:space="preserve">Risk Management Strategies: Controls, Governance, and Model Validation Frameworks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P(error) = 1−(0.98)^n; centralising inputs cuts error risk tenfold</w:t>
      </w:r>
    </w:p>
    <w:p>
      <w:pPr>
        <w:spacing w:after="120"/>
      </w:pPr>
      <w:r>
        <w:rPr>
          <w:rFonts w:ascii="Arial" w:cs="Arial" w:eastAsia="Arial" w:hAnsi="Arial"/>
          <w:sz w:val="22"/>
          <w:szCs w:val="22"/>
        </w:rPr>
        <w:t xml:space="preserve">Model risk management (MRM) frameworks exist because a flawed model used in a high-stakes decision — an M&amp;A transaction, a regulatory capital submission, a credit approval — can produce losses that dwarf the cost of building the model in the first place. Professional best practice, reinforced by regulatory guidance such as SR 11-7 in the United States, organizes MRM around three distinct governance gates that must never collapse into one another.</w:t>
      </w:r>
    </w:p>
    <w:p>
      <w:pPr>
        <w:pStyle w:val="Heading2"/>
        <w:spacing w:after="80" w:before="220"/>
      </w:pPr>
      <w:r>
        <w:rPr>
          <w:rFonts w:ascii="Arial" w:cs="Arial" w:eastAsia="Arial" w:hAnsi="Arial"/>
          <w:b/>
          <w:bCs/>
          <w:color w:val="1C1917"/>
          <w:sz w:val="25"/>
          <w:szCs w:val="25"/>
        </w:rPr>
        <w:t xml:space="preserve">The Three Governance Gates</w:t>
      </w:r>
    </w:p>
    <w:p>
      <w:pPr>
        <w:spacing w:after="120"/>
      </w:pPr>
      <w:r>
        <w:rPr>
          <w:rFonts w:ascii="Arial" w:cs="Arial" w:eastAsia="Arial" w:hAnsi="Arial"/>
          <w:sz w:val="22"/>
          <w:szCs w:val="22"/>
        </w:rPr>
        <w:t xml:space="preserve">Model development is the responsibility of the team that builds the model. They own the logic, the assumptions, and the documentation. Independent validation is performed by a reviewer who had no involvement in construction; this separation is the single highest-impact control for catching logic errors, because the builder's blind spots are not shared by the validator. Ongoing monitoring is a continuous post-deployment function that tracks whether model outputs remain reliable as real-world conditions evolve. Each gate has its own sign-off authority, and a model cannot advance to the next gate without formal approval at the current one.</w:t>
      </w:r>
    </w:p>
    <w:p>
      <w:pPr>
        <w:pStyle w:val="Heading2"/>
        <w:spacing w:after="80" w:before="220"/>
      </w:pPr>
      <w:r>
        <w:rPr>
          <w:rFonts w:ascii="Arial" w:cs="Arial" w:eastAsia="Arial" w:hAnsi="Arial"/>
          <w:b/>
          <w:bCs/>
          <w:color w:val="1C1917"/>
          <w:sz w:val="25"/>
          <w:szCs w:val="25"/>
        </w:rPr>
        <w:t xml:space="preserve">Version Control and Access Discipline</w:t>
      </w:r>
    </w:p>
    <w:p>
      <w:pPr>
        <w:spacing w:after="120"/>
      </w:pPr>
      <w:r>
        <w:rPr>
          <w:rFonts w:ascii="Arial" w:cs="Arial" w:eastAsia="Arial" w:hAnsi="Arial"/>
          <w:sz w:val="22"/>
          <w:szCs w:val="22"/>
        </w:rPr>
        <w:t xml:space="preserve">Every model iteration must be saved with a date-stamped filename (SynergyModelv2.32024-11-14_APPROVED.xlsx) or committed to a Git-equivalent repository with a descriptive commit message. The prior approved version is never overwritten — it remains the rollback point if a subsequent change introduces errors. Alongside versioning, access controls must distinguish between the live working model (write access restricted to the model owner) and read-only distribution copies circulated to stakeholders. A common mechanism is locking all sheets except the designated input range before distributing, or publishing a PDF alongside the Excel file for reference audiences.</w:t>
      </w:r>
    </w:p>
    <w:p>
      <w:pPr>
        <w:spacing w:after="120"/>
      </w:pPr>
      <w:r>
        <w:rPr>
          <w:rFonts w:ascii="Arial" w:cs="Arial" w:eastAsia="Arial" w:hAnsi="Arial"/>
          <w:sz w:val="22"/>
          <w:szCs w:val="22"/>
        </w:rPr>
        <w:t xml:space="preserve">A change-log tab inside the model records every material edit: who made the change, the date, the prior value, the new value, and the business rationale. In M&amp;A due diligence and regulatory review, auditors will go directly to this tab. An incomplete change log is treated as a governance failure, not merely an administrative oversight.</w:t>
      </w:r>
    </w:p>
    <w:p>
      <w:pPr>
        <w:pStyle w:val="Heading2"/>
        <w:spacing w:after="80" w:before="220"/>
      </w:pPr>
      <w:r>
        <w:rPr>
          <w:rFonts w:ascii="Arial" w:cs="Arial" w:eastAsia="Arial" w:hAnsi="Arial"/>
          <w:b/>
          <w:bCs/>
          <w:color w:val="1C1917"/>
          <w:sz w:val="25"/>
          <w:szCs w:val="25"/>
        </w:rPr>
        <w:t xml:space="preserve">Materiality Thresholds and Re-Audit Triggers</w:t>
      </w:r>
    </w:p>
    <w:p>
      <w:pPr>
        <w:spacing w:after="120"/>
      </w:pPr>
      <w:r>
        <w:rPr>
          <w:rFonts w:ascii="Arial" w:cs="Arial" w:eastAsia="Arial" w:hAnsi="Arial"/>
          <w:sz w:val="22"/>
          <w:szCs w:val="22"/>
        </w:rPr>
        <w:t xml:space="preserve">Not every edit warrants a full re-audit. Materiality thresholds define the boundary. A common convention: any change that moves a Key Rate Driver (KRD) assumption by more than 10% triggers a full re-audit; changes below that threshold qualify for a lightweight delta review, which requires the model owner to document the change and obtain a second-reviewer sign-off without repeating the entire validation cycle. Thresholds should be set in the governance policy before the model is deployed, not negotiated after a change has already been made.</w:t>
      </w:r>
    </w:p>
    <w:p>
      <w:pPr>
        <w:pStyle w:val="Heading2"/>
        <w:spacing w:after="80" w:before="220"/>
      </w:pPr>
      <w:r>
        <w:rPr>
          <w:rFonts w:ascii="Arial" w:cs="Arial" w:eastAsia="Arial" w:hAnsi="Arial"/>
          <w:b/>
          <w:bCs/>
          <w:color w:val="1C1917"/>
          <w:sz w:val="25"/>
          <w:szCs w:val="25"/>
        </w:rPr>
        <w:t xml:space="preserve">Model Risk Rating Score</w:t>
      </w:r>
    </w:p>
    <w:p>
      <w:pPr>
        <w:spacing w:after="120"/>
      </w:pPr>
      <w:r>
        <w:rPr>
          <w:rFonts w:ascii="Arial" w:cs="Arial" w:eastAsia="Arial" w:hAnsi="Arial"/>
          <w:sz w:val="22"/>
          <w:szCs w:val="22"/>
        </w:rPr>
        <w:t xml:space="preserve">When validation findings are logged, their aggregate severity is quantified using:</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Model Risk Rating Score = Σ(Severityi × Likelihoodi × Materiality_i)  for i = 1 to n findings</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A score of ≥ 15 triggers mandatory remediation before the model may be used in any decision. Severity, Likelihood, and Materiality are each scored on a 1–3 scale (low/medium/high).</w:t>
      </w:r>
    </w:p>
    <w:p>
      <w:pPr>
        <w:pStyle w:val="Heading2"/>
        <w:spacing w:after="80" w:before="220"/>
      </w:pPr>
      <w:r>
        <w:rPr>
          <w:rFonts w:ascii="Arial" w:cs="Arial" w:eastAsia="Arial" w:hAnsi="Arial"/>
          <w:b/>
          <w:bCs/>
          <w:color w:val="1C1917"/>
          <w:sz w:val="25"/>
          <w:szCs w:val="25"/>
        </w:rPr>
        <w:t xml:space="preserve">Worked Example: Governance Matrix for an M&amp;A Synergy Model</w:t>
      </w:r>
    </w:p>
    <w:p>
      <w:pPr>
        <w:spacing w:after="120"/>
      </w:pPr>
      <w:r>
        <w:rPr>
          <w:rFonts w:ascii="Arial" w:cs="Arial" w:eastAsia="Arial" w:hAnsi="Arial"/>
          <w:sz w:val="22"/>
          <w:szCs w:val="22"/>
        </w:rPr>
        <w:t xml:space="preserve">Consider a synergy model with five input categories. We assign ownership, approval authority, and re-audit triggers as follows, then score one illustrative finding.</w:t>
      </w:r>
    </w:p>
    <w:p>
      <w:pPr>
        <w:spacing w:after="120"/>
      </w:pPr>
      <w:r>
        <w:rPr>
          <w:rFonts w:ascii="Arial" w:cs="Arial" w:eastAsia="Arial" w:hAnsi="Arial"/>
          <w:sz w:val="22"/>
          <w:szCs w:val="22"/>
        </w:rPr>
        <w:t xml:space="preserve">| Input Category | Owner | Approval Authority | Re-Audit Trigger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Revenue synergies | Deal team analyst | VP of Corporate Development | &gt;10% change in any revenue KRD |</w:t>
      </w:r>
    </w:p>
    <w:p>
      <w:pPr>
        <w:spacing w:after="120"/>
      </w:pPr>
      <w:r>
        <w:rPr>
          <w:rFonts w:ascii="Arial" w:cs="Arial" w:eastAsia="Arial" w:hAnsi="Arial"/>
          <w:sz w:val="22"/>
          <w:szCs w:val="22"/>
        </w:rPr>
        <w:t xml:space="preserve">| Cost synergies | FP&amp;A manager | CFO | &gt;10% change in headcount or unit-cost assumption |</w:t>
      </w:r>
    </w:p>
    <w:p>
      <w:pPr>
        <w:spacing w:after="120"/>
      </w:pPr>
      <w:r>
        <w:rPr>
          <w:rFonts w:ascii="Arial" w:cs="Arial" w:eastAsia="Arial" w:hAnsi="Arial"/>
          <w:sz w:val="22"/>
          <w:szCs w:val="22"/>
        </w:rPr>
        <w:t xml:space="preserve">| Capex | Engineering lead | CFO + CTO jointly | Any change to asset-life or spend-timing assumption |</w:t>
      </w:r>
    </w:p>
    <w:p>
      <w:pPr>
        <w:spacing w:after="120"/>
      </w:pPr>
      <w:r>
        <w:rPr>
          <w:rFonts w:ascii="Arial" w:cs="Arial" w:eastAsia="Arial" w:hAnsi="Arial"/>
          <w:sz w:val="22"/>
          <w:szCs w:val="22"/>
        </w:rPr>
        <w:t xml:space="preserve">| Integration costs | PMO director | CFO | &gt;10% change in total integration budget |</w:t>
      </w:r>
    </w:p>
    <w:p>
      <w:pPr>
        <w:spacing w:after="120"/>
      </w:pPr>
      <w:r>
        <w:rPr>
          <w:rFonts w:ascii="Arial" w:cs="Arial" w:eastAsia="Arial" w:hAnsi="Arial"/>
          <w:sz w:val="22"/>
          <w:szCs w:val="22"/>
        </w:rPr>
        <w:t xml:space="preserve">| Tax rate | Tax counsel | General Counsel + CFO | Any jurisdiction or rate change |</w:t>
      </w:r>
    </w:p>
    <w:p>
      <w:pPr>
        <w:spacing w:after="120"/>
      </w:pPr>
      <w:r>
        <w:rPr>
          <w:rFonts w:ascii="Arial" w:cs="Arial" w:eastAsia="Arial" w:hAnsi="Arial"/>
          <w:sz w:val="22"/>
          <w:szCs w:val="22"/>
        </w:rPr>
        <w:t xml:space="preserve">Scoring a finding: During independent validation, the validator identifies that the revenue synergy ramp-up curve assumes 100% capture by Year 2 — an aggressive assumption with no supporting precedent analysis.</w:t>
      </w:r>
    </w:p>
    <w:p>
      <w:pPr>
        <w:pStyle w:val="ListParagraph"/>
        <w:numPr>
          <w:ilvl w:val="0"/>
          <w:numId w:val="1"/>
        </w:numPr>
        <w:spacing w:after="40"/>
      </w:pPr>
      <w:r>
        <w:rPr>
          <w:rFonts w:ascii="Arial" w:cs="Arial" w:eastAsia="Arial" w:hAnsi="Arial"/>
          <w:sz w:val="22"/>
          <w:szCs w:val="22"/>
        </w:rPr>
        <w:t xml:space="preserve">Severity = 3 (high: directly inflates deal valuation)</w:t>
      </w:r>
    </w:p>
    <w:p>
      <w:pPr>
        <w:pStyle w:val="ListParagraph"/>
        <w:numPr>
          <w:ilvl w:val="0"/>
          <w:numId w:val="1"/>
        </w:numPr>
        <w:spacing w:after="40"/>
      </w:pPr>
      <w:r>
        <w:rPr>
          <w:rFonts w:ascii="Arial" w:cs="Arial" w:eastAsia="Arial" w:hAnsi="Arial"/>
          <w:sz w:val="22"/>
          <w:szCs w:val="22"/>
        </w:rPr>
        <w:t xml:space="preserve">Likelihood = 2 (medium: ramp delays are common but not certain)</w:t>
      </w:r>
    </w:p>
    <w:p>
      <w:pPr>
        <w:pStyle w:val="ListParagraph"/>
        <w:numPr>
          <w:ilvl w:val="0"/>
          <w:numId w:val="1"/>
        </w:numPr>
        <w:spacing w:after="40"/>
      </w:pPr>
      <w:r>
        <w:rPr>
          <w:rFonts w:ascii="Arial" w:cs="Arial" w:eastAsia="Arial" w:hAnsi="Arial"/>
          <w:sz w:val="22"/>
          <w:szCs w:val="22"/>
        </w:rPr>
        <w:t xml:space="preserve">Materiality = 3 (high: revenue synergies represent 60% of total synergy value)</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Score for this finding = 3 × 2 × 3 = 18</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Because 18 ≥ 15, mandatory remediation is required before the model is used in board presentations or shared with counterparties. The model owner must revise the ramp curve, document the change in the change log, and obtain re-validation sign-off.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Teams often treat independent validation as a formality performed by a colleague who "glances at the model." True independence means the validator was not consulted during construction, has no reporting relationship to the model owner, and documents their findings in writing. A validator who helped build the model cannot catch their own errors — the entire purpose of the gate is defeated.</w:t>
            </w:r>
          </w:p>
        </w:tc>
      </w:tr>
    </w:tbl>
    <w:p>
      <w:pPr>
        <w:spacing w:after="120"/>
      </w:pPr>
      <w:r>
        <w:rPr>
          <w:rFonts w:ascii="Arial" w:cs="Arial" w:eastAsia="Arial" w:hAnsi="Arial"/>
          <w:sz w:val="22"/>
          <w:szCs w:val="22"/>
        </w:rPr>
        <w:t xml:space="preserve">Embedding these controls — versioning, access separation, change logs, materiality thresholds, and a scored validation process — transforms model governance from a compliance checkbox into a genuine risk reduction mechanism.</w:t>
      </w:r>
    </w:p>
    <w:p>
      <w:pPr>
        <w:pStyle w:val="Heading1"/>
        <w:spacing w:after="120" w:before="340"/>
      </w:pPr>
      <w:r>
        <w:rPr>
          <w:rFonts w:ascii="Arial" w:cs="Arial" w:eastAsia="Arial" w:hAnsi="Arial"/>
          <w:b/>
          <w:bCs/>
          <w:color w:val="B45309"/>
          <w:sz w:val="32"/>
          <w:szCs w:val="32"/>
        </w:rPr>
        <w:t xml:space="preserve">Model Documentation Standards: Assumption Logs, Data Dictionaries, and User Guides</w:t>
      </w:r>
    </w:p>
    <w:p>
      <w:pPr>
        <w:spacing w:after="120"/>
      </w:pPr>
      <w:r>
        <w:rPr>
          <w:rFonts w:ascii="Arial" w:cs="Arial" w:eastAsia="Arial" w:hAnsi="Arial"/>
          <w:sz w:val="22"/>
          <w:szCs w:val="22"/>
        </w:rPr>
        <w:t xml:space="preserve">Model documentation is the connective tissue between a financial model and everyone who will ever use, audit, or inherit it. Without rigorous documentation, even a technically flawless LBO model becomes a black box—unauditable, unreproducible, and professionally indefensible. The goal of this section is to show you exactly what complete documentation looks like and how to build it to exam and industry standard.</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The Assumption Log</w:t>
      </w:r>
    </w:p>
    <w:p>
      <w:pPr>
        <w:spacing w:after="120"/>
      </w:pPr>
      <w:r>
        <w:rPr>
          <w:rFonts w:ascii="Arial" w:cs="Arial" w:eastAsia="Arial" w:hAnsi="Arial"/>
          <w:sz w:val="22"/>
          <w:szCs w:val="22"/>
        </w:rPr>
        <w:t xml:space="preserve">An assumption log is a tabular register that captures every material input in one place. Each row must record the input name, its current value, the source from which it was drawn, the date it was retrieved, the analyst who owns it, and a sensitivity classification (Key Risk Driver, Secondary, or Fixed). This last column tells reviewers where to focus stress-testing effort.</w:t>
      </w:r>
    </w:p>
    <w:p>
      <w:pPr>
        <w:spacing w:after="120"/>
      </w:pPr>
      <w:r>
        <w:rPr>
          <w:rFonts w:ascii="Arial" w:cs="Arial" w:eastAsia="Arial" w:hAnsi="Arial"/>
          <w:sz w:val="22"/>
          <w:szCs w:val="22"/>
        </w:rPr>
        <w:t xml:space="preserve">Documentation Completeness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Documentation Completeness Score = (Documented Assumptions / Total Model Assumptions) × 100%</w:t>
            </w:r>
          </w:p>
        </w:tc>
      </w:tr>
    </w:tbl>
    <w:p>
      <w:pPr>
        <w:spacing w:after="120"/>
      </w:pPr>
      <w:r>
        <w:rPr>
          <w:rFonts w:ascii="Arial" w:cs="Arial" w:eastAsia="Arial" w:hAnsi="Arial"/>
          <w:sz w:val="22"/>
          <w:szCs w:val="22"/>
        </w:rPr>
        <w:t xml:space="preserve">FMVA best practice requires 100% documentation for Key Risk Drivers (KRDs) and ≥ 80% overall. Any score below 80% is a red flag in a third-party model audit.</w:t>
      </w:r>
    </w:p>
    <w:p>
      <w:pPr>
        <w:spacing w:after="120"/>
      </w:pPr>
      <w:r>
        <w:rPr>
          <w:rFonts w:ascii="Arial" w:cs="Arial" w:eastAsia="Arial" w:hAnsi="Arial"/>
          <w:sz w:val="22"/>
          <w:szCs w:val="22"/>
        </w:rPr>
        <w:t xml:space="preserve">#### Worked Example — One-Page Assumption Log for a 5-Year LBO Model</w:t>
      </w:r>
    </w:p>
    <w:p>
      <w:pPr>
        <w:spacing w:after="120"/>
      </w:pPr>
      <w:r>
        <w:rPr>
          <w:rFonts w:ascii="Arial" w:cs="Arial" w:eastAsia="Arial" w:hAnsi="Arial"/>
          <w:sz w:val="22"/>
          <w:szCs w:val="22"/>
        </w:rPr>
        <w:t xml:space="preserve">The table below covers the eight required inputs. Realistic values are used throughout.</w:t>
      </w:r>
    </w:p>
    <w:p>
      <w:pPr>
        <w:spacing w:after="120"/>
      </w:pPr>
      <w:r>
        <w:rPr>
          <w:rFonts w:ascii="Arial" w:cs="Arial" w:eastAsia="Arial" w:hAnsi="Arial"/>
          <w:sz w:val="22"/>
          <w:szCs w:val="22"/>
        </w:rPr>
        <w:t xml:space="preserve">| # | Input | Value | Source | Date Retrieved | Owner Sign-Off | Sensitivity Class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Entry EV/EBITDA Multiple | 9.5× | Comparable transactions — Capital IQ screen | 14 Mar 2025 | J. Rivera, VP | KRD |</w:t>
      </w:r>
    </w:p>
    <w:p>
      <w:pPr>
        <w:spacing w:after="120"/>
      </w:pPr>
      <w:r>
        <w:rPr>
          <w:rFonts w:ascii="Arial" w:cs="Arial" w:eastAsia="Arial" w:hAnsi="Arial"/>
          <w:sz w:val="22"/>
          <w:szCs w:val="22"/>
        </w:rPr>
        <w:t xml:space="preserve">| 2 | Revenue CAGR (Yrs 1–5) | 6.0% | Management guidance, Feb 2025 board deck | 28 Feb 2025 | S. Patel, CFO | KRD |</w:t>
      </w:r>
    </w:p>
    <w:p>
      <w:pPr>
        <w:spacing w:after="120"/>
      </w:pPr>
      <w:r>
        <w:rPr>
          <w:rFonts w:ascii="Arial" w:cs="Arial" w:eastAsia="Arial" w:hAnsi="Arial"/>
          <w:sz w:val="22"/>
          <w:szCs w:val="22"/>
        </w:rPr>
        <w:t xml:space="preserve">| 3 | EBITDA Margin (steady-state) | 24.5% | LTM actuals + mgmt. bridge; Bloomberg consensus | 14 Mar 2025 | J. Rivera, VP | KRD |</w:t>
      </w:r>
    </w:p>
    <w:p>
      <w:pPr>
        <w:spacing w:after="120"/>
      </w:pPr>
      <w:r>
        <w:rPr>
          <w:rFonts w:ascii="Arial" w:cs="Arial" w:eastAsia="Arial" w:hAnsi="Arial"/>
          <w:sz w:val="22"/>
          <w:szCs w:val="22"/>
        </w:rPr>
        <w:t xml:space="preserve">| 4 | D&amp;A Rate (% revenue) | 4.2% | Historical average FY2022–2024; company 10-K | 10 Mar 2025 | J. Rivera, VP | Secondary |</w:t>
      </w:r>
    </w:p>
    <w:p>
      <w:pPr>
        <w:spacing w:after="120"/>
      </w:pPr>
      <w:r>
        <w:rPr>
          <w:rFonts w:ascii="Arial" w:cs="Arial" w:eastAsia="Arial" w:hAnsi="Arial"/>
          <w:sz w:val="22"/>
          <w:szCs w:val="22"/>
        </w:rPr>
        <w:t xml:space="preserve">| 5 | Capex (% revenue) | 5.8% | Management guidance; cross-checked vs. peer median | 28 Feb 2025 | S. Patel, CFO | KRD |</w:t>
      </w:r>
    </w:p>
    <w:p>
      <w:pPr>
        <w:spacing w:after="120"/>
      </w:pPr>
      <w:r>
        <w:rPr>
          <w:rFonts w:ascii="Arial" w:cs="Arial" w:eastAsia="Arial" w:hAnsi="Arial"/>
          <w:sz w:val="22"/>
          <w:szCs w:val="22"/>
        </w:rPr>
        <w:t xml:space="preserve">| 6 | Debt Interest Rate (blended) | 7.25% | Term Sheet draft v3, Lender X commitment letter | 12 Mar 2025 | T. Okafor, Debt | KRD |</w:t>
      </w:r>
    </w:p>
    <w:p>
      <w:pPr>
        <w:spacing w:after="120"/>
      </w:pPr>
      <w:r>
        <w:rPr>
          <w:rFonts w:ascii="Arial" w:cs="Arial" w:eastAsia="Arial" w:hAnsi="Arial"/>
          <w:sz w:val="22"/>
          <w:szCs w:val="22"/>
        </w:rPr>
        <w:t xml:space="preserve">| 7 | Exit EV/EBITDA Multiple | 9.0× | Analyst judgment; 0.5× discount to entry (mean reversion) | 14 Mar 2025 | J. Rivera, VP | KRD |</w:t>
      </w:r>
    </w:p>
    <w:p>
      <w:pPr>
        <w:spacing w:after="120"/>
      </w:pPr>
      <w:r>
        <w:rPr>
          <w:rFonts w:ascii="Arial" w:cs="Arial" w:eastAsia="Arial" w:hAnsi="Arial"/>
          <w:sz w:val="22"/>
          <w:szCs w:val="22"/>
        </w:rPr>
        <w:t xml:space="preserve">| 8 | Effective Tax Rate | 26.0% | Statutory federal 21% + blended state; tax counsel memo | 05 Mar 2025 | L. Chen, Tax | Secondary |</w:t>
      </w:r>
    </w:p>
    <w:p>
      <w:pPr>
        <w:spacing w:after="120"/>
      </w:pPr>
      <w:r>
        <w:rPr>
          <w:rFonts w:ascii="Arial" w:cs="Arial" w:eastAsia="Arial" w:hAnsi="Arial"/>
          <w:sz w:val="22"/>
          <w:szCs w:val="22"/>
        </w:rPr>
        <w:t xml:space="preserve">Completeness check: 8 inputs documented ÷ 8 total inputs × 100% = 100%. All six KRDs are fully documented, satisfying the FMVA threshold.</w:t>
      </w:r>
    </w:p>
    <w:p>
      <w:pPr>
        <w:spacing w:after="120"/>
      </w:pPr>
      <w:r>
        <w:rPr>
          <w:rFonts w:ascii="Arial" w:cs="Arial" w:eastAsia="Arial" w:hAnsi="Arial"/>
          <w:sz w:val="22"/>
          <w:szCs w:val="22"/>
        </w:rPr>
        <w:t xml:space="preserve">Notice that the exit multiple is deliberately set 0.5× below entry. The owner sign-off column forces the analyst to confirm that a human being—not just a spreadsheet cell—is accountable for each number.</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The Data Dictionary</w:t>
      </w:r>
    </w:p>
    <w:p>
      <w:pPr>
        <w:spacing w:after="120"/>
      </w:pPr>
      <w:r>
        <w:rPr>
          <w:rFonts w:ascii="Arial" w:cs="Arial" w:eastAsia="Arial" w:hAnsi="Arial"/>
          <w:sz w:val="22"/>
          <w:szCs w:val="22"/>
        </w:rPr>
        <w:t xml:space="preserve">A data dictionary defines every named range, worksheet tab, and calculated metric in the model. When the model changes hands six months later, the incoming analyst should not need to reverse-engineer what rngEBITDABridge or the tab labeled CFSweep actually contains. Each entry should state the object name, its location (tab and cell reference), its data type (input, calculation, or output), units, and a plain-English description. For example: rngDebtSchedule — Tab: Debt, B12:H18 — Calculation — USD thousands — Annual beginning/ending balance, interest expense, and mandatory amortization for each tranche.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Formula Commentary and the Methodology Sheet</w:t>
      </w:r>
    </w:p>
    <w:p>
      <w:pPr>
        <w:spacing w:after="120"/>
      </w:pPr>
      <w:r>
        <w:rPr>
          <w:rFonts w:ascii="Arial" w:cs="Arial" w:eastAsia="Arial" w:hAnsi="Arial"/>
          <w:sz w:val="22"/>
          <w:szCs w:val="22"/>
        </w:rPr>
        <w:t xml:space="preserve">Non-obvious calculations must be explained at the point of use. In Excel, cell comments (or the newer Notes feature) work for isolated formulas. For anything structural—mid-year discounting convention, stub-period revenue recognition, or a PIK toggle—a dedicated Methodology sheet is cleaner and more auditable. Each entry should state the formula logic in words, cite the authoritative reference (e.g., Damodaran, CFA curriculum), and flag any simplifying assumption baked in.</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User Guide</w:t>
      </w:r>
    </w:p>
    <w:p>
      <w:pPr>
        <w:spacing w:after="120"/>
      </w:pPr>
      <w:r>
        <w:rPr>
          <w:rFonts w:ascii="Arial" w:cs="Arial" w:eastAsia="Arial" w:hAnsi="Arial"/>
          <w:sz w:val="22"/>
          <w:szCs w:val="22"/>
        </w:rPr>
        <w:t xml:space="preserve">The user guide answers four operational questions for anyone running the model:</w:t>
      </w:r>
    </w:p>
    <w:p>
      <w:pPr>
        <w:pStyle w:val="ListParagraph"/>
        <w:numPr>
          <w:ilvl w:val="0"/>
          <w:numId w:val="1"/>
        </w:numPr>
        <w:spacing w:after="40"/>
      </w:pPr>
      <w:r>
        <w:rPr>
          <w:rFonts w:ascii="Arial" w:cs="Arial" w:eastAsia="Arial" w:hAnsi="Arial"/>
          <w:sz w:val="22"/>
          <w:szCs w:val="22"/>
        </w:rPr>
        <w:t xml:space="preserve">How to update inputs — direct users to the color-coded Input sheet only; all hardcoded values are yellow-filled.</w:t>
      </w:r>
    </w:p>
    <w:p>
      <w:pPr>
        <w:pStyle w:val="ListParagraph"/>
        <w:numPr>
          <w:ilvl w:val="0"/>
          <w:numId w:val="1"/>
        </w:numPr>
        <w:spacing w:after="40"/>
      </w:pPr>
      <w:r>
        <w:rPr>
          <w:rFonts w:ascii="Arial" w:cs="Arial" w:eastAsia="Arial" w:hAnsi="Arial"/>
          <w:sz w:val="22"/>
          <w:szCs w:val="22"/>
        </w:rPr>
        <w:t xml:space="preserve">Which cells are locked — calculation and output sheets are protected; the password is held by the model owner.</w:t>
      </w:r>
    </w:p>
    <w:p>
      <w:pPr>
        <w:pStyle w:val="ListParagraph"/>
        <w:numPr>
          <w:ilvl w:val="0"/>
          <w:numId w:val="1"/>
        </w:numPr>
        <w:spacing w:after="40"/>
      </w:pPr>
      <w:r>
        <w:rPr>
          <w:rFonts w:ascii="Arial" w:cs="Arial" w:eastAsia="Arial" w:hAnsi="Arial"/>
          <w:sz w:val="22"/>
          <w:szCs w:val="22"/>
        </w:rPr>
        <w:t xml:space="preserve">How to run scenarios — toggle the Scenario dropdown (cell B3, Dashboard tab) between Base, Upside, and Downside; the model auto-populates via INDEX/MATCH from the Scenario table.</w:t>
      </w:r>
    </w:p>
    <w:p>
      <w:pPr>
        <w:pStyle w:val="ListParagraph"/>
        <w:numPr>
          <w:ilvl w:val="0"/>
          <w:numId w:val="1"/>
        </w:numPr>
        <w:spacing w:after="40"/>
      </w:pPr>
      <w:r>
        <w:rPr>
          <w:rFonts w:ascii="Arial" w:cs="Arial" w:eastAsia="Arial" w:hAnsi="Arial"/>
          <w:sz w:val="22"/>
          <w:szCs w:val="22"/>
        </w:rPr>
        <w:t xml:space="preserve">Known limitations — this is a professional obligation, not optional.</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Limitations Disclosure</w:t>
      </w:r>
    </w:p>
    <w:p>
      <w:pPr>
        <w:spacing w:after="120"/>
      </w:pPr>
      <w:r>
        <w:rPr>
          <w:rFonts w:ascii="Arial" w:cs="Arial" w:eastAsia="Arial" w:hAnsi="Arial"/>
          <w:sz w:val="22"/>
          <w:szCs w:val="22"/>
        </w:rPr>
        <w:t xml:space="preserve">Every model simplifies reality. Document those simplifications explicitly. Common examples for an LBO model include: WACC held constant across all five projection years (ignores deleveraging effect on cost of equity); no working capital seasonality (monthly cash needs may differ materially from annual averages); single blended tax rate (ignores NOL utilization timing); and exit multiple treated as a point estimate rather than a distribution.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document inputs but omit the limitations section, treating it as optional boilerplate. Omitting limitations disclosure is both an audit failure and a professional liability—if a client relies on an undisclosed simplification and suffers a loss, the documentation gap becomes a legal exposure.</w:t>
            </w:r>
          </w:p>
        </w:tc>
      </w:tr>
    </w:tbl>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The Reproducibility Test</w:t>
      </w:r>
    </w:p>
    <w:p>
      <w:pPr>
        <w:spacing w:after="120"/>
      </w:pPr>
      <w:r>
        <w:rPr>
          <w:rFonts w:ascii="Arial" w:cs="Arial" w:eastAsia="Arial" w:hAnsi="Arial"/>
          <w:sz w:val="22"/>
          <w:szCs w:val="22"/>
        </w:rPr>
        <w:t xml:space="preserve">Before finalizing any model package, apply the 30-minute reproducibility test: hand the documentation—assumption log, data dictionary, methodology sheet, and user guide—to a qualified colleague who has never seen the model. They should be able to re-derive the headline IRR and MoIC within 30 minutes using only those documents. If they cannot, the documentation is incomplete regardless of what the completeness score says. This test is the practical gold standard for model audit readiness.</w:t>
      </w:r>
    </w:p>
    <w:p>
      <w:pPr>
        <w:pStyle w:val="Heading1"/>
        <w:spacing w:after="120" w:before="340"/>
      </w:pPr>
      <w:r>
        <w:rPr>
          <w:rFonts w:ascii="Arial" w:cs="Arial" w:eastAsia="Arial" w:hAnsi="Arial"/>
          <w:b/>
          <w:bCs/>
          <w:color w:val="B45309"/>
          <w:sz w:val="32"/>
          <w:szCs w:val="32"/>
        </w:rPr>
        <w:t xml:space="preserve">Applying the Financial Modelers' Manifesto: Epistemic Humility and Ethical Obligations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Each pass isolates a distinct failure mode; skipping passes defeats systematic logic</w:t>
      </w:r>
    </w:p>
    <w:p>
      <w:pPr>
        <w:spacing w:after="120"/>
      </w:pPr>
      <w:r>
        <w:rPr>
          <w:rFonts w:ascii="Arial" w:cs="Arial" w:eastAsia="Arial" w:hAnsi="Arial"/>
          <w:sz w:val="22"/>
          <w:szCs w:val="22"/>
        </w:rPr>
        <w:t xml:space="preserve">Models are not telescopes pointed at financial reality — they are maps drawn with assumptions baked into every contour line. The Financial Modelers' Manifesto, authored by Emanuel Derman and Paul Wilmott in 2009, makes this point with unusual directness: a financial model is an analogy, not a physical law. Gravity works the same way whether or not you believe in it; a discounted cash flow model works only as well as its assumptions hold, and those assumptions are always contestable. For exam purposes and for professional practice, this distinction is foundational.</w:t>
      </w:r>
    </w:p>
    <w:p>
      <w:pPr>
        <w:pStyle w:val="Heading2"/>
        <w:spacing w:after="80" w:before="220"/>
      </w:pPr>
      <w:r>
        <w:rPr>
          <w:rFonts w:ascii="Arial" w:cs="Arial" w:eastAsia="Arial" w:hAnsi="Arial"/>
          <w:b/>
          <w:bCs/>
          <w:color w:val="1C1917"/>
          <w:sz w:val="25"/>
          <w:szCs w:val="25"/>
        </w:rPr>
        <w:t xml:space="preserve">The Epistemic Framework: Four Voices You Must Know</w:t>
      </w:r>
    </w:p>
    <w:p>
      <w:pPr>
        <w:spacing w:after="120"/>
      </w:pPr>
      <w:r>
        <w:rPr>
          <w:rFonts w:ascii="Arial" w:cs="Arial" w:eastAsia="Arial" w:hAnsi="Arial"/>
          <w:sz w:val="22"/>
          <w:szCs w:val="22"/>
        </w:rPr>
        <w:t xml:space="preserve">Derman and Wilmott insist that every model output must be accompanied by explicit uncertainty bounds. Presenting a single point estimate — a "$50 per share" valuation with no range — is not a conservative act of precision; it is a professional failure that misleads decision-makers about the nature of the estimate.</w:t>
      </w:r>
    </w:p>
    <w:p>
      <w:pPr>
        <w:spacing w:after="120"/>
      </w:pPr>
      <w:r>
        <w:rPr>
          <w:rFonts w:ascii="Arial" w:cs="Arial" w:eastAsia="Arial" w:hAnsi="Arial"/>
          <w:sz w:val="22"/>
          <w:szCs w:val="22"/>
        </w:rPr>
        <w:t xml:space="preserve">Nassim Taleb extends this critique into the distributional domain. Standard models embed a normal-distribution assumption that systematically underestimates the probability of extreme outcomes. Fat tails and black swan events — low-probability, high-consequence shocks — occur far more frequently than a Gaussian framework predicts. Any model that uses historical standard deviations to bound its worst-case scenario is already miscalibrated for the events that matter most.</w:t>
      </w:r>
    </w:p>
    <w:p>
      <w:pPr>
        <w:spacing w:after="120"/>
      </w:pPr>
      <w:r>
        <w:rPr>
          <w:rFonts w:ascii="Arial" w:cs="Arial" w:eastAsia="Arial" w:hAnsi="Arial"/>
          <w:sz w:val="22"/>
          <w:szCs w:val="22"/>
        </w:rPr>
        <w:t xml:space="preserve">Benoit Mandelbrot demonstrated through fractal finance that financial returns exhibit volatility clustering: large moves tend to follow large moves, and calm periods cluster similarly. This directly violates the i.i.d. (independent and identically distributed) assumption embedded in most DCF terminal value calculations and Black-Scholes options pricing. When volatility is not constant and not independent across time, the model's confidence intervals are structurally too narrow.</w:t>
      </w:r>
    </w:p>
    <w:p>
      <w:pPr>
        <w:spacing w:after="120"/>
      </w:pPr>
      <w:r>
        <w:rPr>
          <w:rFonts w:ascii="Arial" w:cs="Arial" w:eastAsia="Arial" w:hAnsi="Arial"/>
          <w:sz w:val="22"/>
          <w:szCs w:val="22"/>
        </w:rPr>
        <w:t xml:space="preserve">George Box provides the unifying principle: "All models are wrong, but some are useful." The audit goal is therefore not to find a perfect model — none exists — but to assess fitness for purpose within clearly stated limitations.</w:t>
      </w:r>
    </w:p>
    <w:p>
      <w:pPr>
        <w:pStyle w:val="Heading2"/>
        <w:spacing w:after="80" w:before="220"/>
      </w:pPr>
      <w:r>
        <w:rPr>
          <w:rFonts w:ascii="Arial" w:cs="Arial" w:eastAsia="Arial" w:hAnsi="Arial"/>
          <w:b/>
          <w:bCs/>
          <w:color w:val="1C1917"/>
          <w:sz w:val="25"/>
          <w:szCs w:val="25"/>
        </w:rPr>
        <w:t xml:space="preserve">The Ethical Obligation of Disclosure</w:t>
      </w:r>
    </w:p>
    <w:p>
      <w:pPr>
        <w:spacing w:after="120"/>
      </w:pPr>
      <w:r>
        <w:rPr>
          <w:rFonts w:ascii="Arial" w:cs="Arial" w:eastAsia="Arial" w:hAnsi="Arial"/>
          <w:sz w:val="22"/>
          <w:szCs w:val="22"/>
        </w:rPr>
        <w:t xml:space="preserve">An analyst who hands a board a single valuation number without a range has committed a disclosure failure. Ethical standards require that model limitations be communicated explicitly to every decision-maker who will act on the output. This includes naming the structural assumptions that drive the result, quantifying sensitivity to those assumptions, and flagging the conditions under which the model breaks down entirely.</w:t>
      </w:r>
    </w:p>
    <w:p>
      <w:pPr>
        <w:pStyle w:val="Heading2"/>
        <w:spacing w:after="80" w:before="220"/>
      </w:pPr>
      <w:r>
        <w:rPr>
          <w:rFonts w:ascii="Arial" w:cs="Arial" w:eastAsia="Arial" w:hAnsi="Arial"/>
          <w:b/>
          <w:bCs/>
          <w:color w:val="1C1917"/>
          <w:sz w:val="25"/>
          <w:szCs w:val="25"/>
        </w:rPr>
        <w:t xml:space="preserve">Key Formula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Model Uncertainty Range = [Output(pessimistic KRD set), Output(optimistic KRD set)]</w:t>
            </w:r>
          </w:p>
        </w:tc>
      </w:tr>
    </w:tbl>
    <w:p>
      <w:pPr>
        <w:spacing w:after="120"/>
      </w:pPr>
      <w:r>
        <w:rPr>
          <w:rFonts w:ascii="Arial" w:cs="Arial" w:eastAsia="Arial" w:hAnsi="Arial"/>
          <w:sz w:val="22"/>
          <w:szCs w:val="22"/>
        </w:rPr>
        <w:t xml:space="preserve">Never report a single point estimate without this interval in a professional deliverable.</w:t>
      </w:r>
    </w:p>
    <w:p>
      <w:pPr>
        <w:pStyle w:val="Heading2"/>
        <w:spacing w:after="80" w:before="220"/>
      </w:pPr>
      <w:r>
        <w:rPr>
          <w:rFonts w:ascii="Arial" w:cs="Arial" w:eastAsia="Arial" w:hAnsi="Arial"/>
          <w:b/>
          <w:bCs/>
          <w:color w:val="1C1917"/>
          <w:sz w:val="25"/>
          <w:szCs w:val="25"/>
        </w:rPr>
        <w:t xml:space="preserve">Worked Example: DCF Limitations Disclosure</w:t>
      </w:r>
    </w:p>
    <w:p>
      <w:pPr>
        <w:spacing w:after="120"/>
      </w:pPr>
      <w:r>
        <w:rPr>
          <w:rFonts w:ascii="Arial" w:cs="Arial" w:eastAsia="Arial" w:hAnsi="Arial"/>
          <w:sz w:val="22"/>
          <w:szCs w:val="22"/>
        </w:rPr>
        <w:t xml:space="preserve">A junior analyst completes a DCF and reports an equity value of $50.00 per share. The model uses a constant WACC of 9%, a terminal growth rate equal to long-run GDP of 2.5%, and produces no scenario weighting across economic states. A model audit requires identifying structural assumptions and quantifying the valuation range when each is relaxed by one standard deviation.</w:t>
      </w:r>
    </w:p>
    <w:p>
      <w:pPr>
        <w:spacing w:after="120"/>
      </w:pPr>
      <w:r>
        <w:rPr>
          <w:rFonts w:ascii="Arial" w:cs="Arial" w:eastAsia="Arial" w:hAnsi="Arial"/>
          <w:sz w:val="22"/>
          <w:szCs w:val="22"/>
        </w:rPr>
        <w:t xml:space="preserve">Step 1 — Identify the three key assumptions and their standard deviations.</w:t>
      </w:r>
    </w:p>
    <w:p>
      <w:pPr>
        <w:spacing w:after="120"/>
      </w:pPr>
      <w:r>
        <w:rPr>
          <w:rFonts w:ascii="Arial" w:cs="Arial" w:eastAsia="Arial" w:hAnsi="Arial"/>
          <w:sz w:val="22"/>
          <w:szCs w:val="22"/>
        </w:rPr>
        <w:t xml:space="preserve">| Assumption | Base Case | 1 SD Pessimistic | 1 SD Optimistic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WACC | 9.0% | +1.5% → 10.5% | −1.5% → 7.5% |</w:t>
      </w:r>
    </w:p>
    <w:p>
      <w:pPr>
        <w:spacing w:after="120"/>
      </w:pPr>
      <w:r>
        <w:rPr>
          <w:rFonts w:ascii="Arial" w:cs="Arial" w:eastAsia="Arial" w:hAnsi="Arial"/>
          <w:sz w:val="22"/>
          <w:szCs w:val="22"/>
        </w:rPr>
        <w:t xml:space="preserve">| Terminal growth rate | 2.5% | −0.8% → 1.7% | +0.8% → 3.3% |</w:t>
      </w:r>
    </w:p>
    <w:p>
      <w:pPr>
        <w:spacing w:after="120"/>
      </w:pPr>
      <w:r>
        <w:rPr>
          <w:rFonts w:ascii="Arial" w:cs="Arial" w:eastAsia="Arial" w:hAnsi="Arial"/>
          <w:sz w:val="22"/>
          <w:szCs w:val="22"/>
        </w:rPr>
        <w:t xml:space="preserve">| Scenario weighting | None (implicitly 100% base) | 30% recession weight applied | 30% upside weight applied |</w:t>
      </w:r>
    </w:p>
    <w:p>
      <w:pPr>
        <w:spacing w:after="120"/>
      </w:pPr>
      <w:r>
        <w:rPr>
          <w:rFonts w:ascii="Arial" w:cs="Arial" w:eastAsia="Arial" w:hAnsi="Arial"/>
          <w:sz w:val="22"/>
          <w:szCs w:val="22"/>
        </w:rPr>
        <w:t xml:space="preserve">Step 2 — Recalculate equity value under each stressed assumption independently.</w:t>
      </w:r>
    </w:p>
    <w:p>
      <w:pPr>
        <w:spacing w:after="120"/>
      </w:pPr>
      <w:r>
        <w:rPr>
          <w:rFonts w:ascii="Arial" w:cs="Arial" w:eastAsia="Arial" w:hAnsi="Arial"/>
          <w:sz w:val="22"/>
          <w:szCs w:val="22"/>
        </w:rPr>
        <w:t xml:space="preserve">Using the Gordon Growth Model component of the terminal value, TV = FCF × (1 + g) / (WACC − g):</w:t>
      </w:r>
    </w:p>
    <w:p>
      <w:pPr>
        <w:pStyle w:val="ListParagraph"/>
        <w:numPr>
          <w:ilvl w:val="0"/>
          <w:numId w:val="1"/>
        </w:numPr>
        <w:spacing w:after="40"/>
      </w:pPr>
      <w:r>
        <w:rPr>
          <w:rFonts w:ascii="Arial" w:cs="Arial" w:eastAsia="Arial" w:hAnsi="Arial"/>
          <w:sz w:val="22"/>
          <w:szCs w:val="22"/>
        </w:rPr>
        <w:t xml:space="preserve">WACC rises to 10.5%, g held at 2.5%: The WACC–g spread widens from 6.5% to 8.0%, compressing terminal value by roughly 19%. Equity value falls to approximately $42.00.</w:t>
      </w:r>
    </w:p>
    <w:p>
      <w:pPr>
        <w:pStyle w:val="ListParagraph"/>
        <w:numPr>
          <w:ilvl w:val="0"/>
          <w:numId w:val="1"/>
        </w:numPr>
        <w:spacing w:after="40"/>
      </w:pPr>
      <w:r>
        <w:rPr>
          <w:rFonts w:ascii="Arial" w:cs="Arial" w:eastAsia="Arial" w:hAnsi="Arial"/>
          <w:sz w:val="22"/>
          <w:szCs w:val="22"/>
        </w:rPr>
        <w:t xml:space="preserve">WACC falls to 7.5%, g held at 2.5%: Spread narrows from 6.5% to 5.0%, expanding terminal value by roughly 30%. Equity value rises to approximately $63.00.</w:t>
      </w:r>
    </w:p>
    <w:p>
      <w:pPr>
        <w:pStyle w:val="ListParagraph"/>
        <w:numPr>
          <w:ilvl w:val="0"/>
          <w:numId w:val="1"/>
        </w:numPr>
        <w:spacing w:after="40"/>
      </w:pPr>
      <w:r>
        <w:rPr>
          <w:rFonts w:ascii="Arial" w:cs="Arial" w:eastAsia="Arial" w:hAnsi="Arial"/>
          <w:sz w:val="22"/>
          <w:szCs w:val="22"/>
        </w:rPr>
        <w:t xml:space="preserve">Terminal growth drops to 1.7%: Equity value falls to approximately $44.00.</w:t>
      </w:r>
    </w:p>
    <w:p>
      <w:pPr>
        <w:pStyle w:val="ListParagraph"/>
        <w:numPr>
          <w:ilvl w:val="0"/>
          <w:numId w:val="1"/>
        </w:numPr>
        <w:spacing w:after="40"/>
      </w:pPr>
      <w:r>
        <w:rPr>
          <w:rFonts w:ascii="Arial" w:cs="Arial" w:eastAsia="Arial" w:hAnsi="Arial"/>
          <w:sz w:val="22"/>
          <w:szCs w:val="22"/>
        </w:rPr>
        <w:t xml:space="preserve">Terminal growth rises to 3.3%: Equity value rises to approximately $61.00.</w:t>
      </w:r>
    </w:p>
    <w:p>
      <w:pPr>
        <w:pStyle w:val="ListParagraph"/>
        <w:numPr>
          <w:ilvl w:val="0"/>
          <w:numId w:val="1"/>
        </w:numPr>
        <w:spacing w:after="40"/>
      </w:pPr>
      <w:r>
        <w:rPr>
          <w:rFonts w:ascii="Arial" w:cs="Arial" w:eastAsia="Arial" w:hAnsi="Arial"/>
          <w:sz w:val="22"/>
          <w:szCs w:val="22"/>
        </w:rPr>
        <w:t xml:space="preserve">Recession scenario weighted at 30% (recession value estimated at $32): Blended value = 0.70 × $50 + 0.30 × $32 = $44.60.</w:t>
      </w:r>
    </w:p>
    <w:p>
      <w:pPr>
        <w:spacing w:after="120"/>
      </w:pPr>
      <w:r>
        <w:rPr>
          <w:rFonts w:ascii="Arial" w:cs="Arial" w:eastAsia="Arial" w:hAnsi="Arial"/>
          <w:sz w:val="22"/>
          <w:szCs w:val="22"/>
        </w:rPr>
        <w:t xml:space="preserve">Step 3 — Construct the uncertainty range.</w:t>
      </w:r>
    </w:p>
    <w:p>
      <w:pPr>
        <w:spacing w:after="120"/>
      </w:pPr>
      <w:r>
        <w:rPr>
          <w:rFonts w:ascii="Arial" w:cs="Arial" w:eastAsia="Arial" w:hAnsi="Arial"/>
          <w:sz w:val="22"/>
          <w:szCs w:val="22"/>
        </w:rPr>
        <w:t xml:space="preserve">Combining the pessimistic KRD set (high WACC, low growth, recession weighting): approximately $38–$42.</w:t>
      </w:r>
    </w:p>
    <w:p>
      <w:pPr>
        <w:spacing w:after="120"/>
      </w:pPr>
      <w:r>
        <w:rPr>
          <w:rFonts w:ascii="Arial" w:cs="Arial" w:eastAsia="Arial" w:hAnsi="Arial"/>
          <w:sz w:val="22"/>
          <w:szCs w:val="22"/>
        </w:rPr>
        <w:t xml:space="preserve">Combining the optimistic KRD set: approximately $61–$65.</w:t>
      </w:r>
    </w:p>
    <w:p>
      <w:pPr>
        <w:spacing w:after="120"/>
      </w:pPr>
      <w:r>
        <w:rPr>
          <w:rFonts w:ascii="Arial" w:cs="Arial" w:eastAsia="Arial" w:hAnsi="Arial"/>
          <w:sz w:val="22"/>
          <w:szCs w:val="22"/>
        </w:rPr>
        <w:t xml:space="preserve">Step 4 — Write the disclosure statement.</w:t>
      </w:r>
    </w:p>
    <w:p>
      <w:pPr>
        <w:spacing w:after="120"/>
      </w:pPr>
      <w:r>
        <w:rPr>
          <w:rFonts w:ascii="Arial" w:cs="Arial" w:eastAsia="Arial" w:hAnsi="Arial"/>
          <w:sz w:val="22"/>
          <w:szCs w:val="22"/>
        </w:rPr>
        <w:t xml:space="preserve">"The base-case DCF yields $50.00 per share. This estimate assumes a constant WACC of 9.0% (ignoring term-structure variation and credit spread volatility), a terminal growth rate equal to nominal GDP (which may not reflect secular demand shifts), and no probability weighting across economic scenarios. Relaxing each assumption by one standard deviation produces a valuation range of approximately $38 to $65. This range does not capture tail events identified by fat-tailed return distributions or volatility clustering effects. Decision-makers should treat $50 as the center of a wide distribution, not a precise forecast."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Candidates often identify model limitations qualitatively but fail to quantify the impact. Saying "WACC uncertainty could affect the valuation" earns partial credit at best. The examiner wants to see the recalculated output — a number — demonstrating how much the assumption matters. Always run the stressed case and report the resulting range.</w:t>
            </w:r>
          </w:p>
        </w:tc>
      </w:tr>
    </w:tbl>
    <w:p>
      <w:pPr>
        <w:pStyle w:val="Heading2"/>
        <w:spacing w:after="80" w:before="220"/>
      </w:pPr>
      <w:r>
        <w:rPr>
          <w:rFonts w:ascii="Arial" w:cs="Arial" w:eastAsia="Arial" w:hAnsi="Arial"/>
          <w:b/>
          <w:bCs/>
          <w:color w:val="1C1917"/>
          <w:sz w:val="25"/>
          <w:szCs w:val="25"/>
        </w:rPr>
        <w:t xml:space="preserve">Exam Application Rule</w:t>
      </w:r>
    </w:p>
    <w:p>
      <w:pPr>
        <w:spacing w:after="120"/>
      </w:pPr>
      <w:r>
        <w:rPr>
          <w:rFonts w:ascii="Arial" w:cs="Arial" w:eastAsia="Arial" w:hAnsi="Arial"/>
          <w:sz w:val="22"/>
          <w:szCs w:val="22"/>
        </w:rPr>
        <w:t xml:space="preserve">When any exam question asks you to evaluate a model's output, your answer must identify at least two structural assumptions that could invalidate the result under stress conditions, and you must explain the directional impact of each. Epistemic humility is not vagueness — it is disciplined, quantified acknowledgment of what the model cannot see.</w:t>
      </w:r>
    </w:p>
    <w:p>
      <w:pPr>
        <w:pStyle w:val="Heading1"/>
        <w:spacing w:after="120" w:before="340"/>
      </w:pPr>
      <w:r>
        <w:rPr>
          <w:rFonts w:ascii="Arial" w:cs="Arial" w:eastAsia="Arial" w:hAnsi="Arial"/>
          <w:b/>
          <w:bCs/>
          <w:color w:val="B45309"/>
          <w:sz w:val="32"/>
          <w:szCs w:val="32"/>
        </w:rPr>
        <w:t xml:space="preserve">Glossary</w:t>
      </w:r>
    </w:p>
    <w:p>
      <w:pPr>
        <w:pStyle w:val="ListParagraph"/>
        <w:numPr>
          <w:ilvl w:val="0"/>
          <w:numId w:val="1"/>
        </w:numPr>
        <w:spacing w:after="40"/>
      </w:pPr>
      <w:r>
        <w:rPr>
          <w:rFonts w:ascii="Arial" w:cs="Arial" w:eastAsia="Arial" w:hAnsi="Arial"/>
          <w:sz w:val="22"/>
          <w:szCs w:val="22"/>
        </w:rPr>
        <w:t xml:space="preserve">Spreadsheet Risk — Probability of material error arising from spreadsheet design, formula mistakes, or misuse.</w:t>
      </w:r>
    </w:p>
    <w:p>
      <w:pPr>
        <w:pStyle w:val="ListParagraph"/>
        <w:numPr>
          <w:ilvl w:val="0"/>
          <w:numId w:val="1"/>
        </w:numPr>
        <w:spacing w:after="40"/>
      </w:pPr>
      <w:r>
        <w:rPr>
          <w:rFonts w:ascii="Arial" w:cs="Arial" w:eastAsia="Arial" w:hAnsi="Arial"/>
          <w:sz w:val="22"/>
          <w:szCs w:val="22"/>
        </w:rPr>
        <w:t xml:space="preserve">Model Audit — Systematic independent review of a financial model's structure, inputs, logic, and outputs.</w:t>
      </w:r>
    </w:p>
    <w:p>
      <w:pPr>
        <w:pStyle w:val="ListParagraph"/>
        <w:numPr>
          <w:ilvl w:val="0"/>
          <w:numId w:val="1"/>
        </w:numPr>
        <w:spacing w:after="40"/>
      </w:pPr>
      <w:r>
        <w:rPr>
          <w:rFonts w:ascii="Arial" w:cs="Arial" w:eastAsia="Arial" w:hAnsi="Arial"/>
          <w:sz w:val="22"/>
          <w:szCs w:val="22"/>
        </w:rPr>
        <w:t xml:space="preserve">Hard-Coded Value — A numeric constant embedded directly in a formula cell rather than referenced from an input cell.</w:t>
      </w:r>
    </w:p>
    <w:p>
      <w:pPr>
        <w:pStyle w:val="ListParagraph"/>
        <w:numPr>
          <w:ilvl w:val="0"/>
          <w:numId w:val="1"/>
        </w:numPr>
        <w:spacing w:after="40"/>
      </w:pPr>
      <w:r>
        <w:rPr>
          <w:rFonts w:ascii="Arial" w:cs="Arial" w:eastAsia="Arial" w:hAnsi="Arial"/>
          <w:sz w:val="22"/>
          <w:szCs w:val="22"/>
        </w:rPr>
        <w:t xml:space="preserve">Key Risk Driver (KRD) — An input assumption whose small change produces disproportionately large change in model output.</w:t>
      </w:r>
    </w:p>
    <w:p>
      <w:pPr>
        <w:pStyle w:val="ListParagraph"/>
        <w:numPr>
          <w:ilvl w:val="0"/>
          <w:numId w:val="1"/>
        </w:numPr>
        <w:spacing w:after="40"/>
      </w:pPr>
      <w:r>
        <w:rPr>
          <w:rFonts w:ascii="Arial" w:cs="Arial" w:eastAsia="Arial" w:hAnsi="Arial"/>
          <w:sz w:val="22"/>
          <w:szCs w:val="22"/>
        </w:rPr>
        <w:t xml:space="preserve">Model Risk — Risk of financial loss or misstatement from errors, limitations, or misuse of a financial model.</w:t>
      </w:r>
    </w:p>
    <w:p>
      <w:pPr>
        <w:pStyle w:val="ListParagraph"/>
        <w:numPr>
          <w:ilvl w:val="0"/>
          <w:numId w:val="1"/>
        </w:numPr>
        <w:spacing w:after="40"/>
      </w:pPr>
      <w:r>
        <w:rPr>
          <w:rFonts w:ascii="Arial" w:cs="Arial" w:eastAsia="Arial" w:hAnsi="Arial"/>
          <w:sz w:val="22"/>
          <w:szCs w:val="22"/>
        </w:rPr>
        <w:t xml:space="preserve">Monte Carlo Simulation — Technique generating thousands of random input scenarios to produce a probability distribution of outputs.</w:t>
      </w:r>
    </w:p>
    <w:p>
      <w:pPr>
        <w:pStyle w:val="ListParagraph"/>
        <w:numPr>
          <w:ilvl w:val="0"/>
          <w:numId w:val="1"/>
        </w:numPr>
        <w:spacing w:after="40"/>
      </w:pPr>
      <w:r>
        <w:rPr>
          <w:rFonts w:ascii="Arial" w:cs="Arial" w:eastAsia="Arial" w:hAnsi="Arial"/>
          <w:sz w:val="22"/>
          <w:szCs w:val="22"/>
        </w:rPr>
        <w:t xml:space="preserve">Assumption Log — Tabular record documenting each model input's value, source, date, and responsible owner.</w:t>
      </w:r>
    </w:p>
    <w:p>
      <w:pPr>
        <w:pStyle w:val="ListParagraph"/>
        <w:numPr>
          <w:ilvl w:val="0"/>
          <w:numId w:val="1"/>
        </w:numPr>
        <w:spacing w:after="40"/>
      </w:pPr>
      <w:r>
        <w:rPr>
          <w:rFonts w:ascii="Arial" w:cs="Arial" w:eastAsia="Arial" w:hAnsi="Arial"/>
          <w:sz w:val="22"/>
          <w:szCs w:val="22"/>
        </w:rPr>
        <w:t xml:space="preserve">Independent Validation — Review of a model by a qualified party uninvolved in its original construction, to verify integrity.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1f16d35f296dc19ae6b6e82b057060bf8914ef.png"/><Relationship Id="rId10" Type="http://schemas.openxmlformats.org/officeDocument/2006/relationships/image" Target="media/9998508c9d8313d365e4a86c0b40f1f1521015d0.png"/><Relationship Id="rId11" Type="http://schemas.openxmlformats.org/officeDocument/2006/relationships/image" Target="media/eb855de1643475ccd4400bdd0750e80b7f8afb4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2026-07-09T20:51:04.925Z</dcterms:created>
  <dcterms:modified xsi:type="dcterms:W3CDTF">2026-07-09T20:51:04.925Z</dcterms:modified>
</cp:coreProperties>
</file>

<file path=docProps/custom.xml><?xml version="1.0" encoding="utf-8"?>
<Properties xmlns="http://schemas.openxmlformats.org/officeDocument/2006/custom-properties" xmlns:vt="http://schemas.openxmlformats.org/officeDocument/2006/docPropsVTypes"/>
</file>