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b/>
          <w:sz w:val="36"/>
          <w:color w:val="10B981"/>
        </w:rPr>
        <w:t>Week 2: The Columbian Exchange &amp; Modernization</w:t>
      </w:r>
    </w:p>
    <w:p>
      <w:pPr>
        <w:jc w:val="center"/>
      </w:pPr>
      <w:r>
        <w:rPr>
          <w:i/>
          <w:sz w:val="24"/>
          <w:color w:val="6B7280"/>
        </w:rPr>
        <w:t>Comprehensive Academic Lecture Notes (TR &amp; EN)</w:t>
      </w:r>
    </w:p>
    <w:p/>
    <w:p>
      <w:pPr>
        <w:spacing w:before="240" w:after="120"/>
      </w:pPr>
      <w:r>
        <w:rPr>
          <w:b/>
          <w:sz w:val="28"/>
          <w:color w:val="1F2937"/>
        </w:rPr>
        <w:t>1. Historical &amp; Historiographical Introduction</w:t>
      </w:r>
    </w:p>
    <w:p>
      <w:pPr>
        <w:spacing w:after="120"/>
        <w:line w:line="276" w:lineRule="auto"/>
      </w:pPr>
      <w:r>
        <w:rPr>
          <w:b/>
          <w:sz w:val="22"/>
        </w:rPr>
        <w:t>Course Context:</w:t>
      </w:r>
      <w:r>
        <w:rPr>
          <w:sz w:val="22"/>
        </w:rPr>
        <w:t> This lecture explores the fundamental historical link between global modernization and Westernization, identifying the colonization of the Americas and entry into Asian maritime trade as the primary engines of Europe's long-term economic rise.</w:t>
      </w:r>
    </w:p>
    <w:p>
      <w:pPr>
        <w:spacing w:after="120"/>
        <w:line w:line="276" w:lineRule="auto"/>
      </w:pPr>
      <w:r>
        <w:rPr>
          <w:b/>
          <w:sz w:val="22"/>
        </w:rPr>
        <w:t>Engine of European Expansion:</w:t>
      </w:r>
      <w:r>
        <w:rPr>
          <w:sz w:val="22"/>
        </w:rPr>
        <w:t> Europe's rise was not an isolated internal miracle. Rather, it was driven by Europe's domination of the Americas and entry into maritime Asia, which funneled unprecedented ecological wealth, cash crops, precious metals, and commercial outlets into Western Europe.</w:t>
      </w:r>
    </w:p>
    <w:p>
      <w:pPr>
        <w:spacing w:after="120"/>
        <w:line w:line="276" w:lineRule="auto"/>
      </w:pPr>
      <w:r>
        <w:rPr>
          <w:b/>
          <w:sz w:val="22"/>
        </w:rPr>
        <w:t>Columbian Exchange Defined:</w:t>
      </w:r>
      <w:r>
        <w:rPr>
          <w:sz w:val="22"/>
        </w:rPr>
        <w:t> Coined by historian Alfred Crosby (1972), the Columbian Exchange refers to the massive transfer of diseases, food crops, animal species, human populations, and cultural practices between the New World (Americas) and the Old World (Afro-Eurasia) following Christopher Columbus's 1492 transatlantic voyage.</w:t>
      </w:r>
    </w:p>
    <w:p>
      <w:pPr>
        <w:spacing w:before="240" w:after="120"/>
      </w:pPr>
      <w:r>
        <w:rPr>
          <w:b/>
          <w:sz w:val="28"/>
          <w:color w:val="1F2937"/>
        </w:rPr>
        <w:t>2. Navigational Breakthroughs &amp; Trade Fleets</w:t>
      </w:r>
    </w:p>
    <w:p>
      <w:pPr>
        <w:spacing w:after="120"/>
        <w:line w:line="276" w:lineRule="auto"/>
      </w:pPr>
      <w:r>
        <w:rPr>
          <w:b/>
          <w:sz w:val="22"/>
        </w:rPr>
        <w:t>Bypassing Ottoman Trade Routes:</w:t>
      </w:r>
      <w:r>
        <w:rPr>
          <w:sz w:val="22"/>
        </w:rPr>
        <w:t> European exploration was spurred by Iberian voyages seeking alternative commercial routes beyond the Mediterranean, which was controlled by the Ottoman Empire.</w:t>
      </w:r>
    </w:p>
    <w:p>
      <w:pPr>
        <w:spacing w:after="120"/>
        <w:line w:line="276" w:lineRule="auto"/>
      </w:pPr>
      <w:r>
        <w:rPr>
          <w:b/>
          <w:sz w:val="22"/>
        </w:rPr>
        <w:t>The Allure of Wealthy Asian Economies:</w:t>
      </w:r>
      <w:r>
        <w:rPr>
          <w:sz w:val="22"/>
        </w:rPr>
        <w:t> European voyages targeted Asian markets (China and India) because Asian economies produced luxury goods Europeans could not replicate—such as fine printed cottons from India and porcelain/silks from China.</w:t>
      </w:r>
    </w:p>
    <w:p>
      <w:pPr>
        <w:spacing w:after="120"/>
        <w:line w:line="276" w:lineRule="auto"/>
      </w:pPr>
      <w:r>
        <w:rPr>
          <w:b/>
          <w:sz w:val="22"/>
        </w:rPr>
        <w:t>Wind Systems &amp; Gulf Stream:</w:t>
      </w:r>
      <w:r>
        <w:rPr>
          <w:sz w:val="22"/>
        </w:rPr>
        <w:t> Charting the Gulf Stream in 1513 completed the Atlantic navigation loop: ships utilized easterly trade winds to reach the Caribbean and northern westerlies to return safely to Europe.</w:t>
      </w:r>
    </w:p>
    <w:p>
      <w:pPr>
        <w:spacing w:after="120"/>
        <w:line w:line="276" w:lineRule="auto"/>
      </w:pPr>
      <w:r>
        <w:rPr>
          <w:b/>
          <w:sz w:val="22"/>
        </w:rPr>
        <w:t>Spanish Silver &amp; Treasure Fleets:</w:t>
      </w:r>
      <w:r>
        <w:rPr>
          <w:sz w:val="22"/>
        </w:rPr>
        <w:t> Conquests of the Aztec and Inca empires funneled massive silver extractions from Potosí and Zacatecas via the Flotas de Indias convoy system into Seville, injecting liquidity across Europe while triggering the Price Revolution.</w:t>
      </w:r>
    </w:p>
    <w:p>
      <w:pPr>
        <w:spacing w:before="240" w:after="120"/>
      </w:pPr>
      <w:r>
        <w:rPr>
          <w:b/>
          <w:sz w:val="28"/>
          <w:color w:val="1F2937"/>
        </w:rPr>
        <w:t>3. Ecological, Agricultural &amp; Demographic Impacts</w:t>
      </w:r>
    </w:p>
    <w:p>
      <w:pPr>
        <w:spacing w:after="120"/>
        <w:line w:line="276" w:lineRule="auto"/>
      </w:pPr>
      <w:r>
        <w:rPr>
          <w:b/>
          <w:sz w:val="22"/>
        </w:rPr>
        <w:t>New World Staples:</w:t>
      </w:r>
      <w:r>
        <w:rPr>
          <w:sz w:val="22"/>
        </w:rPr>
        <w:t> The Old World gained potatoes, sweet potatoes, maize, and cassava. Non-staples like tomatoes, chili peppers, cacao, and peanuts redefined Eurasian culinary traditions.</w:t>
      </w:r>
    </w:p>
    <w:p>
      <w:pPr>
        <w:spacing w:after="120"/>
        <w:line w:line="276" w:lineRule="auto"/>
      </w:pPr>
      <w:r>
        <w:rPr>
          <w:b/>
          <w:sz w:val="22"/>
        </w:rPr>
        <w:t>The Potato &amp; Peasantry:</w:t>
      </w:r>
      <w:r>
        <w:rPr>
          <w:sz w:val="22"/>
        </w:rPr>
        <w:t> Providing up to four times more calories per acre than wheat, the potato sustained European rural populations through military devastations because tubers matured safely underground.</w:t>
      </w:r>
    </w:p>
    <w:p>
      <w:pPr>
        <w:spacing w:after="120"/>
        <w:line w:line="276" w:lineRule="auto"/>
      </w:pPr>
      <w:r>
        <w:rPr>
          <w:b/>
          <w:sz w:val="22"/>
        </w:rPr>
        <w:t>Old World Livestock &amp; Sugarcane:</w:t>
      </w:r>
      <w:r>
        <w:rPr>
          <w:sz w:val="22"/>
        </w:rPr>
        <w:t> Wheat, sugarcane, rice, horses, cattle, and pigs invaded the Americas. Sugarcane monoculture in Brazil and the Caribbean emerged as the ultimate plantation cash crop.</w:t>
      </w:r>
    </w:p>
    <w:p>
      <w:pPr>
        <w:spacing w:after="120"/>
        <w:line w:line="276" w:lineRule="auto"/>
      </w:pPr>
      <w:r>
        <w:rPr>
          <w:b/>
          <w:sz w:val="22"/>
        </w:rPr>
        <w:t>Demographic Collapse:</w:t>
      </w:r>
      <w:r>
        <w:rPr>
          <w:sz w:val="22"/>
        </w:rPr>
        <w:t> Eurasian pathogens (smallpox, measles, typhus) wiped out 80% to 95% of Native Americans within 150 years. In Hispaniola, native Taíno populations vanished within 50 years.</w:t>
      </w:r>
    </w:p>
    <w:p>
      <w:pPr>
        <w:spacing w:after="120"/>
        <w:line w:line="276" w:lineRule="auto"/>
      </w:pPr>
      <w:r>
        <w:rPr>
          <w:b/>
          <w:sz w:val="22"/>
        </w:rPr>
        <w:t>Quinine as Imperial Tool:</w:t>
      </w:r>
      <w:r>
        <w:rPr>
          <w:sz w:val="22"/>
        </w:rPr>
        <w:t> Extracted from Andean Cinchona tree bark, quinine provided the first effective treatment against malaria, enabling European colonization of tropical Africa in the 19th century.</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1513C" w14:textId="77777777" w:rsidR="0024352F" w:rsidRDefault="0024352F" w:rsidP="00A65270">
      <w:pPr>
        <w:spacing w:after="0" w:line="240" w:lineRule="auto"/>
      </w:pPr>
      <w:r>
        <w:separator/>
      </w:r>
    </w:p>
  </w:endnote>
  <w:endnote w:type="continuationSeparator" w:id="0">
    <w:p w14:paraId="25C8AF78" w14:textId="77777777" w:rsidR="0024352F" w:rsidRDefault="0024352F" w:rsidP="00A652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A2"/>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Garamond" w:hAnsi="Garamond"/>
        <w:sz w:val="20"/>
        <w:szCs w:val="20"/>
      </w:rPr>
      <w:id w:val="101468776"/>
      <w:docPartObj>
        <w:docPartGallery w:val="Page Numbers (Bottom of Page)"/>
        <w:docPartUnique/>
      </w:docPartObj>
    </w:sdtPr>
    <w:sdtContent>
      <w:sdt>
        <w:sdtPr>
          <w:rPr>
            <w:rFonts w:ascii="Garamond" w:hAnsi="Garamond"/>
            <w:sz w:val="20"/>
            <w:szCs w:val="20"/>
          </w:rPr>
          <w:id w:val="-1669238322"/>
          <w:docPartObj>
            <w:docPartGallery w:val="Page Numbers (Top of Page)"/>
            <w:docPartUnique/>
          </w:docPartObj>
        </w:sdtPr>
        <w:sdtContent>
          <w:p w14:paraId="5803340C" w14:textId="77777777" w:rsidR="00A65270" w:rsidRPr="00A65270" w:rsidRDefault="00A65270">
            <w:pPr>
              <w:pStyle w:val="Footer"/>
              <w:jc w:val="center"/>
              <w:rPr>
                <w:rFonts w:ascii="Garamond" w:hAnsi="Garamond"/>
                <w:sz w:val="20"/>
                <w:szCs w:val="20"/>
              </w:rPr>
            </w:pPr>
            <w:r w:rsidRPr="00A65270">
              <w:rPr>
                <w:rFonts w:ascii="Garamond" w:hAnsi="Garamond"/>
                <w:sz w:val="20"/>
                <w:szCs w:val="20"/>
              </w:rPr>
              <w:t xml:space="preserve">Page </w:t>
            </w:r>
            <w:r w:rsidRPr="00A65270">
              <w:rPr>
                <w:rFonts w:ascii="Garamond" w:hAnsi="Garamond"/>
                <w:b/>
                <w:bCs/>
                <w:sz w:val="20"/>
                <w:szCs w:val="20"/>
              </w:rPr>
              <w:fldChar w:fldCharType="begin"/>
            </w:r>
            <w:r w:rsidRPr="00A65270">
              <w:rPr>
                <w:rFonts w:ascii="Garamond" w:hAnsi="Garamond"/>
                <w:b/>
                <w:bCs/>
                <w:sz w:val="20"/>
                <w:szCs w:val="20"/>
              </w:rPr>
              <w:instrText xml:space="preserve"> PAGE </w:instrText>
            </w:r>
            <w:r w:rsidRPr="00A65270">
              <w:rPr>
                <w:rFonts w:ascii="Garamond" w:hAnsi="Garamond"/>
                <w:b/>
                <w:bCs/>
                <w:sz w:val="20"/>
                <w:szCs w:val="20"/>
              </w:rPr>
              <w:fldChar w:fldCharType="separate"/>
            </w:r>
            <w:r w:rsidR="007A0AFD">
              <w:rPr>
                <w:rFonts w:ascii="Garamond" w:hAnsi="Garamond"/>
                <w:b/>
                <w:bCs/>
                <w:noProof/>
                <w:sz w:val="20"/>
                <w:szCs w:val="20"/>
              </w:rPr>
              <w:t>19</w:t>
            </w:r>
            <w:r w:rsidRPr="00A65270">
              <w:rPr>
                <w:rFonts w:ascii="Garamond" w:hAnsi="Garamond"/>
                <w:b/>
                <w:bCs/>
                <w:sz w:val="20"/>
                <w:szCs w:val="20"/>
              </w:rPr>
              <w:fldChar w:fldCharType="end"/>
            </w:r>
            <w:r w:rsidRPr="00A65270">
              <w:rPr>
                <w:rFonts w:ascii="Garamond" w:hAnsi="Garamond"/>
                <w:sz w:val="20"/>
                <w:szCs w:val="20"/>
              </w:rPr>
              <w:t xml:space="preserve"> of </w:t>
            </w:r>
            <w:r w:rsidRPr="00A65270">
              <w:rPr>
                <w:rFonts w:ascii="Garamond" w:hAnsi="Garamond"/>
                <w:b/>
                <w:bCs/>
                <w:sz w:val="20"/>
                <w:szCs w:val="20"/>
              </w:rPr>
              <w:fldChar w:fldCharType="begin"/>
            </w:r>
            <w:r w:rsidRPr="00A65270">
              <w:rPr>
                <w:rFonts w:ascii="Garamond" w:hAnsi="Garamond"/>
                <w:b/>
                <w:bCs/>
                <w:sz w:val="20"/>
                <w:szCs w:val="20"/>
              </w:rPr>
              <w:instrText xml:space="preserve"> NUMPAGES  </w:instrText>
            </w:r>
            <w:r w:rsidRPr="00A65270">
              <w:rPr>
                <w:rFonts w:ascii="Garamond" w:hAnsi="Garamond"/>
                <w:b/>
                <w:bCs/>
                <w:sz w:val="20"/>
                <w:szCs w:val="20"/>
              </w:rPr>
              <w:fldChar w:fldCharType="separate"/>
            </w:r>
            <w:r w:rsidR="007A0AFD">
              <w:rPr>
                <w:rFonts w:ascii="Garamond" w:hAnsi="Garamond"/>
                <w:b/>
                <w:bCs/>
                <w:noProof/>
                <w:sz w:val="20"/>
                <w:szCs w:val="20"/>
              </w:rPr>
              <w:t>19</w:t>
            </w:r>
            <w:r w:rsidRPr="00A65270">
              <w:rPr>
                <w:rFonts w:ascii="Garamond" w:hAnsi="Garamond"/>
                <w:b/>
                <w:bCs/>
                <w:sz w:val="20"/>
                <w:szCs w:val="20"/>
              </w:rPr>
              <w:fldChar w:fldCharType="end"/>
            </w:r>
          </w:p>
        </w:sdtContent>
      </w:sdt>
    </w:sdtContent>
  </w:sdt>
  <w:p w14:paraId="0DF0A6E6" w14:textId="77777777" w:rsidR="00A65270" w:rsidRDefault="00A652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39984" w14:textId="77777777" w:rsidR="0024352F" w:rsidRDefault="0024352F" w:rsidP="00A65270">
      <w:pPr>
        <w:spacing w:after="0" w:line="240" w:lineRule="auto"/>
      </w:pPr>
      <w:r>
        <w:separator/>
      </w:r>
    </w:p>
  </w:footnote>
  <w:footnote w:type="continuationSeparator" w:id="0">
    <w:p w14:paraId="444B2700" w14:textId="77777777" w:rsidR="0024352F" w:rsidRDefault="0024352F" w:rsidP="00A652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5BD1B" w14:textId="77777777" w:rsidR="00A65270" w:rsidRDefault="00A65270" w:rsidP="00A65270">
    <w:pPr>
      <w:pStyle w:val="Header"/>
      <w:rPr>
        <w:rFonts w:ascii="Cambria" w:hAnsi="Cambria"/>
      </w:rPr>
    </w:pPr>
    <w:r>
      <w:rPr>
        <w:rFonts w:ascii="Cambria" w:hAnsi="Cambria"/>
      </w:rPr>
      <w:t>Koç University</w:t>
    </w:r>
    <w:r>
      <w:rPr>
        <w:rFonts w:ascii="Cambria" w:hAnsi="Cambria"/>
      </w:rPr>
      <w:tab/>
    </w:r>
    <w:r>
      <w:rPr>
        <w:rFonts w:ascii="Cambria" w:hAnsi="Cambria"/>
      </w:rPr>
      <w:tab/>
    </w:r>
    <w:r w:rsidR="009354E5">
      <w:rPr>
        <w:rFonts w:ascii="Cambria" w:hAnsi="Cambria"/>
      </w:rPr>
      <w:t>HUMS 13</w:t>
    </w:r>
    <w:r w:rsidR="002911D9">
      <w:rPr>
        <w:rFonts w:ascii="Cambria" w:hAnsi="Cambria"/>
      </w:rPr>
      <w:t>1: Modern History</w:t>
    </w:r>
  </w:p>
  <w:p w14:paraId="39A49445" w14:textId="252D67D4" w:rsidR="00A65270" w:rsidRPr="00621C33" w:rsidRDefault="00A65270" w:rsidP="00A65270">
    <w:pPr>
      <w:pStyle w:val="Header"/>
      <w:rPr>
        <w:rFonts w:ascii="Cambria" w:hAnsi="Cambria"/>
      </w:rPr>
    </w:pPr>
    <w:r>
      <w:rPr>
        <w:rFonts w:ascii="Cambria" w:hAnsi="Cambria"/>
      </w:rPr>
      <w:tab/>
    </w:r>
    <w:r>
      <w:rPr>
        <w:rFonts w:ascii="Cambria" w:hAnsi="Cambria"/>
      </w:rPr>
      <w:tab/>
      <w:t xml:space="preserve">    </w:t>
    </w:r>
  </w:p>
  <w:p w14:paraId="79D8DE46" w14:textId="77777777" w:rsidR="00A65270" w:rsidRDefault="00A652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A3D43"/>
    <w:multiLevelType w:val="hybridMultilevel"/>
    <w:tmpl w:val="424AA2AA"/>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5D32785"/>
    <w:multiLevelType w:val="hybridMultilevel"/>
    <w:tmpl w:val="32D80CCA"/>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B">
      <w:start w:val="1"/>
      <w:numFmt w:val="bullet"/>
      <w:lvlText w:val=""/>
      <w:lvlJc w:val="left"/>
      <w:pPr>
        <w:ind w:left="2880" w:hanging="360"/>
      </w:pPr>
      <w:rPr>
        <w:rFonts w:ascii="Wingdings" w:hAnsi="Wingdings" w:hint="default"/>
      </w:rPr>
    </w:lvl>
    <w:lvl w:ilvl="4" w:tplc="C652DE1C">
      <w:start w:val="1"/>
      <w:numFmt w:val="bullet"/>
      <w:lvlText w:val=""/>
      <w:lvlJc w:val="left"/>
      <w:pPr>
        <w:ind w:left="3600" w:hanging="360"/>
      </w:pPr>
      <w:rPr>
        <w:rFonts w:ascii="Wingdings" w:hAnsi="Wingdings"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9326549"/>
    <w:multiLevelType w:val="hybridMultilevel"/>
    <w:tmpl w:val="E9B08A7A"/>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B">
      <w:start w:val="1"/>
      <w:numFmt w:val="bullet"/>
      <w:lvlText w:val=""/>
      <w:lvlJc w:val="left"/>
      <w:pPr>
        <w:ind w:left="2880" w:hanging="360"/>
      </w:pPr>
      <w:rPr>
        <w:rFonts w:ascii="Wingdings" w:hAnsi="Wingdings" w:hint="default"/>
      </w:rPr>
    </w:lvl>
    <w:lvl w:ilvl="4" w:tplc="526C78F2">
      <w:start w:val="1"/>
      <w:numFmt w:val="bullet"/>
      <w:lvlText w:val=""/>
      <w:lvlJc w:val="left"/>
      <w:pPr>
        <w:ind w:left="3600" w:hanging="360"/>
      </w:pPr>
      <w:rPr>
        <w:rFonts w:ascii="Wingdings" w:hAnsi="Wingdings" w:hint="default"/>
      </w:rPr>
    </w:lvl>
    <w:lvl w:ilvl="5" w:tplc="041F000D">
      <w:start w:val="1"/>
      <w:numFmt w:val="bullet"/>
      <w:lvlText w:val=""/>
      <w:lvlJc w:val="left"/>
      <w:pPr>
        <w:ind w:left="4320" w:hanging="360"/>
      </w:pPr>
      <w:rPr>
        <w:rFonts w:ascii="Wingdings" w:hAnsi="Wingdings" w:hint="default"/>
      </w:rPr>
    </w:lvl>
    <w:lvl w:ilvl="6" w:tplc="ECC2742E">
      <w:start w:val="2"/>
      <w:numFmt w:val="bullet"/>
      <w:lvlText w:val="-"/>
      <w:lvlJc w:val="left"/>
      <w:pPr>
        <w:ind w:left="5040" w:hanging="360"/>
      </w:pPr>
      <w:rPr>
        <w:rFonts w:ascii="Garamond" w:eastAsia="Times New Roman" w:hAnsi="Garamond" w:cs="Times New Roman"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B921BD5"/>
    <w:multiLevelType w:val="hybridMultilevel"/>
    <w:tmpl w:val="80E0A1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D3000E"/>
    <w:multiLevelType w:val="hybridMultilevel"/>
    <w:tmpl w:val="5E9A9F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B">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BE22E6"/>
    <w:multiLevelType w:val="hybridMultilevel"/>
    <w:tmpl w:val="4EBE3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D">
      <w:start w:val="1"/>
      <w:numFmt w:val="bullet"/>
      <w:lvlText w:val=""/>
      <w:lvlJc w:val="left"/>
      <w:pPr>
        <w:ind w:left="2880" w:hanging="360"/>
      </w:pPr>
      <w:rPr>
        <w:rFonts w:ascii="Wingdings" w:hAnsi="Wingdings"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274C22"/>
    <w:multiLevelType w:val="hybridMultilevel"/>
    <w:tmpl w:val="C5FA87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886619"/>
    <w:multiLevelType w:val="hybridMultilevel"/>
    <w:tmpl w:val="BD4A4E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B60EFE"/>
    <w:multiLevelType w:val="hybridMultilevel"/>
    <w:tmpl w:val="8D22DF6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A187347"/>
    <w:multiLevelType w:val="hybridMultilevel"/>
    <w:tmpl w:val="7076BA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450B99"/>
    <w:multiLevelType w:val="hybridMultilevel"/>
    <w:tmpl w:val="734C98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D">
      <w:start w:val="1"/>
      <w:numFmt w:val="bullet"/>
      <w:lvlText w:val=""/>
      <w:lvlJc w:val="left"/>
      <w:pPr>
        <w:ind w:left="2880" w:hanging="360"/>
      </w:pPr>
      <w:rPr>
        <w:rFonts w:ascii="Wingdings" w:hAnsi="Wingdings"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A030F6"/>
    <w:multiLevelType w:val="hybridMultilevel"/>
    <w:tmpl w:val="C5FE5A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BB5703"/>
    <w:multiLevelType w:val="hybridMultilevel"/>
    <w:tmpl w:val="B066D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1F000B">
      <w:start w:val="1"/>
      <w:numFmt w:val="bullet"/>
      <w:lvlText w:val=""/>
      <w:lvlJc w:val="left"/>
      <w:pPr>
        <w:ind w:left="2880" w:hanging="360"/>
      </w:pPr>
      <w:rPr>
        <w:rFonts w:ascii="Wingdings" w:hAnsi="Wingdings" w:hint="default"/>
      </w:rPr>
    </w:lvl>
    <w:lvl w:ilvl="4" w:tplc="041F000D">
      <w:start w:val="1"/>
      <w:numFmt w:val="bullet"/>
      <w:lvlText w:val=""/>
      <w:lvlJc w:val="left"/>
      <w:pPr>
        <w:ind w:left="3600" w:hanging="360"/>
      </w:pPr>
      <w:rPr>
        <w:rFonts w:ascii="Wingdings" w:hAnsi="Wingdings" w:hint="default"/>
      </w:rPr>
    </w:lvl>
    <w:lvl w:ilvl="5" w:tplc="C652DE1C">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59189A"/>
    <w:multiLevelType w:val="hybridMultilevel"/>
    <w:tmpl w:val="046AB17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78EC5A57"/>
    <w:multiLevelType w:val="hybridMultilevel"/>
    <w:tmpl w:val="12DCBEF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1753898">
    <w:abstractNumId w:val="1"/>
  </w:num>
  <w:num w:numId="2" w16cid:durableId="866673453">
    <w:abstractNumId w:val="0"/>
  </w:num>
  <w:num w:numId="3" w16cid:durableId="892038338">
    <w:abstractNumId w:val="14"/>
  </w:num>
  <w:num w:numId="4" w16cid:durableId="2100056771">
    <w:abstractNumId w:val="4"/>
  </w:num>
  <w:num w:numId="5" w16cid:durableId="1848859988">
    <w:abstractNumId w:val="7"/>
  </w:num>
  <w:num w:numId="6" w16cid:durableId="1921594791">
    <w:abstractNumId w:val="6"/>
  </w:num>
  <w:num w:numId="7" w16cid:durableId="1049649231">
    <w:abstractNumId w:val="9"/>
  </w:num>
  <w:num w:numId="8" w16cid:durableId="2012021856">
    <w:abstractNumId w:val="3"/>
  </w:num>
  <w:num w:numId="9" w16cid:durableId="819691235">
    <w:abstractNumId w:val="5"/>
  </w:num>
  <w:num w:numId="10" w16cid:durableId="187257293">
    <w:abstractNumId w:val="11"/>
  </w:num>
  <w:num w:numId="11" w16cid:durableId="975531012">
    <w:abstractNumId w:val="12"/>
  </w:num>
  <w:num w:numId="12" w16cid:durableId="487744375">
    <w:abstractNumId w:val="10"/>
  </w:num>
  <w:num w:numId="13" w16cid:durableId="1466703851">
    <w:abstractNumId w:val="8"/>
  </w:num>
  <w:num w:numId="14" w16cid:durableId="154495909">
    <w:abstractNumId w:val="13"/>
  </w:num>
  <w:num w:numId="15" w16cid:durableId="14077244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77A"/>
    <w:rsid w:val="00007FEA"/>
    <w:rsid w:val="000B64EA"/>
    <w:rsid w:val="000F1FC2"/>
    <w:rsid w:val="001542DD"/>
    <w:rsid w:val="00157844"/>
    <w:rsid w:val="00170A41"/>
    <w:rsid w:val="0018256D"/>
    <w:rsid w:val="0018728E"/>
    <w:rsid w:val="0019559F"/>
    <w:rsid w:val="00197B99"/>
    <w:rsid w:val="001A0D76"/>
    <w:rsid w:val="001F74B1"/>
    <w:rsid w:val="002305C6"/>
    <w:rsid w:val="002331D7"/>
    <w:rsid w:val="0024352F"/>
    <w:rsid w:val="00250A05"/>
    <w:rsid w:val="00251937"/>
    <w:rsid w:val="002911D9"/>
    <w:rsid w:val="00330661"/>
    <w:rsid w:val="0035172D"/>
    <w:rsid w:val="003C4CD1"/>
    <w:rsid w:val="003D0DE4"/>
    <w:rsid w:val="003D1D70"/>
    <w:rsid w:val="00412866"/>
    <w:rsid w:val="00412C39"/>
    <w:rsid w:val="004153F5"/>
    <w:rsid w:val="00432AA0"/>
    <w:rsid w:val="0045277A"/>
    <w:rsid w:val="00473AD0"/>
    <w:rsid w:val="0048734F"/>
    <w:rsid w:val="004D439F"/>
    <w:rsid w:val="005948CA"/>
    <w:rsid w:val="00597BC8"/>
    <w:rsid w:val="005D6EEF"/>
    <w:rsid w:val="005E7718"/>
    <w:rsid w:val="006011EA"/>
    <w:rsid w:val="00607B93"/>
    <w:rsid w:val="006257AB"/>
    <w:rsid w:val="00626BB2"/>
    <w:rsid w:val="006343FF"/>
    <w:rsid w:val="00646B3D"/>
    <w:rsid w:val="00671F3F"/>
    <w:rsid w:val="006852C5"/>
    <w:rsid w:val="00696190"/>
    <w:rsid w:val="006A01B3"/>
    <w:rsid w:val="00732251"/>
    <w:rsid w:val="007354A7"/>
    <w:rsid w:val="00763024"/>
    <w:rsid w:val="007845FC"/>
    <w:rsid w:val="007847DF"/>
    <w:rsid w:val="00787C9F"/>
    <w:rsid w:val="007A0AFD"/>
    <w:rsid w:val="007A78A1"/>
    <w:rsid w:val="007E26BB"/>
    <w:rsid w:val="007F54DA"/>
    <w:rsid w:val="00820B6B"/>
    <w:rsid w:val="00853B47"/>
    <w:rsid w:val="00876D5F"/>
    <w:rsid w:val="008B5A64"/>
    <w:rsid w:val="008C33BF"/>
    <w:rsid w:val="008D5DB0"/>
    <w:rsid w:val="00905D33"/>
    <w:rsid w:val="009354E5"/>
    <w:rsid w:val="00976326"/>
    <w:rsid w:val="00984248"/>
    <w:rsid w:val="009D1278"/>
    <w:rsid w:val="00A04580"/>
    <w:rsid w:val="00A06331"/>
    <w:rsid w:val="00A54AA7"/>
    <w:rsid w:val="00A65270"/>
    <w:rsid w:val="00A6665C"/>
    <w:rsid w:val="00A70E84"/>
    <w:rsid w:val="00A805D1"/>
    <w:rsid w:val="00A805E8"/>
    <w:rsid w:val="00A87B6B"/>
    <w:rsid w:val="00AD22CE"/>
    <w:rsid w:val="00AE6B60"/>
    <w:rsid w:val="00AE7E14"/>
    <w:rsid w:val="00B9368B"/>
    <w:rsid w:val="00C216CE"/>
    <w:rsid w:val="00C3409A"/>
    <w:rsid w:val="00C55556"/>
    <w:rsid w:val="00C600E8"/>
    <w:rsid w:val="00C6395A"/>
    <w:rsid w:val="00C71CDC"/>
    <w:rsid w:val="00C8405F"/>
    <w:rsid w:val="00C903E1"/>
    <w:rsid w:val="00CE001D"/>
    <w:rsid w:val="00CE0EB6"/>
    <w:rsid w:val="00D01EC1"/>
    <w:rsid w:val="00D23441"/>
    <w:rsid w:val="00D3120B"/>
    <w:rsid w:val="00D34573"/>
    <w:rsid w:val="00D654ED"/>
    <w:rsid w:val="00DB51F5"/>
    <w:rsid w:val="00E17235"/>
    <w:rsid w:val="00E84D8D"/>
    <w:rsid w:val="00E9313D"/>
    <w:rsid w:val="00EB1364"/>
    <w:rsid w:val="00EB6B0E"/>
    <w:rsid w:val="00EC3007"/>
    <w:rsid w:val="00ED69F4"/>
    <w:rsid w:val="00EE1305"/>
    <w:rsid w:val="00EF27E1"/>
    <w:rsid w:val="00F2568F"/>
    <w:rsid w:val="00F35B34"/>
    <w:rsid w:val="00F62D5D"/>
    <w:rsid w:val="00F83B7C"/>
    <w:rsid w:val="00F94A2D"/>
    <w:rsid w:val="00FB2A2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1DDBC"/>
  <w15:docId w15:val="{BDB2E770-1376-4C9C-9855-2834CB622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C9F"/>
    <w:rPr>
      <w:rFonts w:ascii="Calibri" w:eastAsia="Calibri" w:hAnsi="Calibri" w:cs="Times New Roman"/>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5277A"/>
    <w:pPr>
      <w:ind w:left="720"/>
      <w:contextualSpacing/>
    </w:pPr>
  </w:style>
  <w:style w:type="paragraph" w:styleId="Header">
    <w:name w:val="header"/>
    <w:basedOn w:val="Normal"/>
    <w:link w:val="HeaderChar"/>
    <w:uiPriority w:val="99"/>
    <w:unhideWhenUsed/>
    <w:rsid w:val="00A65270"/>
    <w:pPr>
      <w:tabs>
        <w:tab w:val="center" w:pos="4536"/>
        <w:tab w:val="right" w:pos="9072"/>
      </w:tabs>
      <w:spacing w:after="0" w:line="240" w:lineRule="auto"/>
    </w:pPr>
  </w:style>
  <w:style w:type="character" w:customStyle="1" w:styleId="HeaderChar">
    <w:name w:val="Header Char"/>
    <w:basedOn w:val="DefaultParagraphFont"/>
    <w:link w:val="Header"/>
    <w:uiPriority w:val="99"/>
    <w:rsid w:val="00A65270"/>
  </w:style>
  <w:style w:type="paragraph" w:styleId="Footer">
    <w:name w:val="footer"/>
    <w:basedOn w:val="Normal"/>
    <w:link w:val="FooterChar"/>
    <w:uiPriority w:val="99"/>
    <w:unhideWhenUsed/>
    <w:rsid w:val="00A65270"/>
    <w:pPr>
      <w:tabs>
        <w:tab w:val="center" w:pos="4536"/>
        <w:tab w:val="right" w:pos="9072"/>
      </w:tabs>
      <w:spacing w:after="0" w:line="240" w:lineRule="auto"/>
    </w:pPr>
  </w:style>
  <w:style w:type="character" w:customStyle="1" w:styleId="FooterChar">
    <w:name w:val="Footer Char"/>
    <w:basedOn w:val="DefaultParagraphFont"/>
    <w:link w:val="Footer"/>
    <w:uiPriority w:val="99"/>
    <w:rsid w:val="00A65270"/>
  </w:style>
  <w:style w:type="paragraph" w:styleId="BalloonText">
    <w:name w:val="Balloon Text"/>
    <w:basedOn w:val="Normal"/>
    <w:link w:val="BalloonTextChar"/>
    <w:uiPriority w:val="99"/>
    <w:semiHidden/>
    <w:unhideWhenUsed/>
    <w:rsid w:val="00170A41"/>
    <w:pPr>
      <w:spacing w:after="0" w:line="240" w:lineRule="auto"/>
    </w:pPr>
    <w:rPr>
      <w:rFonts w:ascii="Arial" w:hAnsi="Arial" w:cs="Arial"/>
      <w:sz w:val="16"/>
      <w:szCs w:val="16"/>
    </w:rPr>
  </w:style>
  <w:style w:type="character" w:customStyle="1" w:styleId="BalloonTextChar">
    <w:name w:val="Balloon Text Char"/>
    <w:basedOn w:val="DefaultParagraphFont"/>
    <w:link w:val="BalloonText"/>
    <w:uiPriority w:val="99"/>
    <w:semiHidden/>
    <w:rsid w:val="00170A41"/>
    <w:rPr>
      <w:rFonts w:ascii="Arial" w:eastAsia="Calibri" w:hAnsi="Arial" w:cs="Arial"/>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64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08F58C-DA72-47B5-A59A-D65373F3A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2187</Words>
  <Characters>12471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arappas</dc:creator>
  <cp:lastModifiedBy>seda altug</cp:lastModifiedBy>
  <cp:revision>2</cp:revision>
  <cp:lastPrinted>2015-09-17T12:56:00Z</cp:lastPrinted>
  <dcterms:created xsi:type="dcterms:W3CDTF">2025-11-09T20:17:00Z</dcterms:created>
  <dcterms:modified xsi:type="dcterms:W3CDTF">2025-11-09T20:17:00Z</dcterms:modified>
</cp:coreProperties>
</file>