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  <w:color w:val="10B981"/>
        </w:rPr>
        <w:t>Week 3: The Transatlantic Slave Trade (1519–1867)</w:t>
      </w:r>
    </w:p>
    <w:p>
      <w:pPr>
        <w:jc w:val="center"/>
      </w:pPr>
      <w:r>
        <w:rPr>
          <w:i/>
          <w:sz w:val="24"/>
          <w:color w:val="6B7280"/>
        </w:rPr>
        <w:t>Comprehensive Academic Lecture Notes (TR &amp; EN)</w:t>
      </w:r>
    </w:p>
    <w:p/>
    <w:p>
      <w:pPr>
        <w:spacing w:before="240" w:after="120"/>
      </w:pPr>
      <w:r>
        <w:rPr>
          <w:b/>
          <w:sz w:val="28"/>
          <w:color w:val="1F2937"/>
        </w:rPr>
        <w:t>1. Scale, Scope &amp; Uniqueness of Transatlantic Slavery</w:t>
      </w:r>
    </w:p>
    <w:p>
      <w:pPr>
        <w:spacing w:after="120"/>
        <w:line w:line="276" w:lineRule="auto"/>
      </w:pPr>
      <w:r>
        <w:rPr>
          <w:b/>
          <w:sz w:val="22"/>
        </w:rPr>
        <w:t>Massive Forced Migration:</w:t>
      </w:r>
      <w:r>
        <w:rPr>
          <w:sz w:val="22"/>
        </w:rPr>
        <w:t> Between 1519 and 1867, over 12.5 million captive Africans were shipped across the Atlantic. The expansion of plantation agriculture—sugar, tobacco, coffee—demanded massive labor forces.</w:t>
      </w:r>
    </w:p>
    <w:p>
      <w:pPr>
        <w:spacing w:after="120"/>
        <w:line w:line="276" w:lineRule="auto"/>
      </w:pPr>
      <w:r>
        <w:rPr>
          <w:b/>
          <w:sz w:val="22"/>
        </w:rPr>
        <w:t>Unique Chattel Nature:</w:t>
      </w:r>
      <w:r>
        <w:rPr>
          <w:sz w:val="22"/>
        </w:rPr>
        <w:t> Transatlantic slavery was unique in human history: unlike ancient Roman or Ottoman servitude, it turned human beings into permanent, hereditary chattel property based strictly on racial demarcation.</w:t>
      </w:r>
    </w:p>
    <w:p>
      <w:pPr>
        <w:spacing w:after="120"/>
        <w:line w:line="276" w:lineRule="auto"/>
      </w:pPr>
      <w:r>
        <w:rPr>
          <w:b/>
          <w:sz w:val="22"/>
        </w:rPr>
        <w:t>Capital Accumulation:</w:t>
      </w:r>
      <w:r>
        <w:rPr>
          <w:sz w:val="22"/>
        </w:rPr>
        <w:t> Profits from colonial trade fleets, silver mining, and plantation agriculture enriched European merchant cartels and banking networks, laying the financial groundwork for the Industrial Revolution.</w:t>
      </w:r>
    </w:p>
    <w:p>
      <w:pPr>
        <w:spacing w:before="240" w:after="120"/>
      </w:pPr>
      <w:r>
        <w:rPr>
          <w:b/>
          <w:sz w:val="28"/>
          <w:color w:val="1F2937"/>
        </w:rPr>
        <w:t>2. Atlantic Prototypes, Sugarcane &amp; African Expertise</w:t>
      </w:r>
    </w:p>
    <w:p>
      <w:pPr>
        <w:spacing w:after="120"/>
        <w:line w:line="276" w:lineRule="auto"/>
      </w:pPr>
      <w:r>
        <w:rPr>
          <w:b/>
          <w:sz w:val="22"/>
        </w:rPr>
        <w:t>Atlantic Island Prototypes:</w:t>
      </w:r>
      <w:r>
        <w:rPr>
          <w:sz w:val="22"/>
        </w:rPr>
        <w:t> In the 15th century, Portuguese and Spanish navigators conquered Atlantic islands (Madeira, São Tomé) to test sugarcane monoculture powered by forced African labor.</w:t>
      </w:r>
    </w:p>
    <w:p>
      <w:pPr>
        <w:spacing w:after="120"/>
        <w:line w:line="276" w:lineRule="auto"/>
      </w:pPr>
      <w:r>
        <w:rPr>
          <w:sz w:val="22"/>
        </w:rPr>
        <w:t>Native Collapse &amp; Legal Protection Paradox: Native demographic collapse and Crown regulations (Valladolid Controversy 1550) shifted colonial labor demand onto unprotected African captives.</w:t>
      </w:r>
    </w:p>
    <w:p>
      <w:pPr>
        <w:spacing w:after="120"/>
        <w:line w:line="276" w:lineRule="auto"/>
      </w:pPr>
      <w:r>
        <w:rPr>
          <w:b/>
          <w:sz w:val="22"/>
        </w:rPr>
        <w:t>West African Pastoral Expertise:</w:t>
      </w:r>
      <w:r>
        <w:rPr>
          <w:sz w:val="22"/>
        </w:rPr>
        <w:t> Captives imported from Wolof, Fula, and Mandinga brought vital cattle-herding, blacksmithing, and agricultural skills that built early American ranches and plantations.</w:t>
      </w:r>
    </w:p>
    <w:p>
      <w:pPr>
        <w:spacing w:before="240" w:after="120"/>
      </w:pPr>
      <w:r>
        <w:rPr>
          <w:b/>
          <w:sz w:val="28"/>
          <w:color w:val="1F2937"/>
        </w:rPr>
        <w:t>3. Commercial Mechanisms, Gun-Slave Cycle &amp; Race Construction</w:t>
      </w:r>
    </w:p>
    <w:p>
      <w:pPr>
        <w:spacing w:after="120"/>
        <w:line w:line="276" w:lineRule="auto"/>
      </w:pPr>
      <w:r>
        <w:rPr>
          <w:b/>
          <w:sz w:val="22"/>
        </w:rPr>
        <w:t>Coastal Forts &amp; Sovereign Parity:</w:t>
      </w:r>
      <w:r>
        <w:rPr>
          <w:sz w:val="22"/>
        </w:rPr>
        <w:t> 64 European coastal forts (Elmina, Luanda) conducted trade with sovereign African states, exchanging textiles, metals, cowrie shells, and firearms for captives.</w:t>
      </w:r>
    </w:p>
    <w:p>
      <w:pPr>
        <w:spacing w:after="120"/>
        <w:line w:line="276" w:lineRule="auto"/>
      </w:pPr>
      <w:r>
        <w:rPr>
          <w:b/>
          <w:sz w:val="22"/>
        </w:rPr>
        <w:t>Gun-Slave Cycle:</w:t>
      </w:r>
      <w:r>
        <w:rPr>
          <w:sz w:val="22"/>
        </w:rPr>
        <w:t> European firearms introduced a security dilemma among African kingdoms, forcing states to acquire guns by trading war captives to defend against armed neighbors.</w:t>
      </w:r>
    </w:p>
    <w:p>
      <w:pPr>
        <w:spacing w:after="120"/>
        <w:line w:line="276" w:lineRule="auto"/>
      </w:pPr>
      <w:r>
        <w:rPr>
          <w:b/>
          <w:sz w:val="22"/>
        </w:rPr>
        <w:t>Virginia Case Study &amp; Race Construction:</w:t>
      </w:r>
      <w:r>
        <w:rPr>
          <w:sz w:val="22"/>
        </w:rPr>
        <w:t> In early 17th-century Virginia, social status was defined by property, not skin color. Following Bacon's Rebellion (1676), planter elites enacted racial slave codes to fracture working-class unity and guarantee permanent plantation labor.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AE4D3" w14:textId="77777777" w:rsidR="00F66760" w:rsidRDefault="00F66760" w:rsidP="00A65270">
      <w:pPr>
        <w:spacing w:after="0" w:line="240" w:lineRule="auto"/>
      </w:pPr>
      <w:r>
        <w:separator/>
      </w:r>
    </w:p>
  </w:endnote>
  <w:endnote w:type="continuationSeparator" w:id="0">
    <w:p w14:paraId="6179A379" w14:textId="77777777" w:rsidR="00F66760" w:rsidRDefault="00F66760" w:rsidP="00A65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A2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aramond" w:hAnsi="Garamond"/>
        <w:sz w:val="20"/>
        <w:szCs w:val="20"/>
      </w:rPr>
      <w:id w:val="101468776"/>
      <w:docPartObj>
        <w:docPartGallery w:val="Page Numbers (Bottom of Page)"/>
        <w:docPartUnique/>
      </w:docPartObj>
    </w:sdtPr>
    <w:sdtContent>
      <w:sdt>
        <w:sdtPr>
          <w:rPr>
            <w:rFonts w:ascii="Garamond" w:hAnsi="Garamond"/>
            <w:sz w:val="20"/>
            <w:szCs w:val="20"/>
          </w:rPr>
          <w:id w:val="-1669238322"/>
          <w:docPartObj>
            <w:docPartGallery w:val="Page Numbers (Top of Page)"/>
            <w:docPartUnique/>
          </w:docPartObj>
        </w:sdtPr>
        <w:sdtContent>
          <w:p w14:paraId="4A36F30D" w14:textId="77777777" w:rsidR="00A65270" w:rsidRPr="00A65270" w:rsidRDefault="00A65270">
            <w:pPr>
              <w:pStyle w:val="Footer"/>
              <w:jc w:val="center"/>
              <w:rPr>
                <w:rFonts w:ascii="Garamond" w:hAnsi="Garamond"/>
                <w:sz w:val="20"/>
                <w:szCs w:val="20"/>
              </w:rPr>
            </w:pPr>
            <w:r w:rsidRPr="00A65270">
              <w:rPr>
                <w:rFonts w:ascii="Garamond" w:hAnsi="Garamond"/>
                <w:sz w:val="20"/>
                <w:szCs w:val="20"/>
              </w:rPr>
              <w:t xml:space="preserve">Page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PAGE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3242A5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23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A65270">
              <w:rPr>
                <w:rFonts w:ascii="Garamond" w:hAnsi="Garamond"/>
                <w:sz w:val="20"/>
                <w:szCs w:val="20"/>
              </w:rPr>
              <w:t xml:space="preserve"> of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NUMPAGES 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3242A5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23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917076D" w14:textId="77777777" w:rsidR="00A65270" w:rsidRDefault="00A652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C4139" w14:textId="77777777" w:rsidR="00F66760" w:rsidRDefault="00F66760" w:rsidP="00A65270">
      <w:pPr>
        <w:spacing w:after="0" w:line="240" w:lineRule="auto"/>
      </w:pPr>
      <w:r>
        <w:separator/>
      </w:r>
    </w:p>
  </w:footnote>
  <w:footnote w:type="continuationSeparator" w:id="0">
    <w:p w14:paraId="3C3C9004" w14:textId="77777777" w:rsidR="00F66760" w:rsidRDefault="00F66760" w:rsidP="00A65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E4A16" w14:textId="0E5B8078" w:rsidR="00A65270" w:rsidRPr="00621C33" w:rsidRDefault="00A65270" w:rsidP="00B07337">
    <w:pPr>
      <w:pStyle w:val="Header"/>
      <w:rPr>
        <w:rFonts w:ascii="Cambria" w:hAnsi="Cambria"/>
      </w:rPr>
    </w:pPr>
    <w:r>
      <w:rPr>
        <w:rFonts w:ascii="Cambria" w:hAnsi="Cambria"/>
      </w:rPr>
      <w:t>Koç University</w:t>
    </w:r>
    <w:r>
      <w:rPr>
        <w:rFonts w:ascii="Cambria" w:hAnsi="Cambria"/>
      </w:rPr>
      <w:tab/>
    </w:r>
    <w:r>
      <w:rPr>
        <w:rFonts w:ascii="Cambria" w:hAnsi="Cambria"/>
      </w:rPr>
      <w:tab/>
    </w:r>
    <w:r w:rsidR="008713A8">
      <w:rPr>
        <w:rFonts w:ascii="Cambria" w:hAnsi="Cambria"/>
      </w:rPr>
      <w:t>HUMS 13</w:t>
    </w:r>
    <w:r w:rsidR="002911D9">
      <w:rPr>
        <w:rFonts w:ascii="Cambria" w:hAnsi="Cambria"/>
      </w:rPr>
      <w:t>1</w:t>
    </w:r>
  </w:p>
  <w:p w14:paraId="698CE909" w14:textId="77777777" w:rsidR="00A65270" w:rsidRDefault="00A652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D43"/>
    <w:multiLevelType w:val="hybridMultilevel"/>
    <w:tmpl w:val="424AA2A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32785"/>
    <w:multiLevelType w:val="hybridMultilevel"/>
    <w:tmpl w:val="32D80C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C652DE1C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26549"/>
    <w:multiLevelType w:val="hybridMultilevel"/>
    <w:tmpl w:val="E9B08A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526C78F2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D">
      <w:start w:val="1"/>
      <w:numFmt w:val="bullet"/>
      <w:lvlText w:val=""/>
      <w:lvlJc w:val="left"/>
      <w:pPr>
        <w:ind w:left="4320" w:hanging="360"/>
      </w:pPr>
      <w:rPr>
        <w:rFonts w:ascii="Wingdings" w:hAnsi="Wingdings" w:hint="default"/>
      </w:rPr>
    </w:lvl>
    <w:lvl w:ilvl="6" w:tplc="ECC2742E">
      <w:start w:val="2"/>
      <w:numFmt w:val="bullet"/>
      <w:lvlText w:val="-"/>
      <w:lvlJc w:val="left"/>
      <w:pPr>
        <w:ind w:left="5040" w:hanging="360"/>
      </w:pPr>
      <w:rPr>
        <w:rFonts w:ascii="Garamond" w:eastAsia="Times New Roman" w:hAnsi="Garamond" w:cs="Times New Roman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21BD5"/>
    <w:multiLevelType w:val="hybridMultilevel"/>
    <w:tmpl w:val="80E0A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3000E"/>
    <w:multiLevelType w:val="hybridMultilevel"/>
    <w:tmpl w:val="5E9A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BE22E6"/>
    <w:multiLevelType w:val="hybridMultilevel"/>
    <w:tmpl w:val="4EBE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112A0"/>
    <w:multiLevelType w:val="hybridMultilevel"/>
    <w:tmpl w:val="6E10E7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274C22"/>
    <w:multiLevelType w:val="hybridMultilevel"/>
    <w:tmpl w:val="C5FA8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86619"/>
    <w:multiLevelType w:val="hybridMultilevel"/>
    <w:tmpl w:val="BD4A4E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60EFE"/>
    <w:multiLevelType w:val="hybridMultilevel"/>
    <w:tmpl w:val="8D22DF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187347"/>
    <w:multiLevelType w:val="hybridMultilevel"/>
    <w:tmpl w:val="7076B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BF5DF3"/>
    <w:multiLevelType w:val="hybridMultilevel"/>
    <w:tmpl w:val="730C1AA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450B99"/>
    <w:multiLevelType w:val="hybridMultilevel"/>
    <w:tmpl w:val="734C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A030F6"/>
    <w:multiLevelType w:val="hybridMultilevel"/>
    <w:tmpl w:val="C5FE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BB5703"/>
    <w:multiLevelType w:val="hybridMultilevel"/>
    <w:tmpl w:val="B066D52A"/>
    <w:lvl w:ilvl="0" w:tplc="04090001">
      <w:start w:val="1"/>
      <w:numFmt w:val="bullet"/>
      <w:lvlText w:val=""/>
      <w:lvlJc w:val="left"/>
      <w:pPr>
        <w:ind w:left="68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564" w:hanging="360"/>
      </w:pPr>
      <w:rPr>
        <w:rFonts w:ascii="Wingdings" w:hAnsi="Wingdings" w:hint="default"/>
      </w:rPr>
    </w:lvl>
    <w:lvl w:ilvl="5" w:tplc="C652DE1C">
      <w:start w:val="1"/>
      <w:numFmt w:val="bullet"/>
      <w:lvlText w:val="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abstractNum w:abstractNumId="15" w15:restartNumberingAfterBreak="0">
    <w:nsid w:val="6A59189A"/>
    <w:multiLevelType w:val="hybridMultilevel"/>
    <w:tmpl w:val="046AB1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EC5A57"/>
    <w:multiLevelType w:val="hybridMultilevel"/>
    <w:tmpl w:val="12DCBEF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278242">
    <w:abstractNumId w:val="1"/>
  </w:num>
  <w:num w:numId="2" w16cid:durableId="255479240">
    <w:abstractNumId w:val="0"/>
  </w:num>
  <w:num w:numId="3" w16cid:durableId="470438343">
    <w:abstractNumId w:val="16"/>
  </w:num>
  <w:num w:numId="4" w16cid:durableId="1060782891">
    <w:abstractNumId w:val="4"/>
  </w:num>
  <w:num w:numId="5" w16cid:durableId="1244950157">
    <w:abstractNumId w:val="8"/>
  </w:num>
  <w:num w:numId="6" w16cid:durableId="542255774">
    <w:abstractNumId w:val="7"/>
  </w:num>
  <w:num w:numId="7" w16cid:durableId="1226917089">
    <w:abstractNumId w:val="10"/>
  </w:num>
  <w:num w:numId="8" w16cid:durableId="1168180010">
    <w:abstractNumId w:val="3"/>
  </w:num>
  <w:num w:numId="9" w16cid:durableId="1311330647">
    <w:abstractNumId w:val="5"/>
  </w:num>
  <w:num w:numId="10" w16cid:durableId="156767792">
    <w:abstractNumId w:val="13"/>
  </w:num>
  <w:num w:numId="11" w16cid:durableId="1666593384">
    <w:abstractNumId w:val="14"/>
  </w:num>
  <w:num w:numId="12" w16cid:durableId="203755009">
    <w:abstractNumId w:val="12"/>
  </w:num>
  <w:num w:numId="13" w16cid:durableId="1954288392">
    <w:abstractNumId w:val="9"/>
  </w:num>
  <w:num w:numId="14" w16cid:durableId="626818486">
    <w:abstractNumId w:val="15"/>
  </w:num>
  <w:num w:numId="15" w16cid:durableId="87890064">
    <w:abstractNumId w:val="2"/>
  </w:num>
  <w:num w:numId="16" w16cid:durableId="79647584">
    <w:abstractNumId w:val="11"/>
  </w:num>
  <w:num w:numId="17" w16cid:durableId="196160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77A"/>
    <w:rsid w:val="00007FEA"/>
    <w:rsid w:val="0001242F"/>
    <w:rsid w:val="00017580"/>
    <w:rsid w:val="000250E4"/>
    <w:rsid w:val="0004260D"/>
    <w:rsid w:val="00046C26"/>
    <w:rsid w:val="00086BF3"/>
    <w:rsid w:val="000953CF"/>
    <w:rsid w:val="000B64EA"/>
    <w:rsid w:val="000C42C3"/>
    <w:rsid w:val="000D2AA2"/>
    <w:rsid w:val="000D6754"/>
    <w:rsid w:val="000F1FC2"/>
    <w:rsid w:val="00116CC6"/>
    <w:rsid w:val="00137E51"/>
    <w:rsid w:val="001542DD"/>
    <w:rsid w:val="00170A41"/>
    <w:rsid w:val="0018256D"/>
    <w:rsid w:val="0018728E"/>
    <w:rsid w:val="0019559F"/>
    <w:rsid w:val="00197B99"/>
    <w:rsid w:val="001A0D76"/>
    <w:rsid w:val="001D0F37"/>
    <w:rsid w:val="001F0874"/>
    <w:rsid w:val="001F6C81"/>
    <w:rsid w:val="001F74B1"/>
    <w:rsid w:val="002305C6"/>
    <w:rsid w:val="002331D7"/>
    <w:rsid w:val="00235548"/>
    <w:rsid w:val="00250A05"/>
    <w:rsid w:val="0026012F"/>
    <w:rsid w:val="00266BA1"/>
    <w:rsid w:val="0028172D"/>
    <w:rsid w:val="002911D9"/>
    <w:rsid w:val="002B2FD0"/>
    <w:rsid w:val="002B37FF"/>
    <w:rsid w:val="002D1451"/>
    <w:rsid w:val="002D66DC"/>
    <w:rsid w:val="003242A5"/>
    <w:rsid w:val="00330661"/>
    <w:rsid w:val="003310B0"/>
    <w:rsid w:val="0034010E"/>
    <w:rsid w:val="0035172D"/>
    <w:rsid w:val="00352070"/>
    <w:rsid w:val="003563F3"/>
    <w:rsid w:val="003B5511"/>
    <w:rsid w:val="003D0DE4"/>
    <w:rsid w:val="003D1D70"/>
    <w:rsid w:val="003E0EA7"/>
    <w:rsid w:val="00411B7F"/>
    <w:rsid w:val="00412C39"/>
    <w:rsid w:val="004153F5"/>
    <w:rsid w:val="00425FA0"/>
    <w:rsid w:val="0045277A"/>
    <w:rsid w:val="00473AD0"/>
    <w:rsid w:val="004826DE"/>
    <w:rsid w:val="0048734F"/>
    <w:rsid w:val="004B1DA9"/>
    <w:rsid w:val="004C27D9"/>
    <w:rsid w:val="00550060"/>
    <w:rsid w:val="005664BA"/>
    <w:rsid w:val="005948CA"/>
    <w:rsid w:val="005D6EEF"/>
    <w:rsid w:val="005E1DDD"/>
    <w:rsid w:val="005E7718"/>
    <w:rsid w:val="006011EA"/>
    <w:rsid w:val="00607B93"/>
    <w:rsid w:val="0061096C"/>
    <w:rsid w:val="00622835"/>
    <w:rsid w:val="00626BB2"/>
    <w:rsid w:val="00635EFB"/>
    <w:rsid w:val="00646B3D"/>
    <w:rsid w:val="00671F3F"/>
    <w:rsid w:val="006736A9"/>
    <w:rsid w:val="00673E2C"/>
    <w:rsid w:val="006852C5"/>
    <w:rsid w:val="006A01B3"/>
    <w:rsid w:val="006A5405"/>
    <w:rsid w:val="006B3DF3"/>
    <w:rsid w:val="006F3FFC"/>
    <w:rsid w:val="007042CA"/>
    <w:rsid w:val="00732251"/>
    <w:rsid w:val="00763024"/>
    <w:rsid w:val="00773175"/>
    <w:rsid w:val="007845FC"/>
    <w:rsid w:val="007847DF"/>
    <w:rsid w:val="007854CC"/>
    <w:rsid w:val="00787C9F"/>
    <w:rsid w:val="007904C9"/>
    <w:rsid w:val="00793EDC"/>
    <w:rsid w:val="007A78A1"/>
    <w:rsid w:val="007C2BBF"/>
    <w:rsid w:val="007E26BB"/>
    <w:rsid w:val="007F4D9D"/>
    <w:rsid w:val="007F54DA"/>
    <w:rsid w:val="008164EA"/>
    <w:rsid w:val="00816503"/>
    <w:rsid w:val="00820B6B"/>
    <w:rsid w:val="00853B47"/>
    <w:rsid w:val="008713A8"/>
    <w:rsid w:val="00876D5F"/>
    <w:rsid w:val="008A7B3A"/>
    <w:rsid w:val="008C2FB0"/>
    <w:rsid w:val="008C33BF"/>
    <w:rsid w:val="008D5DB0"/>
    <w:rsid w:val="00905D33"/>
    <w:rsid w:val="0091647C"/>
    <w:rsid w:val="00964FDB"/>
    <w:rsid w:val="00976326"/>
    <w:rsid w:val="00983DCA"/>
    <w:rsid w:val="009840A3"/>
    <w:rsid w:val="00984248"/>
    <w:rsid w:val="009D1278"/>
    <w:rsid w:val="00A04580"/>
    <w:rsid w:val="00A06331"/>
    <w:rsid w:val="00A54AA7"/>
    <w:rsid w:val="00A561C0"/>
    <w:rsid w:val="00A62962"/>
    <w:rsid w:val="00A65270"/>
    <w:rsid w:val="00A6665C"/>
    <w:rsid w:val="00A70E84"/>
    <w:rsid w:val="00A717FD"/>
    <w:rsid w:val="00A87B6B"/>
    <w:rsid w:val="00AD1530"/>
    <w:rsid w:val="00AD3B32"/>
    <w:rsid w:val="00AE6B60"/>
    <w:rsid w:val="00AE7E14"/>
    <w:rsid w:val="00AF24A7"/>
    <w:rsid w:val="00AF6742"/>
    <w:rsid w:val="00B07337"/>
    <w:rsid w:val="00B47AC5"/>
    <w:rsid w:val="00B547FA"/>
    <w:rsid w:val="00B63F38"/>
    <w:rsid w:val="00B9368B"/>
    <w:rsid w:val="00B94461"/>
    <w:rsid w:val="00BA4BDB"/>
    <w:rsid w:val="00BB2FE8"/>
    <w:rsid w:val="00C17618"/>
    <w:rsid w:val="00C216CE"/>
    <w:rsid w:val="00C3409A"/>
    <w:rsid w:val="00C56228"/>
    <w:rsid w:val="00C600E8"/>
    <w:rsid w:val="00C6395A"/>
    <w:rsid w:val="00C71CDC"/>
    <w:rsid w:val="00C8405F"/>
    <w:rsid w:val="00C903E1"/>
    <w:rsid w:val="00C97138"/>
    <w:rsid w:val="00CE001D"/>
    <w:rsid w:val="00CE0EB6"/>
    <w:rsid w:val="00CF4746"/>
    <w:rsid w:val="00D01EC1"/>
    <w:rsid w:val="00D14C8E"/>
    <w:rsid w:val="00D23441"/>
    <w:rsid w:val="00D3120B"/>
    <w:rsid w:val="00D34573"/>
    <w:rsid w:val="00D654ED"/>
    <w:rsid w:val="00D74EC4"/>
    <w:rsid w:val="00D85C4B"/>
    <w:rsid w:val="00D87A3D"/>
    <w:rsid w:val="00D93575"/>
    <w:rsid w:val="00DB51F5"/>
    <w:rsid w:val="00DF0622"/>
    <w:rsid w:val="00E11450"/>
    <w:rsid w:val="00E15F35"/>
    <w:rsid w:val="00E17235"/>
    <w:rsid w:val="00E37BB4"/>
    <w:rsid w:val="00E505CE"/>
    <w:rsid w:val="00E87BAF"/>
    <w:rsid w:val="00E9313D"/>
    <w:rsid w:val="00EA0915"/>
    <w:rsid w:val="00EB0B82"/>
    <w:rsid w:val="00EB1364"/>
    <w:rsid w:val="00EB6B0E"/>
    <w:rsid w:val="00EC3007"/>
    <w:rsid w:val="00ED69F4"/>
    <w:rsid w:val="00EE1305"/>
    <w:rsid w:val="00EF27E1"/>
    <w:rsid w:val="00F2568F"/>
    <w:rsid w:val="00F35B34"/>
    <w:rsid w:val="00F62D5D"/>
    <w:rsid w:val="00F66760"/>
    <w:rsid w:val="00F94EF5"/>
    <w:rsid w:val="00FB2A25"/>
    <w:rsid w:val="00FF49AE"/>
    <w:rsid w:val="00FF60EC"/>
    <w:rsid w:val="00FF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1ED7D"/>
  <w15:docId w15:val="{4C866093-9972-4C63-A609-5ADB89DC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C9F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277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270"/>
  </w:style>
  <w:style w:type="paragraph" w:styleId="Footer">
    <w:name w:val="footer"/>
    <w:basedOn w:val="Normal"/>
    <w:link w:val="Foot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270"/>
  </w:style>
  <w:style w:type="paragraph" w:styleId="BalloonText">
    <w:name w:val="Balloon Text"/>
    <w:basedOn w:val="Normal"/>
    <w:link w:val="BalloonTextChar"/>
    <w:uiPriority w:val="99"/>
    <w:semiHidden/>
    <w:unhideWhenUsed/>
    <w:rsid w:val="00170A41"/>
    <w:pPr>
      <w:spacing w:after="0"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0A41"/>
    <w:rPr>
      <w:rFonts w:ascii="Arial" w:eastAsia="Calibri" w:hAnsi="Arial" w:cs="Arial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54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6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27FB04-0AF9-4F50-830F-5B02E0234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19</Pages>
  <Words>2123</Words>
  <Characters>12103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arappas</dc:creator>
  <cp:lastModifiedBy>seda altug</cp:lastModifiedBy>
  <cp:revision>9</cp:revision>
  <cp:lastPrinted>2024-03-05T06:54:00Z</cp:lastPrinted>
  <dcterms:created xsi:type="dcterms:W3CDTF">2023-03-10T10:57:00Z</dcterms:created>
  <dcterms:modified xsi:type="dcterms:W3CDTF">2025-11-09T20:18:00Z</dcterms:modified>
</cp:coreProperties>
</file>