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color w:val="10B981"/>
        </w:rPr>
        <w:t>Week 4: The American Revolution &amp; Constitutional Settlement</w:t>
      </w:r>
    </w:p>
    <w:p>
      <w:pPr>
        <w:jc w:val="center"/>
      </w:pPr>
      <w:r>
        <w:rPr>
          <w:i/>
          <w:sz w:val="24"/>
          <w:color w:val="6B7280"/>
        </w:rPr>
        <w:t>Comprehensive Academic Lecture Notes (TR &amp; EN)</w:t>
      </w:r>
    </w:p>
    <w:p/>
    <w:p>
      <w:pPr>
        <w:spacing w:before="240" w:after="120"/>
      </w:pPr>
      <w:r>
        <w:rPr>
          <w:b/>
          <w:sz w:val="28"/>
          <w:color w:val="1F2937"/>
        </w:rPr>
        <w:t>1. Transatlantic Intellectual Foundations &amp; Colonial Typology</w:t>
      </w:r>
    </w:p>
    <w:p>
      <w:pPr>
        <w:spacing w:after="120"/>
        <w:line w:line="276" w:lineRule="auto"/>
      </w:pPr>
      <w:r>
        <w:rPr>
          <w:b/>
          <w:sz w:val="22"/>
        </w:rPr>
        <w:t>Age of Revolutions:</w:t>
      </w:r>
      <w:r>
        <w:rPr>
          <w:sz w:val="22"/>
        </w:rPr>
        <w:t> The American Revolution transformed loyal British colonists into revolutionaries, pioneering modern constitutional republicanism based on consent of the governed.</w:t>
      </w:r>
    </w:p>
    <w:p>
      <w:pPr>
        <w:spacing w:after="120"/>
        <w:line w:line="276" w:lineRule="auto"/>
      </w:pPr>
      <w:r>
        <w:rPr>
          <w:b/>
          <w:sz w:val="22"/>
        </w:rPr>
        <w:t>Colonial Typology &amp; Land Ownership:</w:t>
      </w:r>
      <w:r>
        <w:rPr>
          <w:sz w:val="22"/>
        </w:rPr>
        <w:t> Lacking a rigid feudal aristocracy, broad frontier land availability allowed 60% to 80% of white adult males to own land and vote, fostering an independent middle class.</w:t>
      </w:r>
    </w:p>
    <w:p>
      <w:pPr>
        <w:spacing w:after="120"/>
        <w:line w:line="276" w:lineRule="auto"/>
      </w:pPr>
      <w:r>
        <w:rPr>
          <w:b/>
          <w:sz w:val="22"/>
        </w:rPr>
        <w:t>Salutary Neglect:</w:t>
      </w:r>
      <w:r>
        <w:rPr>
          <w:sz w:val="22"/>
        </w:rPr>
        <w:t> For over a century, Britain exercised minimal direct interference, allowing colonial assemblies to act as de facto sovereign parliaments controlling local taxation.</w:t>
      </w:r>
    </w:p>
    <w:p>
      <w:pPr>
        <w:spacing w:before="240" w:after="120"/>
      </w:pPr>
      <w:r>
        <w:rPr>
          <w:b/>
          <w:sz w:val="28"/>
          <w:color w:val="1F2937"/>
        </w:rPr>
        <w:t>2. Crisis of Imperial Taxation &amp; Escalation</w:t>
      </w:r>
    </w:p>
    <w:p>
      <w:pPr>
        <w:spacing w:after="120"/>
        <w:line w:line="276" w:lineRule="auto"/>
      </w:pPr>
      <w:r>
        <w:rPr>
          <w:b/>
          <w:sz w:val="22"/>
        </w:rPr>
        <w:t>Seven Years' War Fiscal Crisis:</w:t>
      </w:r>
      <w:r>
        <w:rPr>
          <w:sz w:val="22"/>
        </w:rPr>
        <w:t> Victory over France in 1763 doubled British national debt, prompting Parliament to end salutary neglect and levy direct taxes (Stamp Act 1765).</w:t>
      </w:r>
    </w:p>
    <w:p>
      <w:pPr>
        <w:spacing w:after="120"/>
        <w:line w:line="276" w:lineRule="auto"/>
      </w:pPr>
      <w:r>
        <w:rPr>
          <w:b/>
          <w:sz w:val="22"/>
        </w:rPr>
        <w:t>Lockean Property Rights:</w:t>
      </w:r>
      <w:r>
        <w:rPr>
          <w:sz w:val="22"/>
        </w:rPr>
        <w:t> Colonists rallied around 'No Taxation Without Representation', arguing unconsented taxation violated Lockean natural property rights.</w:t>
      </w:r>
    </w:p>
    <w:p>
      <w:pPr>
        <w:spacing w:after="120"/>
        <w:line w:line="276" w:lineRule="auto"/>
      </w:pPr>
      <w:r>
        <w:rPr>
          <w:b/>
          <w:sz w:val="22"/>
        </w:rPr>
        <w:t>Escalation &amp; Outbreak:</w:t>
      </w:r>
      <w:r>
        <w:rPr>
          <w:sz w:val="22"/>
        </w:rPr>
        <w:t> Coercive Acts following the 1773 Boston Tea Party closed Boston harbor and dissolved self-government. Armed skirmishes at Lexington &amp; Concord (1775) launched revolutionary war.</w:t>
      </w:r>
    </w:p>
    <w:p>
      <w:pPr>
        <w:spacing w:before="240" w:after="120"/>
      </w:pPr>
      <w:r>
        <w:rPr>
          <w:b/>
          <w:sz w:val="28"/>
          <w:color w:val="1F2937"/>
        </w:rPr>
        <w:t>3. Declaration of Independence &amp; Constitutional Compromise</w:t>
      </w:r>
    </w:p>
    <w:p>
      <w:pPr>
        <w:spacing w:after="120"/>
        <w:line w:line="276" w:lineRule="auto"/>
      </w:pPr>
      <w:r>
        <w:rPr>
          <w:b/>
          <w:sz w:val="22"/>
        </w:rPr>
        <w:t>Declaration of Independence (1776):</w:t>
      </w:r>
      <w:r>
        <w:rPr>
          <w:sz w:val="22"/>
        </w:rPr>
        <w:t> Thomas Jefferson codified Lockean natural rights—life, liberty, and the pursuit of happiness—declaring government legitimacy derives solely from the consent of the governed.</w:t>
      </w:r>
    </w:p>
    <w:p>
      <w:pPr>
        <w:spacing w:after="120"/>
        <w:line w:line="276" w:lineRule="auto"/>
      </w:pPr>
      <w:r>
        <w:rPr>
          <w:b/>
          <w:sz w:val="22"/>
        </w:rPr>
        <w:t>French Alliance &amp; Yorktown:</w:t>
      </w:r>
      <w:r>
        <w:rPr>
          <w:sz w:val="22"/>
        </w:rPr>
        <w:t> French naval blockades and military forces under Lafayette secured decisive victory at Yorktown (1781).</w:t>
      </w:r>
    </w:p>
    <w:p>
      <w:pPr>
        <w:spacing w:after="120"/>
        <w:line w:line="276" w:lineRule="auto"/>
      </w:pPr>
      <w:r>
        <w:rPr>
          <w:b/>
          <w:sz w:val="22"/>
        </w:rPr>
        <w:t>1787 Constitutional Settlement:</w:t>
      </w:r>
      <w:r>
        <w:rPr>
          <w:sz w:val="22"/>
        </w:rPr>
        <w:t> The Constitutional Convention established a federal republic with checks &amp; balances. The Great Compromise created a bicameral Congress, while shelving slavery preserved immediate union but planted the seeds of the Civil War.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20864" w14:textId="77777777" w:rsidR="004C18EE" w:rsidRDefault="004C18EE" w:rsidP="00A65270">
      <w:pPr>
        <w:spacing w:after="0" w:line="240" w:lineRule="auto"/>
      </w:pPr>
      <w:r>
        <w:separator/>
      </w:r>
    </w:p>
  </w:endnote>
  <w:endnote w:type="continuationSeparator" w:id="0">
    <w:p w14:paraId="3D2F1AD0" w14:textId="77777777" w:rsidR="004C18EE" w:rsidRDefault="004C18EE" w:rsidP="00A65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Garamond" w:hAnsi="Garamond"/>
        <w:sz w:val="20"/>
        <w:szCs w:val="20"/>
      </w:rPr>
      <w:id w:val="101468776"/>
      <w:docPartObj>
        <w:docPartGallery w:val="Page Numbers (Bottom of Page)"/>
        <w:docPartUnique/>
      </w:docPartObj>
    </w:sdtPr>
    <w:sdtContent>
      <w:sdt>
        <w:sdtPr>
          <w:rPr>
            <w:rFonts w:ascii="Garamond" w:hAnsi="Garamond"/>
            <w:sz w:val="20"/>
            <w:szCs w:val="20"/>
          </w:rPr>
          <w:id w:val="-1669238322"/>
          <w:docPartObj>
            <w:docPartGallery w:val="Page Numbers (Top of Page)"/>
            <w:docPartUnique/>
          </w:docPartObj>
        </w:sdtPr>
        <w:sdtContent>
          <w:p w14:paraId="5C68292F" w14:textId="77777777" w:rsidR="00A65270" w:rsidRPr="00A65270" w:rsidRDefault="00A65270">
            <w:pPr>
              <w:pStyle w:val="Footer"/>
              <w:jc w:val="center"/>
              <w:rPr>
                <w:rFonts w:ascii="Garamond" w:hAnsi="Garamond"/>
                <w:sz w:val="20"/>
                <w:szCs w:val="20"/>
              </w:rPr>
            </w:pPr>
            <w:r w:rsidRPr="00A65270">
              <w:rPr>
                <w:rFonts w:ascii="Garamond" w:hAnsi="Garamond"/>
                <w:sz w:val="20"/>
                <w:szCs w:val="20"/>
              </w:rPr>
              <w:t xml:space="preserve">Page </w: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begin"/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instrText xml:space="preserve"> PAGE </w:instrTex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separate"/>
            </w:r>
            <w:r w:rsidR="004E19E5">
              <w:rPr>
                <w:rFonts w:ascii="Garamond" w:hAnsi="Garamond"/>
                <w:b/>
                <w:bCs/>
                <w:noProof/>
                <w:sz w:val="20"/>
                <w:szCs w:val="20"/>
              </w:rPr>
              <w:t>11</w: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end"/>
            </w:r>
            <w:r w:rsidRPr="00A65270">
              <w:rPr>
                <w:rFonts w:ascii="Garamond" w:hAnsi="Garamond"/>
                <w:sz w:val="20"/>
                <w:szCs w:val="20"/>
              </w:rPr>
              <w:t xml:space="preserve"> of </w: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begin"/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instrText xml:space="preserve"> NUMPAGES  </w:instrTex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separate"/>
            </w:r>
            <w:r w:rsidR="004E19E5">
              <w:rPr>
                <w:rFonts w:ascii="Garamond" w:hAnsi="Garamond"/>
                <w:b/>
                <w:bCs/>
                <w:noProof/>
                <w:sz w:val="20"/>
                <w:szCs w:val="20"/>
              </w:rPr>
              <w:t>11</w: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2300D0F5" w14:textId="77777777" w:rsidR="00A65270" w:rsidRDefault="00A652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893CE" w14:textId="77777777" w:rsidR="004C18EE" w:rsidRDefault="004C18EE" w:rsidP="00A65270">
      <w:pPr>
        <w:spacing w:after="0" w:line="240" w:lineRule="auto"/>
      </w:pPr>
      <w:r>
        <w:separator/>
      </w:r>
    </w:p>
  </w:footnote>
  <w:footnote w:type="continuationSeparator" w:id="0">
    <w:p w14:paraId="3FBAA640" w14:textId="77777777" w:rsidR="004C18EE" w:rsidRDefault="004C18EE" w:rsidP="00A65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7ABD7" w14:textId="62F87A73" w:rsidR="00A65270" w:rsidRPr="00621C33" w:rsidRDefault="00A65270" w:rsidP="00A010AD">
    <w:pPr>
      <w:pStyle w:val="Header"/>
      <w:rPr>
        <w:rFonts w:ascii="Cambria" w:hAnsi="Cambria"/>
      </w:rPr>
    </w:pPr>
    <w:r>
      <w:rPr>
        <w:rFonts w:ascii="Cambria" w:hAnsi="Cambria"/>
      </w:rPr>
      <w:t>Koç University</w:t>
    </w:r>
    <w:r>
      <w:rPr>
        <w:rFonts w:ascii="Cambria" w:hAnsi="Cambria"/>
      </w:rPr>
      <w:tab/>
    </w:r>
    <w:r>
      <w:rPr>
        <w:rFonts w:ascii="Cambria" w:hAnsi="Cambria"/>
      </w:rPr>
      <w:tab/>
    </w:r>
    <w:r w:rsidR="00A974F5">
      <w:rPr>
        <w:rFonts w:ascii="Cambria" w:hAnsi="Cambria"/>
      </w:rPr>
      <w:t>HUMS 13</w:t>
    </w:r>
    <w:r w:rsidR="002911D9">
      <w:rPr>
        <w:rFonts w:ascii="Cambria" w:hAnsi="Cambria"/>
      </w:rPr>
      <w:t>1</w:t>
    </w:r>
  </w:p>
  <w:p w14:paraId="31B84D58" w14:textId="77777777" w:rsidR="00A65270" w:rsidRDefault="00A652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3D43"/>
    <w:multiLevelType w:val="hybridMultilevel"/>
    <w:tmpl w:val="424AA2A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32785"/>
    <w:multiLevelType w:val="hybridMultilevel"/>
    <w:tmpl w:val="32D80C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C652DE1C">
      <w:start w:val="1"/>
      <w:numFmt w:val="bullet"/>
      <w:lvlText w:val=""/>
      <w:lvlJc w:val="left"/>
      <w:pPr>
        <w:ind w:left="3600" w:hanging="360"/>
      </w:pPr>
      <w:rPr>
        <w:rFonts w:ascii="Wingdings" w:hAnsi="Wingdings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26549"/>
    <w:multiLevelType w:val="hybridMultilevel"/>
    <w:tmpl w:val="E9B08A7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526C78F2">
      <w:start w:val="1"/>
      <w:numFmt w:val="bullet"/>
      <w:lvlText w:val=""/>
      <w:lvlJc w:val="left"/>
      <w:pPr>
        <w:ind w:left="3600" w:hanging="360"/>
      </w:pPr>
      <w:rPr>
        <w:rFonts w:ascii="Wingdings" w:hAnsi="Wingdings" w:hint="default"/>
      </w:rPr>
    </w:lvl>
    <w:lvl w:ilvl="5" w:tplc="041F000D">
      <w:start w:val="1"/>
      <w:numFmt w:val="bullet"/>
      <w:lvlText w:val=""/>
      <w:lvlJc w:val="left"/>
      <w:pPr>
        <w:ind w:left="4320" w:hanging="360"/>
      </w:pPr>
      <w:rPr>
        <w:rFonts w:ascii="Wingdings" w:hAnsi="Wingdings" w:hint="default"/>
      </w:rPr>
    </w:lvl>
    <w:lvl w:ilvl="6" w:tplc="ECC2742E">
      <w:start w:val="2"/>
      <w:numFmt w:val="bullet"/>
      <w:lvlText w:val="-"/>
      <w:lvlJc w:val="left"/>
      <w:pPr>
        <w:ind w:left="5040" w:hanging="360"/>
      </w:pPr>
      <w:rPr>
        <w:rFonts w:ascii="Garamond" w:eastAsia="Times New Roman" w:hAnsi="Garamond" w:cs="Times New Roman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21BD5"/>
    <w:multiLevelType w:val="hybridMultilevel"/>
    <w:tmpl w:val="80E0A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3000E"/>
    <w:multiLevelType w:val="hybridMultilevel"/>
    <w:tmpl w:val="5E9A9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BE22E6"/>
    <w:multiLevelType w:val="hybridMultilevel"/>
    <w:tmpl w:val="4EBE3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6112A0"/>
    <w:multiLevelType w:val="hybridMultilevel"/>
    <w:tmpl w:val="6E10E74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274C22"/>
    <w:multiLevelType w:val="hybridMultilevel"/>
    <w:tmpl w:val="C5FA8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86619"/>
    <w:multiLevelType w:val="hybridMultilevel"/>
    <w:tmpl w:val="BD4A4E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E2AD8"/>
    <w:multiLevelType w:val="hybridMultilevel"/>
    <w:tmpl w:val="949801F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B60EFE"/>
    <w:multiLevelType w:val="hybridMultilevel"/>
    <w:tmpl w:val="8D22DF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187347"/>
    <w:multiLevelType w:val="hybridMultilevel"/>
    <w:tmpl w:val="7076B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BF5DF3"/>
    <w:multiLevelType w:val="hybridMultilevel"/>
    <w:tmpl w:val="730C1AA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450B99"/>
    <w:multiLevelType w:val="hybridMultilevel"/>
    <w:tmpl w:val="734C9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A030F6"/>
    <w:multiLevelType w:val="hybridMultilevel"/>
    <w:tmpl w:val="C5FE5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C068E4"/>
    <w:multiLevelType w:val="hybridMultilevel"/>
    <w:tmpl w:val="91E0D52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BB5703"/>
    <w:multiLevelType w:val="hybridMultilevel"/>
    <w:tmpl w:val="B066D52A"/>
    <w:lvl w:ilvl="0" w:tplc="04090001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44" w:hanging="360"/>
      </w:pPr>
      <w:rPr>
        <w:rFonts w:ascii="Wingdings" w:hAnsi="Wingdings" w:hint="default"/>
      </w:rPr>
    </w:lvl>
    <w:lvl w:ilvl="4" w:tplc="041F000D">
      <w:start w:val="1"/>
      <w:numFmt w:val="bullet"/>
      <w:lvlText w:val=""/>
      <w:lvlJc w:val="left"/>
      <w:pPr>
        <w:ind w:left="3564" w:hanging="360"/>
      </w:pPr>
      <w:rPr>
        <w:rFonts w:ascii="Wingdings" w:hAnsi="Wingdings" w:hint="default"/>
      </w:rPr>
    </w:lvl>
    <w:lvl w:ilvl="5" w:tplc="C652DE1C">
      <w:start w:val="1"/>
      <w:numFmt w:val="bullet"/>
      <w:lvlText w:val="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17" w15:restartNumberingAfterBreak="0">
    <w:nsid w:val="6A59189A"/>
    <w:multiLevelType w:val="hybridMultilevel"/>
    <w:tmpl w:val="046AB17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EC5A57"/>
    <w:multiLevelType w:val="hybridMultilevel"/>
    <w:tmpl w:val="12DCBEF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832958">
    <w:abstractNumId w:val="1"/>
  </w:num>
  <w:num w:numId="2" w16cid:durableId="1370490833">
    <w:abstractNumId w:val="0"/>
  </w:num>
  <w:num w:numId="3" w16cid:durableId="981499771">
    <w:abstractNumId w:val="18"/>
  </w:num>
  <w:num w:numId="4" w16cid:durableId="505176008">
    <w:abstractNumId w:val="4"/>
  </w:num>
  <w:num w:numId="5" w16cid:durableId="148640005">
    <w:abstractNumId w:val="8"/>
  </w:num>
  <w:num w:numId="6" w16cid:durableId="262108576">
    <w:abstractNumId w:val="7"/>
  </w:num>
  <w:num w:numId="7" w16cid:durableId="635141220">
    <w:abstractNumId w:val="11"/>
  </w:num>
  <w:num w:numId="8" w16cid:durableId="519976079">
    <w:abstractNumId w:val="3"/>
  </w:num>
  <w:num w:numId="9" w16cid:durableId="297152110">
    <w:abstractNumId w:val="5"/>
  </w:num>
  <w:num w:numId="10" w16cid:durableId="1734741745">
    <w:abstractNumId w:val="14"/>
  </w:num>
  <w:num w:numId="11" w16cid:durableId="178280077">
    <w:abstractNumId w:val="16"/>
  </w:num>
  <w:num w:numId="12" w16cid:durableId="2093162556">
    <w:abstractNumId w:val="13"/>
  </w:num>
  <w:num w:numId="13" w16cid:durableId="579753355">
    <w:abstractNumId w:val="10"/>
  </w:num>
  <w:num w:numId="14" w16cid:durableId="1246064017">
    <w:abstractNumId w:val="17"/>
  </w:num>
  <w:num w:numId="15" w16cid:durableId="1976596084">
    <w:abstractNumId w:val="2"/>
  </w:num>
  <w:num w:numId="16" w16cid:durableId="1280573638">
    <w:abstractNumId w:val="12"/>
  </w:num>
  <w:num w:numId="17" w16cid:durableId="918514847">
    <w:abstractNumId w:val="6"/>
  </w:num>
  <w:num w:numId="18" w16cid:durableId="566962262">
    <w:abstractNumId w:val="9"/>
  </w:num>
  <w:num w:numId="19" w16cid:durableId="13840577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77A"/>
    <w:rsid w:val="00007FEA"/>
    <w:rsid w:val="0001242F"/>
    <w:rsid w:val="00017580"/>
    <w:rsid w:val="000250E4"/>
    <w:rsid w:val="0004260D"/>
    <w:rsid w:val="00046126"/>
    <w:rsid w:val="00046C26"/>
    <w:rsid w:val="000953CF"/>
    <w:rsid w:val="000B64EA"/>
    <w:rsid w:val="000C42C3"/>
    <w:rsid w:val="000D2AA2"/>
    <w:rsid w:val="000F1FC2"/>
    <w:rsid w:val="00116CC6"/>
    <w:rsid w:val="00137E51"/>
    <w:rsid w:val="00151F0E"/>
    <w:rsid w:val="001542DD"/>
    <w:rsid w:val="00170A41"/>
    <w:rsid w:val="0018256D"/>
    <w:rsid w:val="0018728E"/>
    <w:rsid w:val="0019559F"/>
    <w:rsid w:val="00197B99"/>
    <w:rsid w:val="001A0D76"/>
    <w:rsid w:val="001D0F37"/>
    <w:rsid w:val="001F54B1"/>
    <w:rsid w:val="001F65CF"/>
    <w:rsid w:val="001F68E9"/>
    <w:rsid w:val="001F74B1"/>
    <w:rsid w:val="00206CF4"/>
    <w:rsid w:val="002305C6"/>
    <w:rsid w:val="002331D7"/>
    <w:rsid w:val="00235548"/>
    <w:rsid w:val="00250A05"/>
    <w:rsid w:val="0026012F"/>
    <w:rsid w:val="00266BA1"/>
    <w:rsid w:val="002911D9"/>
    <w:rsid w:val="002B2FD0"/>
    <w:rsid w:val="002B37FF"/>
    <w:rsid w:val="002D1451"/>
    <w:rsid w:val="002D66DC"/>
    <w:rsid w:val="002F065E"/>
    <w:rsid w:val="003162E0"/>
    <w:rsid w:val="00330661"/>
    <w:rsid w:val="003310B0"/>
    <w:rsid w:val="0034010E"/>
    <w:rsid w:val="0035172D"/>
    <w:rsid w:val="00352070"/>
    <w:rsid w:val="003A76CB"/>
    <w:rsid w:val="003B5511"/>
    <w:rsid w:val="003D0DE4"/>
    <w:rsid w:val="003D1D70"/>
    <w:rsid w:val="003E0EA7"/>
    <w:rsid w:val="00411B7F"/>
    <w:rsid w:val="00412C39"/>
    <w:rsid w:val="004153F5"/>
    <w:rsid w:val="00425FA0"/>
    <w:rsid w:val="0045277A"/>
    <w:rsid w:val="00473AD0"/>
    <w:rsid w:val="00482DEB"/>
    <w:rsid w:val="0048734F"/>
    <w:rsid w:val="004B1DA9"/>
    <w:rsid w:val="004B4596"/>
    <w:rsid w:val="004C18EE"/>
    <w:rsid w:val="004E19E5"/>
    <w:rsid w:val="005456D5"/>
    <w:rsid w:val="00550060"/>
    <w:rsid w:val="00564635"/>
    <w:rsid w:val="005948CA"/>
    <w:rsid w:val="005A08B7"/>
    <w:rsid w:val="005D6EEF"/>
    <w:rsid w:val="005E1DDD"/>
    <w:rsid w:val="005E7718"/>
    <w:rsid w:val="006011EA"/>
    <w:rsid w:val="00607B93"/>
    <w:rsid w:val="00626BB2"/>
    <w:rsid w:val="00635EFB"/>
    <w:rsid w:val="00646B3D"/>
    <w:rsid w:val="00671F3F"/>
    <w:rsid w:val="006736A9"/>
    <w:rsid w:val="006852C5"/>
    <w:rsid w:val="006A01B3"/>
    <w:rsid w:val="006A5405"/>
    <w:rsid w:val="006B3DF3"/>
    <w:rsid w:val="006F3FFC"/>
    <w:rsid w:val="007042CA"/>
    <w:rsid w:val="00732251"/>
    <w:rsid w:val="00763024"/>
    <w:rsid w:val="00773175"/>
    <w:rsid w:val="007845FC"/>
    <w:rsid w:val="007847DF"/>
    <w:rsid w:val="007854CC"/>
    <w:rsid w:val="00787C9F"/>
    <w:rsid w:val="007904C9"/>
    <w:rsid w:val="00793EDC"/>
    <w:rsid w:val="007A78A1"/>
    <w:rsid w:val="007C2BBF"/>
    <w:rsid w:val="007E26BB"/>
    <w:rsid w:val="007F4D9D"/>
    <w:rsid w:val="007F54DA"/>
    <w:rsid w:val="00816503"/>
    <w:rsid w:val="00820B6B"/>
    <w:rsid w:val="00840535"/>
    <w:rsid w:val="00853B47"/>
    <w:rsid w:val="00876D5F"/>
    <w:rsid w:val="008825B5"/>
    <w:rsid w:val="008A7B3A"/>
    <w:rsid w:val="008C2FB0"/>
    <w:rsid w:val="008C33BF"/>
    <w:rsid w:val="008D5DB0"/>
    <w:rsid w:val="00905D33"/>
    <w:rsid w:val="0091647C"/>
    <w:rsid w:val="00955680"/>
    <w:rsid w:val="00964FDB"/>
    <w:rsid w:val="00971E88"/>
    <w:rsid w:val="00976326"/>
    <w:rsid w:val="00983DCA"/>
    <w:rsid w:val="009840A3"/>
    <w:rsid w:val="00984248"/>
    <w:rsid w:val="009B6459"/>
    <w:rsid w:val="009D1278"/>
    <w:rsid w:val="00A010AD"/>
    <w:rsid w:val="00A04580"/>
    <w:rsid w:val="00A06331"/>
    <w:rsid w:val="00A4183C"/>
    <w:rsid w:val="00A54AA7"/>
    <w:rsid w:val="00A62962"/>
    <w:rsid w:val="00A65270"/>
    <w:rsid w:val="00A6665C"/>
    <w:rsid w:val="00A70E84"/>
    <w:rsid w:val="00A80698"/>
    <w:rsid w:val="00A87B6B"/>
    <w:rsid w:val="00A974F5"/>
    <w:rsid w:val="00AA656E"/>
    <w:rsid w:val="00AB02AC"/>
    <w:rsid w:val="00AB7A01"/>
    <w:rsid w:val="00AD1530"/>
    <w:rsid w:val="00AD3B32"/>
    <w:rsid w:val="00AE6B60"/>
    <w:rsid w:val="00AE7E14"/>
    <w:rsid w:val="00AF6742"/>
    <w:rsid w:val="00B53925"/>
    <w:rsid w:val="00B547FA"/>
    <w:rsid w:val="00B63F38"/>
    <w:rsid w:val="00B9368B"/>
    <w:rsid w:val="00B94461"/>
    <w:rsid w:val="00BA4BDB"/>
    <w:rsid w:val="00BB2FE8"/>
    <w:rsid w:val="00C17618"/>
    <w:rsid w:val="00C216CE"/>
    <w:rsid w:val="00C3409A"/>
    <w:rsid w:val="00C56228"/>
    <w:rsid w:val="00C600E8"/>
    <w:rsid w:val="00C6395A"/>
    <w:rsid w:val="00C71CDC"/>
    <w:rsid w:val="00C8405F"/>
    <w:rsid w:val="00C903E1"/>
    <w:rsid w:val="00CE001D"/>
    <w:rsid w:val="00CE0EB6"/>
    <w:rsid w:val="00CF4746"/>
    <w:rsid w:val="00D01EC1"/>
    <w:rsid w:val="00D14C8E"/>
    <w:rsid w:val="00D23441"/>
    <w:rsid w:val="00D3120B"/>
    <w:rsid w:val="00D34573"/>
    <w:rsid w:val="00D654ED"/>
    <w:rsid w:val="00D74EC4"/>
    <w:rsid w:val="00D85C4B"/>
    <w:rsid w:val="00D93575"/>
    <w:rsid w:val="00DB51F5"/>
    <w:rsid w:val="00DF41EA"/>
    <w:rsid w:val="00E11450"/>
    <w:rsid w:val="00E15F35"/>
    <w:rsid w:val="00E17235"/>
    <w:rsid w:val="00E317AB"/>
    <w:rsid w:val="00E354A2"/>
    <w:rsid w:val="00E37BB4"/>
    <w:rsid w:val="00E505CE"/>
    <w:rsid w:val="00E87BAF"/>
    <w:rsid w:val="00E9313D"/>
    <w:rsid w:val="00EA0915"/>
    <w:rsid w:val="00EB0B82"/>
    <w:rsid w:val="00EB1364"/>
    <w:rsid w:val="00EB6B0E"/>
    <w:rsid w:val="00EC3007"/>
    <w:rsid w:val="00ED69F4"/>
    <w:rsid w:val="00EE1305"/>
    <w:rsid w:val="00EF27E1"/>
    <w:rsid w:val="00F2568F"/>
    <w:rsid w:val="00F35B34"/>
    <w:rsid w:val="00F62D5D"/>
    <w:rsid w:val="00F90E2A"/>
    <w:rsid w:val="00FA7ADA"/>
    <w:rsid w:val="00FB2A25"/>
    <w:rsid w:val="00FC4829"/>
    <w:rsid w:val="00FF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8414C"/>
  <w15:docId w15:val="{4EBC2104-0814-448B-8DEE-55E9B52F4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C9F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7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52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270"/>
  </w:style>
  <w:style w:type="paragraph" w:styleId="Footer">
    <w:name w:val="footer"/>
    <w:basedOn w:val="Normal"/>
    <w:link w:val="FooterChar"/>
    <w:uiPriority w:val="99"/>
    <w:unhideWhenUsed/>
    <w:rsid w:val="00A652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270"/>
  </w:style>
  <w:style w:type="paragraph" w:styleId="BalloonText">
    <w:name w:val="Balloon Text"/>
    <w:basedOn w:val="Normal"/>
    <w:link w:val="BalloonTextChar"/>
    <w:uiPriority w:val="99"/>
    <w:semiHidden/>
    <w:unhideWhenUsed/>
    <w:rsid w:val="00170A41"/>
    <w:pPr>
      <w:spacing w:after="0" w:line="240" w:lineRule="auto"/>
    </w:pPr>
    <w:rPr>
      <w:rFonts w:ascii="Arial" w:hAnsi="Arial" w:cs="Arial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A41"/>
    <w:rPr>
      <w:rFonts w:ascii="Arial" w:eastAsia="Calibri" w:hAnsi="Arial" w:cs="Arial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4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9A2F39-3E26-4A54-8BE3-A673484C8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1459</Words>
  <Characters>8814</Characters>
  <Application>Microsoft Office Word</Application>
  <DocSecurity>0</DocSecurity>
  <Lines>119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arappas</dc:creator>
  <cp:lastModifiedBy>seda altug</cp:lastModifiedBy>
  <cp:revision>2</cp:revision>
  <cp:lastPrinted>2023-03-20T13:30:00Z</cp:lastPrinted>
  <dcterms:created xsi:type="dcterms:W3CDTF">2026-07-08T07:49:00Z</dcterms:created>
  <dcterms:modified xsi:type="dcterms:W3CDTF">2026-07-08T07:49:00Z</dcterms:modified>
</cp:coreProperties>
</file>