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E29C7" w14:textId="746CDF70" w:rsidR="00DD3B84" w:rsidRPr="00E0708E" w:rsidRDefault="00C00462" w:rsidP="00C00462">
      <w:pPr>
        <w:spacing w:after="0" w:line="240" w:lineRule="auto"/>
        <w:rPr>
          <w:rFonts w:ascii="Arial" w:hAnsi="Arial" w:cs="Arial"/>
          <w:b/>
          <w:sz w:val="28"/>
          <w:szCs w:val="28"/>
        </w:rPr>
      </w:pPr>
      <w:r w:rsidRPr="00E0708E">
        <w:rPr>
          <w:rFonts w:ascii="Arial" w:hAnsi="Arial" w:cs="Arial"/>
          <w:b/>
          <w:sz w:val="28"/>
          <w:szCs w:val="28"/>
        </w:rPr>
        <w:t xml:space="preserve">Research Strategies </w:t>
      </w:r>
    </w:p>
    <w:p w14:paraId="2425A178" w14:textId="77777777" w:rsidR="00C00462" w:rsidRDefault="00C00462" w:rsidP="00C00462">
      <w:pPr>
        <w:spacing w:after="0" w:line="240" w:lineRule="auto"/>
        <w:rPr>
          <w:rFonts w:ascii="Arial" w:hAnsi="Arial" w:cs="Arial"/>
        </w:rPr>
      </w:pPr>
    </w:p>
    <w:p w14:paraId="52B03AE8" w14:textId="089E6129" w:rsidR="00C00462" w:rsidRDefault="00AD3797" w:rsidP="00C00462">
      <w:pPr>
        <w:spacing w:after="0" w:line="240" w:lineRule="auto"/>
        <w:rPr>
          <w:rFonts w:ascii="Arial" w:hAnsi="Arial" w:cs="Arial"/>
        </w:rPr>
      </w:pPr>
      <w:r w:rsidRPr="00E0708E">
        <w:rPr>
          <w:rFonts w:ascii="Arial" w:hAnsi="Arial" w:cs="Arial"/>
          <w:b/>
          <w:bCs/>
        </w:rPr>
        <w:t>Note:</w:t>
      </w:r>
      <w:r>
        <w:rPr>
          <w:rFonts w:ascii="Arial" w:hAnsi="Arial" w:cs="Arial"/>
        </w:rPr>
        <w:t xml:space="preserve"> th</w:t>
      </w:r>
      <w:r w:rsidR="00E8379D">
        <w:rPr>
          <w:rFonts w:ascii="Arial" w:hAnsi="Arial" w:cs="Arial"/>
        </w:rPr>
        <w:t>e</w:t>
      </w:r>
      <w:r>
        <w:rPr>
          <w:rFonts w:ascii="Arial" w:hAnsi="Arial" w:cs="Arial"/>
        </w:rPr>
        <w:t xml:space="preserve">re are a number of ways </w:t>
      </w:r>
      <w:r w:rsidR="0082355F">
        <w:rPr>
          <w:rFonts w:ascii="Arial" w:hAnsi="Arial" w:cs="Arial"/>
        </w:rPr>
        <w:t>to d</w:t>
      </w:r>
      <w:r>
        <w:rPr>
          <w:rFonts w:ascii="Arial" w:hAnsi="Arial" w:cs="Arial"/>
        </w:rPr>
        <w:t>escrib</w:t>
      </w:r>
      <w:r w:rsidR="0082355F">
        <w:rPr>
          <w:rFonts w:ascii="Arial" w:hAnsi="Arial" w:cs="Arial"/>
        </w:rPr>
        <w:t>e</w:t>
      </w:r>
      <w:r>
        <w:rPr>
          <w:rFonts w:ascii="Arial" w:hAnsi="Arial" w:cs="Arial"/>
        </w:rPr>
        <w:t xml:space="preserve"> the approaches that can be taken to social science research - including describing them as strategies, methodologies, designs, approaches, choices - and different writers use different terminologies. Here I've called them all 'strategies'.</w:t>
      </w:r>
    </w:p>
    <w:p w14:paraId="4DD0A69B" w14:textId="77777777" w:rsidR="00AD3797" w:rsidRDefault="00AD3797" w:rsidP="00C00462">
      <w:pPr>
        <w:spacing w:after="0" w:line="240" w:lineRule="auto"/>
        <w:rPr>
          <w:rFonts w:ascii="Arial" w:hAnsi="Arial" w:cs="Arial"/>
        </w:rPr>
      </w:pPr>
    </w:p>
    <w:p w14:paraId="5894575B" w14:textId="77777777" w:rsidR="00AD3797" w:rsidRDefault="00AD3797" w:rsidP="00C00462">
      <w:pPr>
        <w:spacing w:after="0" w:line="240" w:lineRule="auto"/>
        <w:rPr>
          <w:rFonts w:ascii="Arial" w:hAnsi="Arial" w:cs="Arial"/>
        </w:rPr>
      </w:pPr>
      <w:r>
        <w:rPr>
          <w:rFonts w:ascii="Arial" w:hAnsi="Arial" w:cs="Arial"/>
        </w:rPr>
        <w:t xml:space="preserve">Writers also often distinguish between </w:t>
      </w:r>
      <w:r w:rsidR="00BC26F1">
        <w:rPr>
          <w:rFonts w:ascii="Arial" w:hAnsi="Arial" w:cs="Arial"/>
        </w:rPr>
        <w:t xml:space="preserve">the different purposes of </w:t>
      </w:r>
      <w:r>
        <w:rPr>
          <w:rFonts w:ascii="Arial" w:hAnsi="Arial" w:cs="Arial"/>
        </w:rPr>
        <w:t>research</w:t>
      </w:r>
      <w:r w:rsidR="00BC26F1">
        <w:rPr>
          <w:rFonts w:ascii="Arial" w:hAnsi="Arial" w:cs="Arial"/>
        </w:rPr>
        <w:t>, as</w:t>
      </w:r>
      <w:r>
        <w:rPr>
          <w:rFonts w:ascii="Arial" w:hAnsi="Arial" w:cs="Arial"/>
        </w:rPr>
        <w:t xml:space="preserve"> </w:t>
      </w:r>
    </w:p>
    <w:p w14:paraId="4DE83019" w14:textId="77777777" w:rsidR="00AD3797" w:rsidRDefault="00AD3797" w:rsidP="00C00462">
      <w:pPr>
        <w:spacing w:after="0" w:line="240" w:lineRule="auto"/>
        <w:rPr>
          <w:rFonts w:ascii="Arial" w:hAnsi="Arial" w:cs="Arial"/>
        </w:rPr>
      </w:pPr>
    </w:p>
    <w:p w14:paraId="5F8A1A74" w14:textId="77777777" w:rsidR="00AD3797" w:rsidRPr="002F04F0" w:rsidRDefault="00AD3797" w:rsidP="002F04F0">
      <w:pPr>
        <w:pStyle w:val="ListParagraph"/>
        <w:numPr>
          <w:ilvl w:val="0"/>
          <w:numId w:val="1"/>
        </w:numPr>
        <w:spacing w:after="0" w:line="240" w:lineRule="auto"/>
        <w:rPr>
          <w:rFonts w:ascii="Arial" w:hAnsi="Arial" w:cs="Arial"/>
        </w:rPr>
      </w:pPr>
      <w:r w:rsidRPr="002F04F0">
        <w:rPr>
          <w:rFonts w:ascii="Arial" w:hAnsi="Arial" w:cs="Arial"/>
        </w:rPr>
        <w:t xml:space="preserve">exploratory </w:t>
      </w:r>
    </w:p>
    <w:p w14:paraId="5025B925" w14:textId="77777777" w:rsidR="00AD3797" w:rsidRPr="002F04F0" w:rsidRDefault="00AD3797" w:rsidP="002F04F0">
      <w:pPr>
        <w:pStyle w:val="ListParagraph"/>
        <w:numPr>
          <w:ilvl w:val="0"/>
          <w:numId w:val="1"/>
        </w:numPr>
        <w:spacing w:after="0" w:line="240" w:lineRule="auto"/>
        <w:rPr>
          <w:rFonts w:ascii="Arial" w:hAnsi="Arial" w:cs="Arial"/>
        </w:rPr>
      </w:pPr>
      <w:r w:rsidRPr="002F04F0">
        <w:rPr>
          <w:rFonts w:ascii="Arial" w:hAnsi="Arial" w:cs="Arial"/>
        </w:rPr>
        <w:t>descriptive</w:t>
      </w:r>
    </w:p>
    <w:p w14:paraId="523C9496" w14:textId="77777777" w:rsidR="00AD3797" w:rsidRPr="002F04F0" w:rsidRDefault="00AD3797" w:rsidP="002F04F0">
      <w:pPr>
        <w:pStyle w:val="ListParagraph"/>
        <w:numPr>
          <w:ilvl w:val="0"/>
          <w:numId w:val="1"/>
        </w:numPr>
        <w:spacing w:after="0" w:line="240" w:lineRule="auto"/>
        <w:rPr>
          <w:rFonts w:ascii="Arial" w:hAnsi="Arial" w:cs="Arial"/>
        </w:rPr>
      </w:pPr>
      <w:r w:rsidRPr="002F04F0">
        <w:rPr>
          <w:rFonts w:ascii="Arial" w:hAnsi="Arial" w:cs="Arial"/>
        </w:rPr>
        <w:t>explanatory</w:t>
      </w:r>
    </w:p>
    <w:p w14:paraId="791D17A7" w14:textId="77777777" w:rsidR="00AD3797" w:rsidRDefault="00AD3797" w:rsidP="00C00462">
      <w:pPr>
        <w:spacing w:after="0" w:line="240" w:lineRule="auto"/>
        <w:rPr>
          <w:rFonts w:ascii="Arial" w:hAnsi="Arial" w:cs="Arial"/>
        </w:rPr>
      </w:pPr>
    </w:p>
    <w:p w14:paraId="6C2167B6" w14:textId="77777777" w:rsidR="00AD3797" w:rsidRDefault="00AD3797" w:rsidP="00C00462">
      <w:pPr>
        <w:spacing w:after="0" w:line="240" w:lineRule="auto"/>
        <w:rPr>
          <w:rFonts w:ascii="Arial" w:hAnsi="Arial" w:cs="Arial"/>
        </w:rPr>
      </w:pPr>
      <w:r>
        <w:rPr>
          <w:rFonts w:ascii="Arial" w:hAnsi="Arial" w:cs="Arial"/>
        </w:rPr>
        <w:t xml:space="preserve">- which I don't mention in the lecture. </w:t>
      </w:r>
    </w:p>
    <w:p w14:paraId="5894AFAB" w14:textId="77777777" w:rsidR="00AD3797" w:rsidRDefault="00AD3797" w:rsidP="00C00462">
      <w:pPr>
        <w:spacing w:after="0" w:line="240" w:lineRule="auto"/>
        <w:rPr>
          <w:rFonts w:ascii="Arial" w:hAnsi="Arial" w:cs="Arial"/>
        </w:rPr>
      </w:pPr>
    </w:p>
    <w:p w14:paraId="5B242B61" w14:textId="69B883DB" w:rsidR="00AD3797" w:rsidRDefault="00AD3797" w:rsidP="00C00462">
      <w:pPr>
        <w:spacing w:after="0" w:line="240" w:lineRule="auto"/>
        <w:rPr>
          <w:rFonts w:ascii="Arial" w:hAnsi="Arial" w:cs="Arial"/>
        </w:rPr>
      </w:pPr>
      <w:r>
        <w:rPr>
          <w:rFonts w:ascii="Arial" w:hAnsi="Arial" w:cs="Arial"/>
        </w:rPr>
        <w:t>Exploratory research is about finding out about an area that is new to the researcher. It is the kind of research you might carry out if you wanted to clarify your understanding of a problem (Saunders et al, 20</w:t>
      </w:r>
      <w:r w:rsidR="00E0708E">
        <w:rPr>
          <w:rFonts w:ascii="Arial" w:hAnsi="Arial" w:cs="Arial"/>
        </w:rPr>
        <w:t>1</w:t>
      </w:r>
      <w:r>
        <w:rPr>
          <w:rFonts w:ascii="Arial" w:hAnsi="Arial" w:cs="Arial"/>
        </w:rPr>
        <w:t>9). Saunders et al indicate that exploratory research is likely to be flexible and adaptable to change. It is usually essentially qualitative in nature.</w:t>
      </w:r>
    </w:p>
    <w:p w14:paraId="15A11689" w14:textId="77777777" w:rsidR="00AD3797" w:rsidRDefault="00AD3797" w:rsidP="00C00462">
      <w:pPr>
        <w:spacing w:after="0" w:line="240" w:lineRule="auto"/>
        <w:rPr>
          <w:rFonts w:ascii="Arial" w:hAnsi="Arial" w:cs="Arial"/>
        </w:rPr>
      </w:pPr>
    </w:p>
    <w:p w14:paraId="5FEA47A1" w14:textId="59A57EE5" w:rsidR="00AD3797" w:rsidRDefault="00AD3797" w:rsidP="00C00462">
      <w:pPr>
        <w:spacing w:after="0" w:line="240" w:lineRule="auto"/>
        <w:rPr>
          <w:rFonts w:ascii="Arial" w:hAnsi="Arial" w:cs="Arial"/>
        </w:rPr>
      </w:pPr>
      <w:r>
        <w:rPr>
          <w:rFonts w:ascii="Arial" w:hAnsi="Arial" w:cs="Arial"/>
        </w:rPr>
        <w:t xml:space="preserve">Descriptive research aims to get an accurate picture of what is happening in </w:t>
      </w:r>
      <w:r w:rsidR="00BC26F1">
        <w:rPr>
          <w:rFonts w:ascii="Arial" w:hAnsi="Arial" w:cs="Arial"/>
        </w:rPr>
        <w:t xml:space="preserve">your area of interest. As Robson </w:t>
      </w:r>
      <w:r w:rsidR="00326C69">
        <w:rPr>
          <w:rFonts w:ascii="Arial" w:hAnsi="Arial" w:cs="Arial"/>
        </w:rPr>
        <w:t xml:space="preserve">and McCartan </w:t>
      </w:r>
      <w:r w:rsidR="00BC26F1">
        <w:rPr>
          <w:rFonts w:ascii="Arial" w:hAnsi="Arial" w:cs="Arial"/>
        </w:rPr>
        <w:t>(201</w:t>
      </w:r>
      <w:r w:rsidR="00326C69">
        <w:rPr>
          <w:rFonts w:ascii="Arial" w:hAnsi="Arial" w:cs="Arial"/>
        </w:rPr>
        <w:t>6</w:t>
      </w:r>
      <w:r w:rsidR="00BC26F1">
        <w:rPr>
          <w:rFonts w:ascii="Arial" w:hAnsi="Arial" w:cs="Arial"/>
        </w:rPr>
        <w:t>: 39) say</w:t>
      </w:r>
      <w:r w:rsidR="00326C69">
        <w:rPr>
          <w:rFonts w:ascii="Arial" w:hAnsi="Arial" w:cs="Arial"/>
        </w:rPr>
        <w:t>,</w:t>
      </w:r>
      <w:r w:rsidR="00BC26F1">
        <w:rPr>
          <w:rFonts w:ascii="Arial" w:hAnsi="Arial" w:cs="Arial"/>
        </w:rPr>
        <w:t xml:space="preserve"> ‘achieving a clear description of a poorly understood area can reasonably be the priority’. </w:t>
      </w:r>
    </w:p>
    <w:p w14:paraId="39CADEBB" w14:textId="77777777" w:rsidR="00AD3797" w:rsidRDefault="00AD3797" w:rsidP="00C00462">
      <w:pPr>
        <w:spacing w:after="0" w:line="240" w:lineRule="auto"/>
        <w:rPr>
          <w:rFonts w:ascii="Arial" w:hAnsi="Arial" w:cs="Arial"/>
        </w:rPr>
      </w:pPr>
    </w:p>
    <w:p w14:paraId="36CF6D59" w14:textId="77777777" w:rsidR="00AD3797" w:rsidRDefault="00AD3797" w:rsidP="00C00462">
      <w:pPr>
        <w:spacing w:after="0" w:line="240" w:lineRule="auto"/>
        <w:rPr>
          <w:rFonts w:ascii="Arial" w:hAnsi="Arial" w:cs="Arial"/>
        </w:rPr>
      </w:pPr>
      <w:r>
        <w:rPr>
          <w:rFonts w:ascii="Arial" w:hAnsi="Arial" w:cs="Arial"/>
        </w:rPr>
        <w:t>Explanatory research</w:t>
      </w:r>
      <w:r w:rsidR="002F04F0">
        <w:rPr>
          <w:rFonts w:ascii="Arial" w:hAnsi="Arial" w:cs="Arial"/>
        </w:rPr>
        <w:t xml:space="preserve"> seeks to find the causal relationships between elements in a situation. It is concerned with establishing how and why events take place.</w:t>
      </w:r>
    </w:p>
    <w:p w14:paraId="4EA2B8C3" w14:textId="77777777" w:rsidR="000766C1" w:rsidRDefault="000766C1" w:rsidP="00C00462">
      <w:pPr>
        <w:spacing w:after="0" w:line="240" w:lineRule="auto"/>
        <w:rPr>
          <w:rFonts w:ascii="Arial" w:hAnsi="Arial" w:cs="Arial"/>
        </w:rPr>
      </w:pPr>
    </w:p>
    <w:p w14:paraId="5396EAFA" w14:textId="0F178139" w:rsidR="00BC26F1" w:rsidRDefault="00BC26F1" w:rsidP="00C00462">
      <w:pPr>
        <w:spacing w:after="0" w:line="240" w:lineRule="auto"/>
        <w:rPr>
          <w:rFonts w:ascii="Arial" w:hAnsi="Arial" w:cs="Arial"/>
        </w:rPr>
      </w:pPr>
      <w:r>
        <w:rPr>
          <w:rFonts w:ascii="Arial" w:hAnsi="Arial" w:cs="Arial"/>
        </w:rPr>
        <w:t xml:space="preserve">Robson </w:t>
      </w:r>
      <w:r w:rsidR="00326C69">
        <w:rPr>
          <w:rFonts w:ascii="Arial" w:hAnsi="Arial" w:cs="Arial"/>
        </w:rPr>
        <w:t xml:space="preserve">and McCartan </w:t>
      </w:r>
      <w:r>
        <w:rPr>
          <w:rFonts w:ascii="Arial" w:hAnsi="Arial" w:cs="Arial"/>
        </w:rPr>
        <w:t>say that, while one of these three purposes will often be central to a research project, more than one of them may be involved in any particular study.</w:t>
      </w:r>
    </w:p>
    <w:p w14:paraId="5FC1665D" w14:textId="77777777" w:rsidR="00BC26F1" w:rsidRDefault="00BC26F1" w:rsidP="00C00462">
      <w:pPr>
        <w:spacing w:after="0" w:line="240" w:lineRule="auto"/>
        <w:rPr>
          <w:rFonts w:ascii="Arial" w:hAnsi="Arial" w:cs="Arial"/>
        </w:rPr>
      </w:pPr>
    </w:p>
    <w:p w14:paraId="021301D0" w14:textId="77777777" w:rsidR="002F04F0" w:rsidRPr="002F04F0" w:rsidRDefault="002F04F0" w:rsidP="00C00462">
      <w:pPr>
        <w:spacing w:after="0" w:line="240" w:lineRule="auto"/>
        <w:rPr>
          <w:rFonts w:ascii="Arial" w:hAnsi="Arial" w:cs="Arial"/>
          <w:b/>
          <w:i/>
        </w:rPr>
      </w:pPr>
      <w:r w:rsidRPr="002F04F0">
        <w:rPr>
          <w:rFonts w:ascii="Arial" w:hAnsi="Arial" w:cs="Arial"/>
          <w:b/>
          <w:i/>
        </w:rPr>
        <w:t>References</w:t>
      </w:r>
    </w:p>
    <w:p w14:paraId="2E39463B" w14:textId="77777777" w:rsidR="002F04F0" w:rsidRDefault="002F04F0" w:rsidP="00C00462">
      <w:pPr>
        <w:spacing w:after="0" w:line="240" w:lineRule="auto"/>
        <w:rPr>
          <w:rFonts w:ascii="Arial" w:hAnsi="Arial" w:cs="Arial"/>
        </w:rPr>
      </w:pPr>
    </w:p>
    <w:p w14:paraId="66480BB7" w14:textId="04713E4E" w:rsidR="002F04F0" w:rsidRDefault="002F04F0" w:rsidP="00C00462">
      <w:pPr>
        <w:spacing w:after="0" w:line="240" w:lineRule="auto"/>
        <w:rPr>
          <w:rFonts w:ascii="Arial" w:eastAsia="Calibri" w:hAnsi="Arial" w:cs="Arial"/>
        </w:rPr>
      </w:pPr>
      <w:r>
        <w:rPr>
          <w:rFonts w:ascii="Arial" w:eastAsia="Calibri" w:hAnsi="Arial" w:cs="Arial"/>
        </w:rPr>
        <w:t>*</w:t>
      </w:r>
      <w:r w:rsidRPr="00E22968">
        <w:rPr>
          <w:rFonts w:ascii="Arial" w:eastAsia="Calibri" w:hAnsi="Arial" w:cs="Arial"/>
        </w:rPr>
        <w:t>Mark Saunders, Philip Lewis &amp; Adrian Thornhill 20</w:t>
      </w:r>
      <w:r w:rsidR="00E0708E">
        <w:rPr>
          <w:rFonts w:ascii="Arial" w:eastAsia="Calibri" w:hAnsi="Arial" w:cs="Arial"/>
        </w:rPr>
        <w:t>1</w:t>
      </w:r>
      <w:r w:rsidRPr="00E22968">
        <w:rPr>
          <w:rFonts w:ascii="Arial" w:eastAsia="Calibri" w:hAnsi="Arial" w:cs="Arial"/>
        </w:rPr>
        <w:t xml:space="preserve">9 </w:t>
      </w:r>
      <w:r w:rsidRPr="00E22968">
        <w:rPr>
          <w:rFonts w:ascii="Arial" w:eastAsia="Calibri" w:hAnsi="Arial" w:cs="Arial"/>
          <w:i/>
        </w:rPr>
        <w:t>Research Methods for Business Students</w:t>
      </w:r>
      <w:r w:rsidR="00E0708E">
        <w:rPr>
          <w:rFonts w:ascii="Arial" w:eastAsia="Calibri" w:hAnsi="Arial" w:cs="Arial"/>
          <w:i/>
        </w:rPr>
        <w:t xml:space="preserve"> </w:t>
      </w:r>
      <w:r w:rsidRPr="00E22968">
        <w:rPr>
          <w:rFonts w:ascii="Arial" w:eastAsia="Calibri" w:hAnsi="Arial" w:cs="Arial"/>
        </w:rPr>
        <w:t>Pearson Education</w:t>
      </w:r>
    </w:p>
    <w:p w14:paraId="076FDB5B" w14:textId="693EDB31" w:rsidR="00834A2E" w:rsidRDefault="00834A2E" w:rsidP="00C00462">
      <w:pPr>
        <w:spacing w:after="0" w:line="240" w:lineRule="auto"/>
        <w:rPr>
          <w:rFonts w:ascii="Arial" w:eastAsia="Calibri" w:hAnsi="Arial" w:cs="Arial"/>
        </w:rPr>
      </w:pPr>
    </w:p>
    <w:p w14:paraId="2C6E4BAC" w14:textId="1FD0D7A1" w:rsidR="002F04F0" w:rsidRDefault="002F04F0" w:rsidP="00C00462">
      <w:pPr>
        <w:spacing w:after="0" w:line="240" w:lineRule="auto"/>
        <w:rPr>
          <w:rFonts w:ascii="Arial" w:eastAsia="Calibri" w:hAnsi="Arial" w:cs="Arial"/>
        </w:rPr>
      </w:pPr>
      <w:r w:rsidRPr="00E22968">
        <w:rPr>
          <w:rFonts w:ascii="Arial" w:eastAsia="Calibri" w:hAnsi="Arial" w:cs="Arial"/>
        </w:rPr>
        <w:t xml:space="preserve">C Robson </w:t>
      </w:r>
      <w:r w:rsidR="00834A2E">
        <w:rPr>
          <w:rFonts w:ascii="Arial" w:eastAsia="Calibri" w:hAnsi="Arial" w:cs="Arial"/>
        </w:rPr>
        <w:t xml:space="preserve">and K McCartan </w:t>
      </w:r>
      <w:r w:rsidRPr="00E22968">
        <w:rPr>
          <w:rFonts w:ascii="Arial" w:eastAsia="Calibri" w:hAnsi="Arial" w:cs="Arial"/>
        </w:rPr>
        <w:t>201</w:t>
      </w:r>
      <w:r w:rsidR="00326C69">
        <w:rPr>
          <w:rFonts w:ascii="Arial" w:eastAsia="Calibri" w:hAnsi="Arial" w:cs="Arial"/>
        </w:rPr>
        <w:t>6</w:t>
      </w:r>
      <w:r w:rsidR="0062757B">
        <w:rPr>
          <w:rFonts w:ascii="Arial" w:eastAsia="Calibri" w:hAnsi="Arial" w:cs="Arial"/>
        </w:rPr>
        <w:t>/2017</w:t>
      </w:r>
      <w:r w:rsidRPr="00E22968">
        <w:rPr>
          <w:rFonts w:ascii="Arial" w:eastAsia="Calibri" w:hAnsi="Arial" w:cs="Arial"/>
        </w:rPr>
        <w:t xml:space="preserve"> </w:t>
      </w:r>
      <w:r w:rsidRPr="00E22968">
        <w:rPr>
          <w:rFonts w:ascii="Arial" w:eastAsia="Calibri" w:hAnsi="Arial" w:cs="Arial"/>
          <w:i/>
        </w:rPr>
        <w:t>Real World Research</w:t>
      </w:r>
      <w:r>
        <w:rPr>
          <w:rFonts w:ascii="Arial" w:eastAsia="Calibri" w:hAnsi="Arial" w:cs="Arial"/>
          <w:i/>
        </w:rPr>
        <w:t>,</w:t>
      </w:r>
      <w:r>
        <w:rPr>
          <w:rFonts w:ascii="Arial" w:eastAsia="Calibri" w:hAnsi="Arial" w:cs="Arial"/>
        </w:rPr>
        <w:t xml:space="preserve"> </w:t>
      </w:r>
      <w:r w:rsidRPr="00E22968">
        <w:rPr>
          <w:rFonts w:ascii="Arial" w:eastAsia="Calibri" w:hAnsi="Arial" w:cs="Arial"/>
        </w:rPr>
        <w:t>Wiley</w:t>
      </w:r>
    </w:p>
    <w:p w14:paraId="1E59BF8E" w14:textId="77777777" w:rsidR="002F04F0" w:rsidRDefault="002F04F0" w:rsidP="00C00462">
      <w:pPr>
        <w:spacing w:after="0" w:line="240" w:lineRule="auto"/>
        <w:rPr>
          <w:rFonts w:ascii="Arial" w:eastAsia="Calibri" w:hAnsi="Arial" w:cs="Arial"/>
        </w:rPr>
      </w:pPr>
    </w:p>
    <w:p w14:paraId="74167BA8" w14:textId="77777777" w:rsidR="002F04F0" w:rsidRDefault="002F04F0" w:rsidP="002F04F0">
      <w:pPr>
        <w:spacing w:after="0" w:line="240" w:lineRule="auto"/>
        <w:rPr>
          <w:rFonts w:ascii="Arial" w:hAnsi="Arial" w:cs="Arial"/>
          <w:b/>
          <w:i/>
          <w:color w:val="000000"/>
        </w:rPr>
      </w:pPr>
      <w:r w:rsidRPr="002F04F0">
        <w:rPr>
          <w:rFonts w:ascii="Arial" w:hAnsi="Arial" w:cs="Arial"/>
          <w:b/>
          <w:i/>
          <w:color w:val="000000"/>
        </w:rPr>
        <w:t>Further reading</w:t>
      </w:r>
    </w:p>
    <w:p w14:paraId="1D92CA67" w14:textId="77777777" w:rsidR="002F04F0" w:rsidRPr="002F04F0" w:rsidRDefault="002F04F0" w:rsidP="002F04F0">
      <w:pPr>
        <w:spacing w:after="0" w:line="240" w:lineRule="auto"/>
        <w:rPr>
          <w:rFonts w:ascii="Arial" w:hAnsi="Arial" w:cs="Arial"/>
          <w:b/>
          <w:i/>
          <w:color w:val="000000"/>
        </w:rPr>
      </w:pPr>
    </w:p>
    <w:p w14:paraId="3C676C0F" w14:textId="77777777" w:rsidR="002F04F0" w:rsidRDefault="002F04F0" w:rsidP="002F04F0">
      <w:pPr>
        <w:spacing w:after="0" w:line="240" w:lineRule="auto"/>
        <w:rPr>
          <w:rFonts w:ascii="Arial" w:eastAsia="Calibri" w:hAnsi="Arial" w:cs="Arial"/>
        </w:rPr>
      </w:pPr>
      <w:r>
        <w:rPr>
          <w:rFonts w:ascii="Arial" w:eastAsia="Calibri" w:hAnsi="Arial" w:cs="Arial"/>
        </w:rPr>
        <w:t>*</w:t>
      </w:r>
      <w:r w:rsidRPr="00E22968">
        <w:rPr>
          <w:rFonts w:ascii="Arial" w:eastAsia="Calibri" w:hAnsi="Arial" w:cs="Arial"/>
        </w:rPr>
        <w:t xml:space="preserve">Martyn Denscombe 2007 </w:t>
      </w:r>
      <w:r w:rsidRPr="00E22968">
        <w:rPr>
          <w:rFonts w:ascii="Arial" w:eastAsia="Calibri" w:hAnsi="Arial" w:cs="Arial"/>
          <w:i/>
        </w:rPr>
        <w:t>The Good Research Guide</w:t>
      </w:r>
      <w:r w:rsidRPr="00E22968">
        <w:rPr>
          <w:rFonts w:ascii="Arial" w:eastAsia="Calibri" w:hAnsi="Arial" w:cs="Arial"/>
        </w:rPr>
        <w:t>, OU</w:t>
      </w:r>
      <w:r>
        <w:rPr>
          <w:rFonts w:ascii="Arial" w:eastAsia="Calibri" w:hAnsi="Arial" w:cs="Arial"/>
        </w:rPr>
        <w:t>/</w:t>
      </w:r>
      <w:r w:rsidRPr="00E22968">
        <w:rPr>
          <w:rFonts w:ascii="Arial" w:eastAsia="Calibri" w:hAnsi="Arial" w:cs="Arial"/>
        </w:rPr>
        <w:t>McGraw Hill</w:t>
      </w:r>
    </w:p>
    <w:p w14:paraId="66A9524A" w14:textId="77777777" w:rsidR="002F04F0" w:rsidRDefault="002F04F0" w:rsidP="002F04F0">
      <w:pPr>
        <w:spacing w:after="0" w:line="240" w:lineRule="auto"/>
        <w:rPr>
          <w:rFonts w:ascii="Arial" w:hAnsi="Arial" w:cs="Arial"/>
          <w:color w:val="000000"/>
        </w:rPr>
      </w:pPr>
    </w:p>
    <w:p w14:paraId="1DF69BF2" w14:textId="6FD07849" w:rsidR="002F04F0" w:rsidRDefault="00E0708E" w:rsidP="002F04F0">
      <w:pPr>
        <w:spacing w:after="0" w:line="240" w:lineRule="auto"/>
        <w:rPr>
          <w:rFonts w:ascii="Arial" w:hAnsi="Arial" w:cs="Arial"/>
        </w:rPr>
      </w:pPr>
      <w:r>
        <w:rPr>
          <w:rFonts w:ascii="Arial" w:eastAsia="Calibri" w:hAnsi="Arial" w:cs="Arial"/>
        </w:rPr>
        <w:t>*</w:t>
      </w:r>
      <w:r w:rsidRPr="008E67B7">
        <w:rPr>
          <w:rFonts w:ascii="Arial" w:eastAsia="Calibri" w:hAnsi="Arial" w:cs="Arial"/>
        </w:rPr>
        <w:t>M Easterby-Smith, R Thorpe</w:t>
      </w:r>
      <w:r w:rsidR="00834A2E">
        <w:rPr>
          <w:rFonts w:ascii="Arial" w:eastAsia="Calibri" w:hAnsi="Arial" w:cs="Arial"/>
        </w:rPr>
        <w:t xml:space="preserve">, </w:t>
      </w:r>
      <w:r w:rsidRPr="008E67B7">
        <w:rPr>
          <w:rFonts w:ascii="Arial" w:eastAsia="Calibri" w:hAnsi="Arial" w:cs="Arial"/>
        </w:rPr>
        <w:t>PR Jackson</w:t>
      </w:r>
      <w:r w:rsidR="00834A2E">
        <w:rPr>
          <w:rFonts w:ascii="Arial" w:eastAsia="Calibri" w:hAnsi="Arial" w:cs="Arial"/>
        </w:rPr>
        <w:t xml:space="preserve"> and L Jasperson</w:t>
      </w:r>
      <w:r w:rsidRPr="008E67B7">
        <w:rPr>
          <w:rFonts w:ascii="Arial" w:eastAsia="Calibri" w:hAnsi="Arial" w:cs="Arial"/>
        </w:rPr>
        <w:t xml:space="preserve"> 201</w:t>
      </w:r>
      <w:r>
        <w:rPr>
          <w:rFonts w:ascii="Arial" w:eastAsia="Calibri" w:hAnsi="Arial" w:cs="Arial"/>
        </w:rPr>
        <w:t>9</w:t>
      </w:r>
      <w:r w:rsidRPr="008E67B7">
        <w:rPr>
          <w:rFonts w:ascii="Arial" w:eastAsia="Calibri" w:hAnsi="Arial" w:cs="Arial"/>
        </w:rPr>
        <w:t xml:space="preserve"> </w:t>
      </w:r>
      <w:r w:rsidRPr="00726BC5">
        <w:rPr>
          <w:rFonts w:ascii="Arial" w:eastAsia="Calibri" w:hAnsi="Arial" w:cs="Arial"/>
          <w:i/>
        </w:rPr>
        <w:t>Management Research,</w:t>
      </w:r>
      <w:r w:rsidRPr="008E67B7">
        <w:rPr>
          <w:rFonts w:ascii="Arial" w:eastAsia="Calibri" w:hAnsi="Arial" w:cs="Arial"/>
        </w:rPr>
        <w:t xml:space="preserve"> Sage: London</w:t>
      </w:r>
    </w:p>
    <w:p w14:paraId="18C9505C" w14:textId="77777777" w:rsidR="00AD3797" w:rsidRDefault="00AD3797" w:rsidP="00C00462">
      <w:pPr>
        <w:spacing w:after="0" w:line="240" w:lineRule="auto"/>
        <w:rPr>
          <w:rFonts w:ascii="Arial" w:hAnsi="Arial" w:cs="Arial"/>
        </w:rPr>
      </w:pPr>
    </w:p>
    <w:p w14:paraId="6DAA6791" w14:textId="77777777" w:rsidR="00E0708E" w:rsidRDefault="00E0708E" w:rsidP="00E0708E">
      <w:pPr>
        <w:spacing w:after="240"/>
        <w:rPr>
          <w:rFonts w:ascii="Arial" w:hAnsi="Arial" w:cs="Arial"/>
        </w:rPr>
      </w:pPr>
    </w:p>
    <w:p w14:paraId="7E45868B" w14:textId="4C477D9A" w:rsidR="00E0708E" w:rsidRDefault="00E0708E" w:rsidP="00E0708E">
      <w:pPr>
        <w:spacing w:after="240"/>
        <w:rPr>
          <w:rFonts w:ascii="Arial" w:hAnsi="Arial" w:cs="Arial"/>
        </w:rPr>
      </w:pPr>
      <w:r>
        <w:rPr>
          <w:rFonts w:ascii="Arial" w:hAnsi="Arial" w:cs="Arial"/>
        </w:rPr>
        <w:t>*This is available as an e-book in the University library</w:t>
      </w:r>
    </w:p>
    <w:p w14:paraId="2805A8D9" w14:textId="7E22207E" w:rsidR="002F04F0" w:rsidRDefault="002F04F0" w:rsidP="00C00462">
      <w:pPr>
        <w:spacing w:after="0" w:line="240" w:lineRule="auto"/>
        <w:rPr>
          <w:rFonts w:ascii="Arial" w:hAnsi="Arial" w:cs="Arial"/>
        </w:rPr>
      </w:pPr>
    </w:p>
    <w:p w14:paraId="7C2B66AB" w14:textId="77777777" w:rsidR="00AD3797" w:rsidRDefault="00AD3797" w:rsidP="00C00462">
      <w:pPr>
        <w:spacing w:after="0" w:line="240" w:lineRule="auto"/>
        <w:rPr>
          <w:rFonts w:ascii="Arial" w:hAnsi="Arial" w:cs="Arial"/>
        </w:rPr>
      </w:pPr>
    </w:p>
    <w:p w14:paraId="280EA628" w14:textId="77777777" w:rsidR="00AD3797" w:rsidRPr="00C00462" w:rsidRDefault="00AD3797" w:rsidP="00C00462">
      <w:pPr>
        <w:spacing w:after="0" w:line="240" w:lineRule="auto"/>
        <w:rPr>
          <w:rFonts w:ascii="Arial" w:hAnsi="Arial" w:cs="Arial"/>
        </w:rPr>
      </w:pPr>
    </w:p>
    <w:sectPr w:rsidR="00AD3797" w:rsidRPr="00C00462" w:rsidSect="00DD3B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55F6B"/>
    <w:multiLevelType w:val="hybridMultilevel"/>
    <w:tmpl w:val="BA7CB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462"/>
    <w:rsid w:val="00057398"/>
    <w:rsid w:val="000766C1"/>
    <w:rsid w:val="001C05E6"/>
    <w:rsid w:val="002F04F0"/>
    <w:rsid w:val="00326C69"/>
    <w:rsid w:val="005C643D"/>
    <w:rsid w:val="0062757B"/>
    <w:rsid w:val="00664D21"/>
    <w:rsid w:val="0082355F"/>
    <w:rsid w:val="00834A2E"/>
    <w:rsid w:val="00A80C85"/>
    <w:rsid w:val="00AD3797"/>
    <w:rsid w:val="00AD4928"/>
    <w:rsid w:val="00BC26F1"/>
    <w:rsid w:val="00C00462"/>
    <w:rsid w:val="00DD3B84"/>
    <w:rsid w:val="00E0708E"/>
    <w:rsid w:val="00E22750"/>
    <w:rsid w:val="00E837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65CB3"/>
  <w15:docId w15:val="{ED7C457C-D626-4FB7-A12D-3F6D1511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04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dc:creator>
  <cp:lastModifiedBy>George Boak</cp:lastModifiedBy>
  <cp:revision>7</cp:revision>
  <dcterms:created xsi:type="dcterms:W3CDTF">2021-09-27T17:02:00Z</dcterms:created>
  <dcterms:modified xsi:type="dcterms:W3CDTF">2021-11-08T17:27:00Z</dcterms:modified>
</cp:coreProperties>
</file>