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Vessel Survey</w:t>
      </w:r>
      <w:r>
        <w:rPr>
          <w:rFonts w:ascii="Calibri" w:hAnsi="Calibri"/>
          <w:sz w:val="108"/>
          <w:szCs w:val="108"/>
          <w:rtl w:val="0"/>
          <w:lang w:val="en-US"/>
        </w:rPr>
        <w:t xml:space="preserve">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w:t>
      </w:r>
      <w:r>
        <w:rPr>
          <w:b w:val="1"/>
          <w:bCs w:val="1"/>
          <w:outline w:val="0"/>
          <w:color w:val="9c9494"/>
          <w:sz w:val="72"/>
          <w:szCs w:val="72"/>
          <w:u w:color="9c9494"/>
          <w:rtl w:val="0"/>
          <w:lang w:val="en-US"/>
          <w14:textFill>
            <w14:solidFill>
              <w14:srgbClr w14:val="9C9494"/>
            </w14:solidFill>
          </w14:textFill>
        </w:rPr>
        <w:t>vessel</w:t>
      </w:r>
      <w:r>
        <w:rPr>
          <w:b w:val="1"/>
          <w:bCs w:val="1"/>
          <w:outline w:val="0"/>
          <w:color w:val="9c9494"/>
          <w:sz w:val="72"/>
          <w:szCs w:val="72"/>
          <w:u w:color="9c9494"/>
          <w:rtl w:val="0"/>
          <w:lang w:val="en-US"/>
          <w14:textFill>
            <w14:solidFill>
              <w14:srgbClr w14:val="9C9494"/>
            </w14:solidFill>
          </w14:textFill>
        </w:rPr>
        <w:t>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108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6300"/>
      </w:tblGrid>
      <w:tr>
        <w:tblPrEx>
          <w:shd w:val="clear" w:color="auto" w:fill="ced7e7"/>
        </w:tblPrEx>
        <w:trPr>
          <w:trHeight w:val="425" w:hRule="atLeast"/>
        </w:trPr>
        <w:tc>
          <w:tcPr>
            <w:tcW w:type="dxa" w:w="9360"/>
            <w:gridSpan w:val="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{{client_name}}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{{client_address}}</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{{client_email}}</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{{present_at_survey}}</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{{location_of_survey}}</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{{survey_conditions}}</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{{weather}}</w:t>
            </w:r>
          </w:p>
        </w:tc>
      </w:tr>
    </w:tbl>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9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{{vessel_name}}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jc w:val="right"/>
              <w:pStyle w:val="Body A"/>
            </w:pPr>
            <w:r>
              <w:rPr>
                <w:b w:val="1"/>
                <w:bCs w:val="1"/>
                <w:shd w:val="nil" w:color="auto" w:fill="auto"/>
                <w:rtl w:val="0"/>
                <w:lang w:val="en-US"/>
              </w:rPr>
              <w:t>{{vessel_name_date}}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{{vessel_type_date}}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{{vessel_manufacturer_date}}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{{vessel_designer}}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{{vessel_designer_date}}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{{vessel_make}}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{{vessel_make_date}}</w:t>
            </w:r>
          </w:p>
        </w:tc>
      </w:tr>
      <w:tr>
        <w:tblPrEx>
          <w:shd w:val="clear" w:color="auto" w:fill="ced7e7"/>
        </w:tblPrEx>
        <w:trPr>
          <w:trHeight w:val="31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{{vessel_model_date}}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{{vessel_hin}}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{{vessel_hin_date}}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{{vessel_uscg_number}}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{{vessel_uscg_number_date}}</w:t>
            </w:r>
          </w:p>
        </w:tc>
      </w:tr>
      <w:tr>
        <w:tblPrEx>
          <w:shd w:val="clear" w:color="auto" w:fill="ced7e7"/>
        </w:tblPrEx>
        <w:trPr>
          <w:trHeight w:val="5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{{vessel_uscg_expiry}}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{{vessel_uscg_expiry_date}}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{{vessel_hailing_port}}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{{vessel_hailing_port_date}}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{{vessel_year}}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{{vessel_year_date}}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{{vessel_service_area}}</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{{vessel_service_area_date}}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{{vessel_loa}}</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{{vessel_loa_date}}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{{vessel_beam}}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{{vessel_beam_date}}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{{vessel_draft}}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{{vessel_draft_date}}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{{vessel_displacement}}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{{vessel_displacement_date}}</w:t>
            </w:r>
          </w:p>
        </w:tc>
      </w:tr>
      <w:tr>
        <w:tblPrEx>
          <w:shd w:val="clear" w:color="auto" w:fill="ced7e7"/>
        </w:tblPrEx>
        <w:trPr>
          <w:trHeight w:val="28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 {{vessel_ballast}}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jc w:val="right"/>
              <w:pStyle w:val="Body A"/>
            </w:pPr>
            <w:r>
              <w:rPr>
                <w:shd w:val="nil" w:color="auto" w:fill="auto"/>
                <w:rtl w:val="0"/>
                <w:lang w:val="en-US"/>
              </w:rPr>
              <w:t>{{vessel_ballast_date}}</w:t>
            </w:r>
          </w:p>
        </w:tc>
      </w:tr>
    </w:tbl>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{{hull_material}}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{{hull_material_date}}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{{hull_type}}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{{hull_type_date}}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{{keel_date}}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{{rudder_date}}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{{bow_date}}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{{topsides}}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{{topsides_date}}</w:t>
            </w:r>
          </w:p>
        </w:tc>
      </w:tr>
      <w:tr>
        <w:tblPrEx>
          <w:shd w:val="clear" w:color="auto" w:fill="ced7e7"/>
        </w:tblPrEx>
        <w:trPr>
          <w:trHeight w:val="35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{{decks}}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{{decks_date}}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{{rail_bulwarks}}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{{rail_bulwarks_date}}</w:t>
            </w:r>
          </w:p>
        </w:tc>
      </w:tr>
      <w:tr>
        <w:tblPrEx>
          <w:shd w:val="clear" w:color="auto" w:fill="ced7e7"/>
        </w:tblPrEx>
        <w:trPr>
          <w:trHeight w:val="35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{{interior_structure}}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{{interior_structure_date}}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{{cockpit}}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{{cockpit_date}}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{{mast}}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{{mast_date}}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{{mast_step}}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{{mast_step_date}}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{{boom}}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{{boom_date}}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{{chainplates}}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{{chainplates_date}}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{{bilges}}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{{bilges_date}}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{{interior_details}}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{{interior_details_date}}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{{insulation}}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{{insulation_date}}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{{deck_hull_misc}}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{{deck_hull_misc_date}}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{{below_water_thru_hulls}}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{{below_water_thru_hulls_date}}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{{above_water_thru_hulls}}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{{above_water_thru_hulls_date}}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{{thru_hull_fittings_material_date}}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{{sea_valves_plumbing_material}}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{{sea_valves_plumbing_material_date}}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{{hoses_date}}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{{strut}}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{{strut_date}}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{{cutlass_bearing_date}}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{{propeller_shaft}}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{{propeller_shaft_date}}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{{kelp_cutter}}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{{kelp_cutter_date}}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{{propeller}}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{{propeller_date}}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{{anodes}}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{{anodes_date}}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{{keel}}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{{keel_date}}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{{bottom}}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{{bottom_paint_date}}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{{skeg}}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{{skeg_date}}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{{gudgeon_date}}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 xml:space="preserve"> {{rudder_bearings}}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{{rudder_bearings_date}}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80"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{{bowsprit_date}}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{{bow_roller}}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{{bow_roller_date}}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{{anchor_date}}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{{chain_rode}}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{{chain_rode_date}}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{{chain_stopper}}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{{chain_stopper_date}}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{{pulpit_date}}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{{lifelines_date}}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{{stanchions_date}}</w:t>
            </w:r>
          </w:p>
        </w:tc>
      </w:tr>
      <w:tr>
        <w:tblPrEx>
          <w:shd w:val="clear" w:color="auto" w:fill="ced7e7"/>
        </w:tblPrEx>
        <w:trPr>
          <w:trHeight w:val="33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{{handrails_date}}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{{portholes_portlights}}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{{portholes_portlights_date}}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{{windlass_date}}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Body B"/>
              <w:spacing w:before="36" w:after="36"/>
            </w:pPr>
            <w:r>
              <w:rPr>
                <w:rFonts w:ascii="Calibri" w:hAnsi="Calibri"/>
                <w:sz w:val="22"/>
                <w:szCs w:val="22"/>
                <w:shd w:val="nil" w:color="auto" w:fill="auto"/>
                <w:rtl w:val="0"/>
                <w:lang w:val="en-US"/>
              </w:rPr>
              <w:t>{{windlass_sn}}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jc w:val="right"/>
              <w:pStyle w:val="Body B"/>
              <w:spacing w:before="36" w:after="36"/>
            </w:pPr>
            <w:r>
              <w:rPr>
                <w:rFonts w:ascii="Calibri" w:hAnsi="Calibri"/>
                <w:sz w:val="22"/>
                <w:szCs w:val="22"/>
                <w:shd w:val="nil" w:color="auto" w:fill="auto"/>
                <w:rtl w:val="0"/>
                <w:lang w:val="en-US"/>
              </w:rPr>
              <w:t>{{windlass_sn_date}}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{{foot_switches_remote}}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B"/>
              <w:spacing w:before="36" w:after="36"/>
            </w:pPr>
            <w:r>
              <w:rPr>
                <w:rFonts w:ascii="Calibri" w:hAnsi="Calibri"/>
                <w:sz w:val="22"/>
                <w:szCs w:val="22"/>
                <w:shd w:val="nil" w:color="auto" w:fill="auto"/>
                <w:rtl w:val="0"/>
                <w:lang w:val="en-US"/>
              </w:rPr>
              <w:t>{{foot_switches_remote_date}}</w:t>
            </w:r>
          </w:p>
        </w:tc>
      </w:tr>
    </w:tbl>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{{companionway_date}}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{{deck_lockers}}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{{deck_lockers_date}}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{{dodger_date}}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{{bimini}}</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{{bimini_date}}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{{stern_arch}}</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{{stern_arch_date}}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{{davits_date}}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{{ventilation_date}}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{{cockpit_cushions}}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{{cockpit_cushions_date}}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{{cockpit_table}}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{{cockpit_table_date}}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{{boarding_ladder}}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{{boarding_ladder_date}}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{{tender_date}}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{{outboard_date}}</w:t>
            </w:r>
          </w:p>
        </w:tc>
      </w:tr>
    </w:tbl>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{{spars_description}}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{{spars_description_date}}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{{roller_furler}}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{{roller_furler_date}}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{{mainsail_track}}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{{mainsail_track_date}}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{{cockpit_winches}}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{{cockpit_winches_date}}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{{sheet_tracks}}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{{sheet_tracks_date}}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{{mainsheet_traveller}}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{{mainsheet_traveller_date}}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{{boom_vang}}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{{boom_vang_date}}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{{whisker_pole_date}}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{{spinakker_pole}}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{{spinakker_pole_date}}</w:t>
            </w:r>
          </w:p>
        </w:tc>
      </w:tr>
      <w:tr>
        <w:tblPrEx>
          <w:shd w:val="clear" w:color="auto" w:fill="ced7e7"/>
        </w:tblPrEx>
        <w:trPr>
          <w:trHeight w:val="27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{{stack_pack}}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{{stack_pack_date}}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{{head_sail_date}}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{{main_sail}}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{{main_sail_date}}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{{spinnaker}}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{{spinnaker_date}}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{{other_sails}}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{{other_sails_date}}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{{backstay_date}}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{{running_rigging_date}}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{{standing_rigging}}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{{standing_rigging_date}}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{{turnbuckles_date}}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{{mast_sails_misc}}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{{mast_sails_misc_date}}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{{helm_date}}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{{wheel_brake}}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{{wheel_brake_date}}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{{binnacle_date}}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{{compass_date}}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{{emergency_steering}}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{{emergency_steering_date}}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{{autopilot_date}}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{{windvane_date}}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{{steering_system_pulleys}}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{{steering_system_pulleys_date}}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{{quadrant_date}}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{{tiller_arm_date}}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{{rudder_gland_date}}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{{steering_misc_date}}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{{fuel_tanks_location_date}}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{{fuel_tanks_fill_date}}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{{water_tanks_location_date}}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{{water_tanks_fill}}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{{water_tanks_fill_date}}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{{waste_tanks_capacity}}</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{{waste_tanks_capacity_date}}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{{waste_tanks_material}}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{{waste_tanks_material_date}}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{{waste_tanks_location}}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Body A"/>
              <w:ind w:right="89"/>
            </w:pPr>
            <w:r>
              <w:rPr>
                <w:shd w:val="nil" w:color="auto" w:fill="auto"/>
                <w:rtl w:val="0"/>
                <w:lang w:val="en-US"/>
              </w:rPr>
              <w:t>{{waste_tanks_location_date}}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{{waste_tanks_discharge}}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jc w:val="right"/>
              <w:pStyle w:val="Body A"/>
              <w:ind w:right="89"/>
            </w:pPr>
            <w:r>
              <w:rPr>
                <w:shd w:val="nil" w:color="auto" w:fill="auto"/>
                <w:rtl w:val="0"/>
                <w:lang w:val="en-US"/>
              </w:rPr>
              <w:t>{{waste_tanks_discharge_date}}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jc w:val="right"/>
              <w:pStyle w:val="Default"/>
              <w:spacing w:before="36" w:after="36" w:line="240" w:lineRule="auto"/>
              <w:ind w:right="89"/>
            </w:pPr>
            <w:r>
              <w:rPr>
                <w:rFonts w:ascii="Calibri" w:hAnsi="Calibri"/>
                <w:sz w:val="22"/>
                <w:szCs w:val="22"/>
                <w:shd w:val="nil" w:color="auto" w:fill="auto"/>
                <w:rtl w:val="0"/>
                <w:lang w:val="en-US"/>
              </w:rPr>
              <w:t>{{tankage_misc_date}}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{{propane_storage}}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{{propane_storage_date}}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{{propane_regulator}}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{{propane_regulator_date}}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{{propane_gauge}}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{{propane_gauge_date}}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{{propane_tank_solenoid}}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{{propane_tank_solenoid_date}}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{{lpg_alarm}}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{{lpg_alarm_date}}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{{propane_misc_date}}</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{{engine_access_date}}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{{engine_condition_date}}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{{number_of_engines}}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{{number_of_engines_date}}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{{engine_manufacturer_date}}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{{engine_model_date}}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{{engine_year}}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{{engine_year_date}}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{{engine_horsepower}}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{{engine_horsepower_date}}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{{engine_serial_number_date}}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{{engine_hours_date}}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{{transmission}}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{{transmission_date}}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{{engine_controls}}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{{engine_controls_date}}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{{engine_gauges_date}}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{{engine_mounts}}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{{engine_mounts_date}}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{{engine_stringers}}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{{engine_stringers_date}}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{{primary_fuel_filter}}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{{primary_fuel_filter_date}}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{{engine_belts}}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{{engine_belts_date}}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{{engine_mixing_elbow}}</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{{engine_mixing_elbow_date}}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{{engine_vented_loop}}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{{engine_vented_loop_date}}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{{engine_exhaust_hose}}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{{engine_exhaust_hose_date}}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{{engine_muffler}}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{{engine_muffler_date}}</w:t>
            </w:r>
          </w:p>
        </w:tc>
      </w:tr>
    </w:tbl>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{{engine_blower}}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{{engine_blower_date}}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{{raw_water_strainer}}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{{raw_water_strainer_date}}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{{transmission_coupling}}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{{transmission_coupling_date}}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 {{shaft_packing_gland}}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{{shaft_packing_gland_date}}</w:t>
            </w:r>
          </w:p>
        </w:tc>
      </w:tr>
      <w:tr>
        <w:tblPrEx>
          <w:shd w:val="clear" w:color="auto" w:fill="ced7e7"/>
        </w:tblPrEx>
        <w:trPr>
          <w:trHeight w:val="31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 {{engine_misc}}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{{engine_misc_date}}</w:t>
            </w:r>
          </w:p>
        </w:tc>
      </w:tr>
    </w:tbl>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{{generator_access}}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{{generator_access_date}}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{{generator_condition}}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{{generator_condition_date}}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{{generator_manufacturer}}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{{generator_manufacturer_date}}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{{generator_model}}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{{generator_model_date}}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{{generator_serial_number}}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{{generator_serial_number_date}}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{{generator_hours}}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{{generator_hours_date}}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{{generator_gauges}}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{{generator_gauges_date}}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{{generator_sound_shield}}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{{generator_sound_shield_date}}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{{generator_misc_date}}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{{additional_cabins}}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{{additional_cabins_date}}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pPr>
            <w:r>
              <w:rPr>
                <w:shd w:val="nil" w:color="auto" w:fill="auto"/>
                <w:rtl w:val="0"/>
                <w:lang w:val="en-US"/>
              </w:rPr>
              <w:t xml:space="preserve"> </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jc w:val="right"/>
              <w:pStyle w:val="Body A"/>
            </w:pPr>
            <w:r>
              <w:rPr>
                <w:shd w:val="nil" w:color="auto" w:fill="auto"/>
                <w:rtl w:val="0"/>
                <w:lang w:val="en-US"/>
              </w:rPr>
              <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{{galley_sink}}</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{{galley_sink_date}}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{{galley_faucets_date}}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{{galley_refrigeration}}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{{galley_refrigeration_date}}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{{galley_stove}}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{{galley_stove_date}}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{{galley_misc_date}}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{{heads_toilets}}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{{heads_toilets_date}}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{{heads_sinks}}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{{heads_sinks_date}}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{{heads_faucets}}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{{heads_faucets_date}}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{{heads_showers}}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{{heads_showers_date}}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{{heads_misc_date}}</w:t>
            </w:r>
          </w:p>
        </w:tc>
      </w:tr>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{{washer_dryer}}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{{washer_dryer_date}}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{{cabin_heater_date}}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{{cabin_fans}}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{{cabin_fans_date}}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{{air_conditioning}}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{{air_conditioning_date}}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{{interior_misc_date}}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{{bilge_pumps}}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{{bilge_pumps_date}}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{{high_water_alarm}}</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{{high_water_alarm_date}}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{{manual_bilge_pump}}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{{manual_bilge_pump_date}}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{{fresh_water_pump}}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{{fresh_water_pump_date}}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{{watermaker_date}}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{{hot_water_heater}}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{{hot_water_heater_date}}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{{washdown_pump}}</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{{washdown_pump_date}}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{{plumbing_misc_date}}</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{{ac_voltage_date}}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{{shore_power_inlet}}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{{shore_power_inlet_date}}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{{shore_power_breaker}}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{{shore_power_breaker_date}}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{{shore_power_cable}}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{{shore_power_cable_date}}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{{galvanic_isolator}}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{{galvanic_isolator_date}}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{{reverse_polarity_indicator}}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{{reverse_polarity_indicator_date}}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{{ac_panel_date}}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{{inverter}}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{{inverter_date}}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{{electrical_misc_date}}</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{{dc_voltage}}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{{dc_voltage_date}}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{{dc_panel}}</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{{dc_panel_date}}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{{battery_monitor}}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{{battery_monitor_date}}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{{battery_type}}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{{battery_type_date}}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{{battery_brand}}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{{battery_brand_date}}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{{battery_bank_size}}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{{battery_bank_size_date}}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{{battery_age}}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Default"/>
              <w:spacing w:before="36" w:after="36" w:line="240" w:lineRule="auto"/>
            </w:pPr>
            <w:r>
              <w:rPr>
                <w:rFonts w:ascii="Calibri" w:hAnsi="Calibri"/>
                <w:sz w:val="22"/>
                <w:szCs w:val="22"/>
                <w:shd w:val="nil" w:color="auto" w:fill="auto"/>
                <w:rtl w:val="0"/>
                <w:lang w:val="en-US"/>
              </w:rPr>
              <w:t>{{battery_age_date}}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{{battery_charger}}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{{battery_charger_date}}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{{battery_fuse}}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{{battery_fuse_date}}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{{house_battery_on_off}}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{{house_battery_on_off_date}}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{{engine_battery_on_off}}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{{engine_battery_on_off_date}}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{{batteries_secure}}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{{batteries_secure_date}}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3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{{alternator}}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C"/>
              <w:spacing w:before="36" w:after="36"/>
            </w:pPr>
            <w:r>
              <w:rPr>
                <w:rFonts w:ascii="Calibri" w:hAnsi="Calibri"/>
                <w:sz w:val="22"/>
                <w:szCs w:val="22"/>
                <w:shd w:val="nil" w:color="auto" w:fill="auto"/>
                <w:rtl w:val="0"/>
                <w:lang w:val="en-US"/>
              </w:rPr>
              <w:t>{{alternator_date}}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{{solar_panels}}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{{solar_panels_date}}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{{charge_controllers}}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{{charge_controllers_date}}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{{wind_generator}}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{{wind_generator_date}}</w:t>
            </w:r>
          </w:p>
        </w:tc>
      </w:tr>
      <w:tr>
        <w:tblPrEx>
          <w:shd w:val="clear" w:color="auto" w:fill="ced7e7"/>
        </w:tblPrEx>
        <w:trPr>
          <w:trHeight w:val="256"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{{off_dock_charging_misc}}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{{off_dock_charging_misc_date}}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{{compass_date}}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{{chartplotter_date}}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{{instrument_displays}}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{{instrument_displays_date}}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{{electric_autopilot}}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{{electric_autopilot_date}}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{{ais_transceiver}}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{{ais_transceiver_date}}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{{anemometer_date}}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{{vhf_date}}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{{handheld_vhf}}</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{{handheld_vhf_date}}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{{offshore_communication}}</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{{offshore_communication_date}}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{{radar_date}}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{{radar_reflector}}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{{radar_reflector_date}}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{{electronics_misc_date}}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9360" w:type="dxa"/>
        <w:jc w:val="left"/>
        <w:tblInd w:w="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40"/>
        <w:gridCol w:w="5620"/>
        <w:gridCol w:w="1000"/>
      </w:tblGrid>
      <w:tr>
        <w:tblPrEx>
          <w:shd w:val="clear" w:color="auto" w:fill="ced7e7"/>
        </w:tblPrEx>
        <w:trPr>
          <w:trHeight w:val="365"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62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{{safety_life_jackets}}</w:t>
            </w:r>
          </w:p>
        </w:tc>
        <w:tc>
          <w:tcPr>
            <w:tcW w:type="dxa" w:w="1000"/>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{{safety_life_jackets_date}}</w:t>
            </w:r>
          </w:p>
        </w:tc>
      </w:tr>
      <w:tr>
        <w:tblPrEx>
          <w:shd w:val="clear" w:color="auto" w:fill="ced7e7"/>
        </w:tblPrEx>
        <w:trPr>
          <w:trHeight w:val="516" w:hRule="atLeast"/>
        </w:trPr>
        <w:tc>
          <w:tcPr>
            <w:tcW w:type="dxa" w:w="2740"/>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62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{{safety_harness_tethers}}</w:t>
            </w:r>
          </w:p>
        </w:tc>
        <w:tc>
          <w:tcPr>
            <w:tcW w:type="dxa" w:w="100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{{safety_harness_tethers_date}}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62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{{safety_throw_cushions}}</w:t>
            </w:r>
          </w:p>
        </w:tc>
        <w:tc>
          <w:tcPr>
            <w:tcW w:type="dxa" w:w="1000"/>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{{safety_throw_cushions_date}}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{{safety_life_sling}}</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{{safety_life_sling_date}}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{{safety_epirb}}</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{{safety_epirb_date}}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{{safety_life_raft}}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{{safety_life_raft_date}}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{{safety_flares}}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{{safety_flares_date}}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{{safety_first_aid}}</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{{safety_first_aid_date}}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{{safety_fire_extinguishers}}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{{safety_fire_extinguishers_date}}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{{safety_engineroom_fireextinguisher}}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{{safety_engineroom_fireextinguisher_date}}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{{safety_co_detector}}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{{safety_co_detector_date}}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{{safety_smoke_detector}}</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{{safety_smoke_detector_date}}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{{safety_spotlight}}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{{safety_spotlight_date}}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{{safety_horn_whistle}}</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{{safety_horn_whistle_date}}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{{spreader_lights_date}}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{{steaming_light_date}}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{{running_lights}}</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{{running_lights_date}}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{{anchor_light}}</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jc w:val="right"/>
              <w:pStyle w:val="Body A"/>
            </w:pPr>
            <w:r>
              <w:rPr>
                <w:shd w:val="nil" w:color="auto" w:fill="auto"/>
                <w:rtl w:val="0"/>
                <w:lang w:val="en-US"/>
              </w:rPr>
              <w:t>{{anchor_light_date}}</w:t>
            </w:r>
          </w:p>
        </w:tc>
      </w:tr>
      <w:tr>
        <w:tblPrEx>
          <w:shd w:val="clear" w:color="auto" w:fill="ced7e7"/>
        </w:tblPrEx>
        <w:trPr>
          <w:trHeight w:val="301" w:hRule="atLeast"/>
        </w:trPr>
        <w:tc>
          <w:tcPr>
            <w:tcW w:type="dxa" w:w="27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62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{{safety_misc}}</w:t>
            </w:r>
          </w:p>
        </w:tc>
        <w:tc>
          <w:tcPr>
            <w:tcW w:type="dxa" w:w="1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jc w:val="right"/>
              <w:pStyle w:val="Body A"/>
            </w:pPr>
            <w:r>
              <w:rPr>
                <w:shd w:val="nil" w:color="auto" w:fill="auto"/>
                <w:rtl w:val="0"/>
                <w:lang w:val="en-US"/>
              </w:rPr>
              <w:t>{{safety_misc_date}}</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en-US"/>
        </w:rPr>
        <w:t>MONITOR FINDINGS</w:t>
      </w:r>
      <w:r>
        <w:rPr>
          <w:rFonts w:ascii="Arial" w:hAnsi="Arial"/>
          <w:sz w:val="24"/>
          <w:szCs w:val="24"/>
          <w:rtl w:val="0"/>
          <w:lang w:val="en-US"/>
        </w:rPr>
        <w:t>: Sound but worth watching. Noted so the next survey can say whether it moved.</w:t>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for line in aa_findings_list %}</w:t>
      </w:r>
    </w:p>
    <w:p>
      <w:pPr>
        <w:pStyle w:val="Default"/>
        <w:spacing w:before="0" w:line="240" w:lineRule="auto"/>
        <w:rPr>
          <w:rFonts w:ascii="Arial" w:cs="Arial" w:hAnsi="Arial" w:eastAsia="Arial"/>
        </w:rPr>
      </w:pPr>
      <w:r>
        <w:rPr>
          <w:rFonts w:ascii="Arial" w:hAnsi="Arial"/>
          <w:rtl w:val="0"/>
          <w:lang w:val="en-US"/>
        </w:rPr>
        <w:t>{{ line }}</w:t>
      </w:r>
    </w:p>
    <w:p>
      <w:pPr>
        <w:pStyle w:val="Default"/>
        <w:spacing w:before="0" w:line="240" w:lineRule="auto"/>
        <w:rPr>
          <w:rFonts w:ascii="Arial" w:cs="Arial" w:hAnsi="Arial" w:eastAsia="Arial"/>
        </w:rPr>
      </w:pPr>
      <w:r>
        <w:rPr>
          <w:rFonts w:ascii="Arial" w:hAnsi="Arial"/>
          <w:rtl w:val="0"/>
          <w:lang w:val="en-US"/>
        </w:rPr>
        <w:t>{%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a_findings_list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b_findings_list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c_findings_list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r>
        <w:rPr>
          <w:rFonts w:ascii="Arial" w:hAnsi="Arial"/>
          <w:sz w:val="28"/>
          <w:szCs w:val="28"/>
          <w:rtl w:val="0"/>
        </w:rPr>
        <w:t>Monitor</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monitor_findings_list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ftr_findings_list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Body A"/>
        <w:numPr>
          <w:ilvl w:val="0"/>
          <w:numId w:val="2"/>
        </w:numPr>
        <w:bidi w:val="0"/>
        <w:ind w:right="0"/>
        <w:jc w:val="left"/>
        <w:rPr>
          <w:rFonts w:ascii="Arial" w:hAnsi="Arial"/>
          <w:rtl w:val="0"/>
          <w:lang w:val="en-US"/>
        </w:rPr>
      </w:pPr>
      <w:r>
        <w:rPr>
          <w:rFonts w:ascii="Arial" w:hAnsi="Arial"/>
          <w:rtl w:val="0"/>
          <w:lang w:val="en-US"/>
        </w:rPr>
        <w:t>I certify that I have no present or prospective interest in this vessel and have no personal interest or bias with respect to the parties involved. My compensation is not contingent on reporting a predetermined condition or value that favors the cause of the client, broker or underwriter. I have made a personal inspection of the above-captioned vessel and subsequently prepared and submitted this report in good faith.</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survey report set forth the apparent condition of the vessel and its areas open to inspection, including hull, machinery, equipment, fittings and gear. Only non-destructive methods were used and unless expressly stated, there have been: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borings, no removal of bulkheads, panels, ceilings or other portions of the vessel's structure not otherwise readily accessible for inspection.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operation or opening or removal of any portion of her machinery, electronics, wiring, auxiliaries, tanks or fittings for internal examination.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lofting or raising of sails, no inspection of spars, rigging and lights aloft. Also excluded from the Surveyors</w:t>
      </w:r>
      <w:r>
        <w:rPr>
          <w:rFonts w:ascii="Arial" w:hAnsi="Arial" w:hint="default"/>
          <w:rtl w:val="0"/>
          <w:lang w:val="en-US"/>
        </w:rPr>
        <w:t xml:space="preserve">’ </w:t>
      </w:r>
      <w:r>
        <w:rPr>
          <w:rFonts w:ascii="Arial" w:hAnsi="Arial"/>
          <w:rtl w:val="0"/>
          <w:lang w:val="en-US"/>
        </w:rPr>
        <w:t>duties are the unloading of cluttered holds or lockers, the cleaning of the hull and the operation of the vessel.</w:t>
      </w:r>
      <w:r>
        <w:rPr>
          <w:rFonts w:ascii="Arial" w:hAnsi="Arial" w:hint="default"/>
          <w:rtl w:val="0"/>
          <w:lang w:val="en-US"/>
        </w:rPr>
        <w:t> </w:t>
      </w:r>
    </w:p>
    <w:p>
      <w:pPr>
        <w:pStyle w:val="Body A"/>
        <w:numPr>
          <w:ilvl w:val="0"/>
          <w:numId w:val="5"/>
        </w:numPr>
        <w:bidi w:val="0"/>
        <w:ind w:right="0"/>
        <w:jc w:val="left"/>
        <w:rPr>
          <w:rFonts w:ascii="Arial" w:hAnsi="Arial"/>
          <w:rtl w:val="0"/>
          <w:lang w:val="en-US"/>
        </w:rPr>
      </w:pPr>
      <w:r>
        <w:rPr>
          <w:rFonts w:ascii="Arial" w:hAnsi="Arial"/>
          <w:rtl w:val="0"/>
          <w:lang w:val="en-US"/>
        </w:rPr>
        <w:t>This report is based upon facts discovered during the survey and the Surveyor</w:t>
      </w:r>
      <w:r>
        <w:rPr>
          <w:rFonts w:ascii="Arial" w:hAnsi="Arial" w:hint="default"/>
          <w:rtl w:val="0"/>
          <w:lang w:val="en-US"/>
        </w:rPr>
        <w:t>’</w:t>
      </w:r>
      <w:r>
        <w:rPr>
          <w:rFonts w:ascii="Arial" w:hAnsi="Arial"/>
          <w:rtl w:val="0"/>
          <w:lang w:val="en-US"/>
        </w:rPr>
        <w:t>s knowledge and experience, without warranty, either specified or implied.</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report represents the physical condition and estimated value of the vessel only on the date of the survey, and may not be relied upon thereafter. It does not include a determination as to the seaworthiness of the vessel, nor does it include stability tests necessary to determine such limitations, nor does it attempt to itemize waters unsuitable for the vessel's use.</w:t>
      </w:r>
      <w:r>
        <w:rPr>
          <w:rFonts w:ascii="Arial" w:hAnsi="Arial" w:hint="default"/>
          <w:rtl w:val="0"/>
          <w:lang w:val="en-US"/>
        </w:rPr>
        <w:t> </w:t>
      </w:r>
    </w:p>
    <w:p>
      <w:pPr>
        <w:pStyle w:val="Body A"/>
        <w:numPr>
          <w:ilvl w:val="0"/>
          <w:numId w:val="2"/>
        </w:numPr>
        <w:bidi w:val="0"/>
        <w:ind w:right="0"/>
        <w:jc w:val="left"/>
        <w:rPr>
          <w:rFonts w:ascii="Arial Unicode MS" w:hAnsi="Arial Unicode MS"/>
          <w:rtl w:val="0"/>
          <w:lang w:val="en-US"/>
        </w:rPr>
      </w:pPr>
      <w:r>
        <w:rPr>
          <w:rFonts w:ascii="Arial" w:hAnsi="Arial"/>
          <w:rtl w:val="0"/>
          <w:lang w:val="en-US"/>
        </w:rPr>
        <w:t>This survey is prepared for the exclusive use of the client whose name and address appear on the front page. The intended users of this report and valuation are the client and those lenders and underwriters who may finance or insure this vessel for this client only. This report is not transferable to any other person or entity; therefore, this surveyor assumes no liability arising out of the reliance on the information contained herein by persons or entities not parties to this survey.</w:t>
      </w:r>
      <w:r>
        <w:rPr>
          <w:rFonts w:ascii="Arial" w:hAnsi="Arial" w:hint="default"/>
          <w:rtl w:val="0"/>
          <w:lang w:val="en-US"/>
        </w:rPr>
        <w:t> </w:t>
      </w: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Body A"/>
        <w:numPr>
          <w:ilvl w:val="0"/>
          <w:numId w:val="2"/>
        </w:numPr>
        <w:bidi w:val="0"/>
        <w:ind w:right="0"/>
        <w:jc w:val="left"/>
        <w:rPr>
          <w:rFonts w:ascii="Arial" w:hAnsi="Arial"/>
          <w:rtl w:val="0"/>
          <w:lang w:val="en-US"/>
        </w:rPr>
      </w:pPr>
      <w:r>
        <w:rPr>
          <w:rFonts w:ascii="Arial" w:hAnsi="Arial"/>
          <w:rtl w:val="0"/>
          <w:lang w:val="en-US"/>
        </w:rPr>
        <w:t>This survey report is the result of a verbal contract between the Surveyor and the requesting party. If, upon receipt of this document, the requesting party disagrees with any of the following terms and conditions, it should contact the Surveyor immediately. In the event of dissatisfaction with the conduct of the survey, with errors contained in the report, or with omission of information, it is agreed by all concerned that the Surveyor</w:t>
      </w:r>
      <w:r>
        <w:rPr>
          <w:rFonts w:ascii="Arial" w:hAnsi="Arial" w:hint="default"/>
          <w:rtl w:val="0"/>
          <w:lang w:val="en-US"/>
        </w:rPr>
        <w:t>’</w:t>
      </w:r>
      <w:r>
        <w:rPr>
          <w:rFonts w:ascii="Arial" w:hAnsi="Arial"/>
          <w:rtl w:val="0"/>
          <w:lang w:val="en-US"/>
        </w:rPr>
        <w:t>s liability is restricted and that the sole and maximum remedy shall be limited to the amount of the rendered service fee for this survey and report. The use of this report constitutes acceptance of, and agreement to all the terms and conditions stated above.</w:t>
      </w:r>
      <w:r>
        <w:rPr>
          <w:rFonts w:ascii="Arial" w:hAnsi="Arial" w:hint="default"/>
          <w:rtl w:val="0"/>
          <w:lang w:val="en-US"/>
        </w:rPr>
        <w:t> </w:t>
      </w:r>
    </w:p>
    <w:p>
      <w:pPr>
        <w:pStyle w:val="Body A"/>
        <w:rPr>
          <w:rFonts w:ascii="Arial" w:cs="Arial" w:hAnsi="Arial" w:eastAsia="Arial"/>
        </w:rPr>
      </w:pPr>
    </w:p>
    <w:p>
      <w:pPr>
        <w:pStyle w:val="Body A"/>
        <w:spacing w:before="180" w:after="180"/>
        <w:rPr>
          <w:rFonts w:ascii="Arial" w:cs="Arial" w:hAnsi="Arial" w:eastAsia="Arial"/>
        </w:rPr>
      </w:pPr>
      <w:r>
        <w:rPr>
          <w:rFonts w:ascii="Arial" w:hAnsi="Arial"/>
          <w:rtl w:val="0"/>
          <w:lang w:val="en-US"/>
        </w:rPr>
        <w:t>Signed without prejudice,</w:t>
      </w:r>
      <w:r>
        <w:rPr>
          <w:rFonts w:ascii="Arial" w:hAnsi="Arial" w:hint="default"/>
          <w:rtl w:val="0"/>
          <w:lang w:val="en-US"/>
        </w:rPr>
        <w:t> </w:t>
      </w:r>
    </w:p>
    <w:p>
      <w:pPr>
        <w:pStyle w:val="Body A"/>
        <w:spacing w:before="180" w:after="180"/>
        <w:rPr>
          <w:rFonts w:ascii="Arial" w:cs="Arial" w:hAnsi="Arial" w:eastAsia="Arial"/>
        </w:rPr>
      </w:pPr>
      <w:r>
        <w:rPr>
          <w:rFonts w:ascii="Arial" w:hAnsi="Arial"/>
          <w:rtl w:val="0"/>
          <w:lang w:val="en-US"/>
        </w:rPr>
        <w:t>{{signature_photo}}</w:t>
      </w:r>
    </w:p>
    <w:p>
      <w:pPr>
        <w:pStyle w:val="Body A"/>
        <w:keepLines w:val="1"/>
        <w:widowControl w:val="0"/>
        <w:spacing w:after="0"/>
        <w:rPr>
          <w:rFonts w:ascii="Arial" w:cs="Arial" w:hAnsi="Arial" w:eastAsia="Arial"/>
          <w:b w:val="1"/>
          <w:bCs w:val="1"/>
          <w:lang w:val="es-ES_tradnl"/>
        </w:rPr>
      </w:pPr>
      <w:r>
        <w:rPr>
          <w:rFonts w:ascii="Arial" w:hAnsi="Arial"/>
          <w:b w:val="1"/>
          <w:bCs w:val="1"/>
          <w:rtl w:val="0"/>
          <w:lang w:val="es-ES_tradnl"/>
        </w:rPr>
        <w:t>Marc Blaquiere</w:t>
      </w:r>
    </w:p>
    <w:p>
      <w:pPr>
        <w:pStyle w:val="Body A"/>
        <w:keepLines w:val="1"/>
        <w:widowControl w:val="0"/>
        <w:spacing w:after="0"/>
        <w:rPr>
          <w:rFonts w:ascii="Arial" w:cs="Arial" w:hAnsi="Arial" w:eastAsia="Arial"/>
          <w:i w:val="1"/>
          <w:iCs w:val="1"/>
        </w:rPr>
      </w:pPr>
      <w:r>
        <w:rPr>
          <w:rFonts w:ascii="Arial" w:hAnsi="Arial"/>
          <w:i w:val="1"/>
          <w:iCs w:val="1"/>
          <w:rtl w:val="0"/>
          <w:lang w:val="en-US"/>
        </w:rPr>
        <w:t>Yacht and Small Craft Surveyor</w:t>
      </w:r>
    </w:p>
    <w:p>
      <w:pPr>
        <w:pStyle w:val="Body A"/>
        <w:keepLines w:val="1"/>
        <w:widowControl w:val="0"/>
        <w:spacing w:after="0"/>
        <w:rPr>
          <w:rFonts w:ascii="Arial" w:cs="Arial" w:hAnsi="Arial" w:eastAsia="Arial"/>
          <w:i w:val="1"/>
          <w:iCs w:val="1"/>
        </w:rPr>
      </w:pPr>
      <w:r>
        <w:rPr>
          <w:rFonts w:ascii="Arial" w:hAnsi="Arial"/>
          <w:i w:val="1"/>
          <w:iCs w:val="1"/>
          <w:rtl w:val="0"/>
          <w:lang w:val="en-US"/>
        </w:rPr>
        <w:t>Associate Member NAMSGlobal International Association of Marine Surveyors</w:t>
      </w:r>
    </w:p>
    <w:p>
      <w:pPr>
        <w:pStyle w:val="Body A"/>
        <w:keepLines w:val="1"/>
        <w:widowControl w:val="0"/>
        <w:spacing w:after="0"/>
      </w:pPr>
      <w:r>
        <w:rPr>
          <w:rFonts w:ascii="Arial" w:hAnsi="Arial"/>
          <w:i w:val="1"/>
          <w:iCs w:val="1"/>
          <w:rtl w:val="0"/>
          <w:lang w:val="en-US"/>
        </w:rPr>
        <w:t>Member American Boat and Yacht Council</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5"/>
  </w:abstractNum>
  <w:abstractNum w:abstractNumId="1">
    <w:multiLevelType w:val="hybridMultilevel"/>
    <w:styleLink w:val="Imported Style 5"/>
    <w:lvl w:ilvl="0">
      <w:start w:val="1"/>
      <w:numFmt w:val="decimal"/>
      <w:suff w:val="tab"/>
      <w:lvlText w:val="%1."/>
      <w:lvlJc w:val="left"/>
      <w:pPr>
        <w:ind w:left="440" w:hanging="44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1.%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550" w:hanging="12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6"/>
  </w:abstractNum>
  <w:abstractNum w:abstractNumId="3">
    <w:multiLevelType w:val="hybridMultilevel"/>
    <w:styleLink w:val="Imported Style 6"/>
    <w:lvl w:ilvl="0">
      <w:start w:val="1"/>
      <w:numFmt w:val="decimal"/>
      <w:suff w:val="tab"/>
      <w:lvlText w:val="%1."/>
      <w:lvlJc w:val="left"/>
      <w:pPr>
        <w:ind w:left="338" w:hanging="33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ind w:left="1880" w:hanging="44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tabs>
        <w:tab w:val="right" w:pos="6120"/>
      </w:tabs>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tabs>
        <w:tab w:val="right" w:pos="6120"/>
      </w:tabs>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5">
    <w:name w:val="Imported Style 5"/>
    <w:pPr>
      <w:numPr>
        <w:numId w:val="1"/>
      </w:numPr>
    </w:pPr>
  </w:style>
  <w:style w:type="numbering" w:styleId="Imported Style 6">
    <w:name w:val="Imported Style 6"/>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