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en-US"/>
        </w:rPr>
        <w:t>vessel_</w:t>
      </w:r>
      <w:r>
        <w:rPr>
          <w:b w:val="1"/>
          <w:bCs w:val="1"/>
          <w:rtl w:val="0"/>
          <w:lang w:val="en-US"/>
        </w:rPr>
        <w:t>photo}}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