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sz w:val="34"/>
          <w:szCs w:val="34"/>
          <w:rtl w:val="0"/>
          <w:lang w:val="en-US"/>
        </w:rPr>
        <w:t>“</w:t>
      </w:r>
      <w:r>
        <w:rPr>
          <w:b w:val="1"/>
          <w:bCs w:val="1"/>
          <w:i w:val="1"/>
          <w:iCs w:val="1"/>
          <w:sz w:val="34"/>
          <w:szCs w:val="34"/>
          <w:rtl w:val="0"/>
          <w:lang w:val="en-US"/>
        </w:rPr>
        <w:t>{{vessel_name}}</w:t>
      </w:r>
      <w:r>
        <w:rPr>
          <w:sz w:val="34"/>
          <w:szCs w:val="34"/>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vessel_photo</w:t>
      </w:r>
      <w:r>
        <w:rPr>
          <w:rFonts w:ascii="Arial" w:hAnsi="Arial"/>
          <w:b w:val="1"/>
          <w:bCs w:val="1"/>
          <w:rtl w:val="0"/>
          <w:lang w:val="en-US"/>
        </w:rPr>
        <w:t xml:space="preserve"> </w:t>
      </w:r>
      <w:r>
        <w:rPr>
          <w:rFonts w:ascii="Arial" w:hAnsi="Arial"/>
          <w:b w:val="1"/>
          <w:bCs w:val="1"/>
          <w:rtl w:val="0"/>
          <w:lang w:val="en-US"/>
        </w:rPr>
        <w:t>}}</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pPr>
      <w:r>
        <w:rPr>
          <w:b w:val="1"/>
          <w:bCs w:val="1"/>
          <w:i w:val="1"/>
          <w:iCs w:val="1"/>
          <w:sz w:val="34"/>
          <w:szCs w:val="34"/>
          <w:rtl w:val="0"/>
          <w:lang w:val="en-US"/>
        </w:rPr>
        <w:t>{{</w:t>
      </w:r>
      <w:r>
        <w:rPr>
          <w:rFonts w:ascii="Arial" w:hAnsi="Arial"/>
          <w:b w:val="1"/>
          <w:bCs w:val="1"/>
          <w:i w:val="1"/>
          <w:iCs w:val="1"/>
          <w:sz w:val="32"/>
          <w:szCs w:val="32"/>
          <w:rtl w:val="0"/>
          <w:lang w:val="en-US"/>
        </w:rPr>
        <w:t>survey_overview</w:t>
      </w:r>
      <w:r>
        <w:rPr>
          <w:b w:val="1"/>
          <w:bCs w:val="1"/>
          <w:i w:val="1"/>
          <w:iCs w:val="1"/>
          <w:sz w:val="34"/>
          <w:szCs w:val="34"/>
          <w:rtl w:val="0"/>
          <w:lang w:val="en-US"/>
        </w:rPr>
        <w:t>}}</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95"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{{survey_date}}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{{client_name}}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{{client_address}}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{{client_email}}</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{{present_at_survey}}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{{location_of_survey}}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{{survey_conditions}}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{{weather}}</w:t>
            </w:r>
          </w:p>
        </w:tc>
      </w:tr>
    </w:tbl>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port_</w:t>
      </w:r>
      <w:r>
        <w:rPr>
          <w:rFonts w:ascii="Arial" w:hAnsi="Arial"/>
          <w:b w:val="1"/>
          <w:bCs w:val="1"/>
          <w:rtl w:val="0"/>
          <w:lang w:val="en-US"/>
        </w:rPr>
        <w:t>side_</w:t>
      </w:r>
      <w:r>
        <w:rPr>
          <w:rFonts w:ascii="Arial" w:hAnsi="Arial"/>
          <w:b w:val="1"/>
          <w:bCs w:val="1"/>
          <w:rtl w:val="0"/>
          <w:lang w:val="en-US"/>
        </w:rPr>
        <w:t>photo</w:t>
      </w:r>
      <w:r>
        <w:rPr>
          <w:rFonts w:ascii="Arial" w:hAnsi="Arial"/>
          <w:b w:val="1"/>
          <w:bCs w:val="1"/>
          <w:rtl w:val="0"/>
          <w:lang w:val="en-US"/>
        </w:rPr>
        <w:t xml:space="preserve"> </w:t>
      </w:r>
      <w:r>
        <w:rPr>
          <w:rFonts w:ascii="Arial" w:hAnsi="Arial"/>
          <w:b w:val="1"/>
          <w:bCs w:val="1"/>
          <w:rtl w:val="0"/>
          <w:lang w:val="en-US"/>
        </w:rPr>
        <w:t>}}</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starboard_</w:t>
      </w:r>
      <w:r>
        <w:rPr>
          <w:rFonts w:ascii="Arial" w:hAnsi="Arial"/>
          <w:b w:val="1"/>
          <w:bCs w:val="1"/>
          <w:rtl w:val="0"/>
          <w:lang w:val="en-US"/>
        </w:rPr>
        <w:t>side_</w:t>
      </w:r>
      <w:r>
        <w:rPr>
          <w:rFonts w:ascii="Arial" w:hAnsi="Arial"/>
          <w:b w:val="1"/>
          <w:bCs w:val="1"/>
          <w:rtl w:val="0"/>
          <w:lang w:val="en-US"/>
        </w:rPr>
        <w:t>photo</w:t>
      </w:r>
      <w:r>
        <w:rPr>
          <w:rFonts w:ascii="Arial" w:hAnsi="Arial"/>
          <w:b w:val="1"/>
          <w:bCs w:val="1"/>
          <w:rtl w:val="0"/>
          <w:lang w:val="en-US"/>
        </w:rPr>
        <w:t xml:space="preserve"> </w:t>
      </w:r>
      <w:r>
        <w:rPr>
          <w:rFonts w:ascii="Arial" w:hAnsi="Arial"/>
          <w:b w:val="1"/>
          <w:bCs w:val="1"/>
          <w:rtl w:val="0"/>
          <w:lang w:val="en-US"/>
        </w:rPr>
        <w:t>}}</w:t>
      </w:r>
    </w:p>
    <w:p>
      <w:pPr>
        <w:pStyle w:val="Body A"/>
        <w:rPr>
          <w:rFonts w:ascii="Arial" w:cs="Arial" w:hAnsi="Arial" w:eastAsia="Arial"/>
          <w:b w:val="1"/>
          <w:bCs w:val="1"/>
        </w:rPr>
      </w:pPr>
    </w:p>
    <w:p>
      <w:pPr>
        <w:pStyle w:val="Heading"/>
        <w:keepLines w:val="1"/>
        <w:widowControl w:val="0"/>
        <w:spacing w:before="480"/>
        <w:ind w:left="432" w:hanging="432"/>
        <w:rPr>
          <w:rFonts w:ascii="Calibri" w:cs="Calibri" w:hAnsi="Calibri" w:eastAsia="Calibri"/>
          <w:outline w:val="0"/>
          <w:color w:val="4f81bd"/>
          <w:sz w:val="32"/>
          <w:szCs w:val="32"/>
          <w:u w:color="4f81bd"/>
          <w14:textOutline w14:w="12700" w14:cap="flat">
            <w14:noFill/>
            <w14:miter w14:lim="400000"/>
          </w14:textOutline>
          <w14:textFill>
            <w14:solidFill>
              <w14:srgbClr w14:val="4F81BD"/>
            </w14:solidFill>
          </w14:textFill>
        </w:rPr>
      </w:pP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6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{{vessel_type}}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{{vessel_manufacturer}}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{{vessel_designer}}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{{vessel_make}}</w:t>
            </w:r>
          </w:p>
        </w:tc>
      </w:tr>
      <w:tr>
        <w:tblPrEx>
          <w:shd w:val="clear" w:color="auto" w:fill="ced7e7"/>
        </w:tblPrEx>
        <w:trPr>
          <w:trHeight w:val="28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{{vessel_model}}</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{{vessel_hin}}</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{{vessel_uscg_number}}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{{vessel_uscg_expiry}}</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{{vessel_hailing_port}}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{{vessel_year}}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{{vessel_service_area}}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{{vessel_loa}}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{{vessel_beam}}</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{{vessel_draft}}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{{vessel_displacement}}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{{vessel_ballast}}</w:t>
            </w:r>
          </w:p>
        </w:tc>
      </w:tr>
    </w:tbl>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5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{{rail_bulwarks}}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{{hull_chainplates}}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{{interior_insulation}}</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5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35"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{{deck_lockers}}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{{bimini}}</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{{stern_arch}}</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{{cockpit_cushions}}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{{cockpit_table}}</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{{boarding_ladder}}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r>
    </w:tbl>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Mast and Sails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35"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{{spars_description}}</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{{roller_furler}}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{{mainsail_track}}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{{sheet_tracks}}</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{{boom_vang}}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{{whisker_pole}}</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{{stack_pack}}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{{spinnaker}}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{{other_sails}}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{{mast_sails_misc}}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35"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{{wheel_brake}}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{{emergency_steering}}</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{{steering_system_pulleys}}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{{rudder_gland}}</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35"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{{propane_storage}}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{{propane_regulator}}</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{{propane_gauge}}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{{propane_tank_solenoid}}</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{{lpg_alarm}}</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35"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b w:val="0"/>
          <w:bCs w:val="0"/>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3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35"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540" w:hanging="540"/>
        <w:outlineLvl w:val="1"/>
        <w:rPr>
          <w:rFonts w:ascii="Arial" w:cs="Arial" w:hAnsi="Arial" w:eastAsia="Arial"/>
          <w:b w:val="0"/>
          <w:bCs w:val="0"/>
          <w:sz w:val="22"/>
          <w:szCs w:val="22"/>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540" w:hanging="540"/>
        <w:outlineLvl w:val="1"/>
        <w:rPr>
          <w:rFonts w:ascii="Arial" w:cs="Arial" w:hAnsi="Arial" w:eastAsia="Arial"/>
        </w:rPr>
      </w:pPr>
    </w:p>
    <w:p>
      <w:pPr>
        <w:pStyle w:val="Heading 2"/>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35"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35"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{{ac_voltage}}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{{shore_power_inlet}}</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{{shore_power_breaker}}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{{shore_power_cable}}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{{galvanic_isolator}}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{{reverse_polarity_indicator}}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{{ac_panel}}</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{{inverter}}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14:textFill>
            <w14:solidFill>
              <w14:srgbClr w14:val="4F81BD"/>
            </w14:solidFill>
          </w14:textFill>
        </w:rPr>
      </w:pPr>
      <w:r>
        <w:rPr>
          <w:rFonts w:ascii="Arial" w:hAnsi="Arial"/>
          <w:b w:val="1"/>
          <w:bCs w:val="1"/>
          <w:outline w:val="0"/>
          <w:color w:val="4f81bd"/>
          <w:sz w:val="32"/>
          <w:szCs w:val="32"/>
          <w:rtl w:val="0"/>
          <w:lang w:val="en-US"/>
          <w14:textFill>
            <w14:solidFill>
              <w14:srgbClr w14:val="4F81BD"/>
            </w14:solidFill>
          </w14:textFill>
        </w:rPr>
        <w:t xml:space="preserve">Electrical System </w:t>
      </w:r>
      <w:r>
        <w:rPr>
          <w:rFonts w:ascii="Arial" w:hAnsi="Arial"/>
          <w:b w:val="1"/>
          <w:bCs w:val="1"/>
          <w:outline w:val="0"/>
          <w:color w:val="4f81bd"/>
          <w:sz w:val="32"/>
          <w:szCs w:val="32"/>
          <w:rtl w:val="0"/>
          <w:lang w:val="en-US"/>
          <w14:textFill>
            <w14:solidFill>
              <w14:srgbClr w14:val="4F81BD"/>
            </w14:solidFill>
          </w14:textFill>
        </w:rPr>
        <w:t>D</w:t>
      </w:r>
      <w:r>
        <w:rPr>
          <w:rFonts w:ascii="Arial" w:hAnsi="Arial"/>
          <w:b w:val="1"/>
          <w:bCs w:val="1"/>
          <w:outline w:val="0"/>
          <w:color w:val="4f81bd"/>
          <w:sz w:val="32"/>
          <w:szCs w:val="32"/>
          <w:rtl w:val="0"/>
          <w:lang w:val="en-US"/>
          <w14:textFill>
            <w14:solidFill>
              <w14:srgbClr w14:val="4F81BD"/>
            </w14:solidFill>
          </w14:textFill>
        </w:rPr>
        <w:t>C</w:t>
      </w:r>
    </w:p>
    <w:tbl>
      <w:tblPr>
        <w:tblW w:w="883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35"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{{dc_voltage}}</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{{dc_panel}}</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{{battery_monitor}}</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{{battery_banks}}</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{{battery_type}}</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{{battery_brand}}</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{{battery_bank_size}}</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{{battery_charger}}</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{{battery_fuse}}</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{{house_battery_on_off}}</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{{engine_battery_on_off}}</w:t>
            </w:r>
          </w:p>
        </w:tc>
      </w:tr>
      <w:tr>
        <w:tblPrEx>
          <w:shd w:val="clear" w:color="auto" w:fill="ced7e7"/>
        </w:tblPrEx>
        <w:trPr>
          <w:trHeight w:val="271"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{{batteries_secure}}</w:t>
            </w:r>
          </w:p>
        </w:tc>
      </w:tr>
    </w:tbl>
    <w:p>
      <w:pPr>
        <w:pStyle w:val="Header &amp; Footer"/>
        <w:rPr>
          <w:rFonts w:ascii="Arial" w:cs="Arial" w:hAnsi="Arial" w:eastAsia="Arial"/>
          <w:b w:val="1"/>
          <w:bCs w:val="1"/>
          <w:outline w:val="0"/>
          <w:color w:val="4f81bd"/>
          <w:sz w:val="32"/>
          <w:szCs w:val="32"/>
          <w14:textFill>
            <w14:solidFill>
              <w14:srgbClr w14:val="4F81BD"/>
            </w14:solidFill>
          </w14:textFill>
        </w:rPr>
      </w:pPr>
      <w:r>
        <w:rPr>
          <w:rFonts w:ascii="Arial" w:hAnsi="Arial"/>
          <w:b w:val="1"/>
          <w:bCs w:val="1"/>
          <w:outline w:val="0"/>
          <w:color w:val="4f81bd"/>
          <w:sz w:val="32"/>
          <w:szCs w:val="32"/>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14:textFill>
            <w14:solidFill>
              <w14:srgbClr w14:val="4F81BD"/>
            </w14:solidFill>
          </w14:textFill>
        </w:rPr>
      </w:pPr>
    </w:p>
    <w:p>
      <w:pPr>
        <w:pStyle w:val="Header &amp; Footer"/>
        <w:rPr>
          <w:rFonts w:ascii="Arial" w:cs="Arial" w:hAnsi="Arial" w:eastAsia="Arial"/>
          <w:b w:val="1"/>
          <w:bCs w:val="1"/>
          <w:outline w:val="0"/>
          <w:color w:val="4f81bd"/>
          <w:sz w:val="32"/>
          <w:szCs w:val="32"/>
          <w14:textFill>
            <w14:solidFill>
              <w14:srgbClr w14:val="4F81BD"/>
            </w14:solidFill>
          </w14:textFill>
        </w:rPr>
      </w:pPr>
      <w:r>
        <w:rPr>
          <w:rFonts w:ascii="Arial" w:hAnsi="Arial"/>
          <w:b w:val="1"/>
          <w:bCs w:val="1"/>
          <w:outline w:val="0"/>
          <w:color w:val="4f81bd"/>
          <w:sz w:val="32"/>
          <w:szCs w:val="32"/>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14:textFill>
            <w14:solidFill>
              <w14:srgbClr w14:val="4F81BD"/>
            </w14:solidFill>
          </w14:textFill>
        </w:rPr>
      </w:pPr>
    </w:p>
    <w:tbl>
      <w:tblPr>
        <w:tblW w:w="8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05"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{{alternator}}</w:t>
            </w:r>
          </w:p>
        </w:tc>
      </w:tr>
      <w:tr>
        <w:tblPrEx>
          <w:shd w:val="clear" w:color="auto" w:fill="ced7e7"/>
        </w:tblPrEx>
        <w:trPr>
          <w:trHeight w:val="226"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26"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26"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26"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rPr>
          <w:rFonts w:ascii="Calibri" w:cs="Calibri" w:hAnsi="Calibri" w:eastAsia="Calibri"/>
          <w:b w:val="1"/>
          <w:bCs w:val="1"/>
          <w:outline w:val="0"/>
          <w:color w:val="4f81bd"/>
          <w:sz w:val="32"/>
          <w:szCs w:val="32"/>
          <w14:textFill>
            <w14:solidFill>
              <w14:srgbClr w14:val="4F81BD"/>
            </w14:solidFill>
          </w14:textFill>
        </w:rPr>
      </w:pPr>
    </w:p>
    <w:p>
      <w:pPr>
        <w:pStyle w:val="Heading 2"/>
        <w:widowControl w:val="0"/>
        <w:ind w:left="324" w:hanging="324"/>
        <w:outlineLvl w:val="1"/>
        <w:rPr>
          <w:b w:val="0"/>
          <w:bCs w:val="0"/>
          <w:sz w:val="22"/>
          <w:szCs w:val="22"/>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35"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35"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7"/>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486"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7"/>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71"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03" w:hanging="4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