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  <w:rPr>
          <w:sz w:val="22"/>
          <w:szCs w:val="22"/>
        </w:rPr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>{{vessel_year}} {{vessel_make}} {{vessel_model</w:t>
      </w:r>
      <w:r>
        <w:rPr>
          <w:sz w:val="22"/>
          <w:szCs w:val="22"/>
          <w:rtl w:val="0"/>
          <w:lang w:val="en-US"/>
        </w:rPr>
        <w:t>}}</w:t>
      </w:r>
    </w:p>
    <w:p>
      <w:pPr>
        <w:pStyle w:val="Body A"/>
      </w:pPr>
    </w:p>
    <w:p>
      <w:pPr>
        <w:pStyle w:val="Body A"/>
        <w:jc w:val="center"/>
        <w:rPr>
          <w:sz w:val="34"/>
          <w:szCs w:val="34"/>
        </w:rPr>
      </w:pPr>
      <w:r>
        <w:rPr>
          <w:b w:val="1"/>
          <w:bCs w:val="1"/>
          <w:sz w:val="22"/>
          <w:szCs w:val="22"/>
          <w:rtl w:val="0"/>
          <w:lang w:val="en-US"/>
        </w:rPr>
        <w:t>{{photo_01}}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_of_survey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29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8913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44"/>
        <w:gridCol w:w="6169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Vessel Name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manufacturer}}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designer}}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make}}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model}}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hin}}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uscg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_number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uscg_expiry}}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hailing_port}}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year}}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service_area}}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loa}}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beam}}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draft}}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displacement}}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274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b w:val="1"/>
                <w:bCs w:val="1"/>
                <w:rtl w:val="0"/>
                <w:lang w:val="en-US"/>
              </w:rPr>
              <w:t>vessel_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{{hull_material}}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transom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topsides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Rail/ Bulwark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rail_bulwarks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Deck/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Misc</w:t>
            </w:r>
          </w:p>
        </w:tc>
        <w:tc>
          <w:tcPr>
            <w:tcW w:type="dxa" w:w="616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deck_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hull_misc}}</w:t>
            </w:r>
          </w:p>
        </w:tc>
      </w:tr>
    </w:tbl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>Below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 xml:space="preserve"> W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below_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water_thru_hull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36" w:after="3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above_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water_thru_hull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Thru-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thru_hull_fittings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_material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Sea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Sea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alves Plumbing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{{sea_valves_plumbing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_material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{{prop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eller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_shaft}}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propeller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{{rudde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nl-NL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{{rudder_bearing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</w:tbl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Chain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{{chain_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stopper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ortholes_P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portholes_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portlights}}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36" w:after="36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Foot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36" w:after="36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{{foot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_switches_remote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}}</w:t>
            </w:r>
          </w:p>
        </w:tc>
      </w:tr>
    </w:tbl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20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