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fwd_head_photo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 aa_findings }}</w:t>
      </w:r>
    </w:p>
    <w:p>
      <w:pPr>
        <w:pStyle w:val="Body A"/>
        <w:bidi w:val="0"/>
        <w:spacing w:after="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 a_findings }}</w:t>
      </w:r>
    </w:p>
    <w:p>
      <w:pPr>
        <w:pStyle w:val="Body A"/>
        <w:numPr>
          <w:ilvl w:val="0"/>
          <w:numId w:val="4"/>
        </w:numPr>
        <w:bidi w:val="0"/>
        <w:spacing w:after="0"/>
        <w:ind w:right="0"/>
        <w:jc w:val="left"/>
        <w:rPr>
          <w:rFonts w:ascii="Arial" w:cs="Arial" w:hAnsi="Arial" w:eastAsia="Arial"/>
          <w:rtl w:val="0"/>
          <w:lang w:val="it-IT"/>
        </w:rPr>
      </w:pP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 b_findings }}</w:t>
      </w:r>
    </w:p>
    <w:p>
      <w:pPr>
        <w:pStyle w:val="Body A"/>
        <w:numPr>
          <w:ilvl w:val="0"/>
          <w:numId w:val="6"/>
        </w:numPr>
        <w:bidi w:val="0"/>
        <w:spacing w:after="0"/>
        <w:ind w:right="0"/>
        <w:jc w:val="left"/>
        <w:rPr>
          <w:rFonts w:ascii="Arial" w:cs="Arial" w:hAnsi="Arial" w:eastAsia="Arial"/>
          <w:rtl w:val="0"/>
          <w:lang w:val="it-IT"/>
        </w:rPr>
      </w:pP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 c_findings }}</w:t>
      </w:r>
    </w:p>
    <w:p>
      <w:pPr>
        <w:pStyle w:val="Body A"/>
        <w:bidi w:val="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r>
        <w:rPr>
          <w:rFonts w:ascii="Arial" w:hAnsi="Arial"/>
          <w:sz w:val="28"/>
          <w:szCs w:val="28"/>
          <w:rtl w:val="0"/>
          <w:lang w:val="en-US"/>
        </w:rPr>
        <w:t>Further Testing Required</w:t>
      </w:r>
    </w:p>
    <w:p>
      <w:pPr>
        <w:pStyle w:val="Body A"/>
        <w:numPr>
          <w:ilvl w:val="0"/>
          <w:numId w:val="9"/>
        </w:numPr>
        <w:bidi w:val="0"/>
        <w:ind w:right="0"/>
        <w:jc w:val="left"/>
        <w:rPr>
          <w:rFonts w:ascii="Arial" w:hAnsi="Arial"/>
          <w:rtl w:val="0"/>
          <w:lang w:val="it-IT"/>
        </w:rPr>
      </w:pPr>
      <w:r>
        <w:rPr>
          <w:rFonts w:ascii="Arial" w:hAnsi="Arial"/>
          <w:rtl w:val="0"/>
          <w:lang w:val="it-IT"/>
        </w:rPr>
        <w:t xml:space="preserve">{{ </w:t>
      </w:r>
      <w:r>
        <w:rPr>
          <w:rFonts w:ascii="Arial" w:hAnsi="Arial"/>
          <w:rtl w:val="0"/>
          <w:lang w:val="en-US"/>
        </w:rPr>
        <w:t>ftr</w:t>
      </w:r>
      <w:r>
        <w:rPr>
          <w:rFonts w:ascii="Arial" w:hAnsi="Arial"/>
          <w:rtl w:val="0"/>
          <w:lang w:val="it-IT"/>
        </w:rPr>
        <w:t>_findings }}</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1"/>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1"/>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3"/>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3"/>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3"/>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4"/>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1"/>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1"/>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1"/>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1"/>
    </w:lvlOverride>
  </w:num>
  <w:num w:numId="10">
    <w:abstractNumId w:val="9"/>
  </w:num>
  <w:num w:numId="11">
    <w:abstractNumId w:val="8"/>
  </w:num>
  <w:num w:numId="12">
    <w:abstractNumId w:val="11"/>
  </w:num>
  <w:num w:numId="13">
    <w:abstractNumId w:val="10"/>
  </w:num>
  <w:num w:numId="14">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