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FCD470A" w:rsidR="00823645" w:rsidRPr="00FD099F" w:rsidRDefault="00823645" w:rsidP="00823645">
      <w:pPr>
        <w:jc w:val="center"/>
        <w:rPr>
          <w:b/>
          <w:bCs/>
        </w:rPr>
      </w:pPr>
      <w:r w:rsidRPr="00FD099F">
        <w:rPr>
          <w:b/>
          <w:bCs/>
        </w:rPr>
        <w:t>Website Script</w:t>
      </w:r>
    </w:p>
    <w:p w14:paraId="012B4CB6" w14:textId="77777777" w:rsidR="00CA589E" w:rsidRDefault="00CA589E" w:rsidP="00823645">
      <w:pPr>
        <w:jc w:val="center"/>
      </w:pPr>
    </w:p>
    <w:p w14:paraId="66486142" w14:textId="68580A4E" w:rsidR="00CA589E" w:rsidRPr="00FD099F" w:rsidRDefault="00CA589E" w:rsidP="00CA589E">
      <w:pPr>
        <w:rPr>
          <w:b/>
          <w:bCs/>
        </w:rPr>
      </w:pPr>
      <w:r w:rsidRPr="00FD099F">
        <w:rPr>
          <w:b/>
          <w:bCs/>
          <w:highlight w:val="cyan"/>
        </w:rPr>
        <w:t>Passages I highlighted with blue have not been changed, anything else should be updated</w:t>
      </w:r>
      <w:r w:rsidRPr="00FD099F">
        <w:rPr>
          <w:b/>
          <w:bCs/>
        </w:rPr>
        <w:t xml:space="preserve"> </w:t>
      </w:r>
    </w:p>
    <w:p w14:paraId="1490450E" w14:textId="5923DB50" w:rsidR="00FD099F" w:rsidRPr="00FD099F" w:rsidRDefault="00FD099F" w:rsidP="00CA589E">
      <w:pPr>
        <w:rPr>
          <w:b/>
          <w:bCs/>
        </w:rPr>
      </w:pPr>
      <w:r w:rsidRPr="00FD099F">
        <w:rPr>
          <w:b/>
          <w:bCs/>
          <w:highlight w:val="yellow"/>
        </w:rPr>
        <w:t>Questions on edits are in yellow</w:t>
      </w:r>
    </w:p>
    <w:p w14:paraId="5A169DA1" w14:textId="4FA17DA7" w:rsidR="00CA589E" w:rsidRDefault="00CA589E" w:rsidP="00CA589E"/>
    <w:p w14:paraId="015E5799" w14:textId="75B37F58" w:rsidR="00FD099F" w:rsidRDefault="00FD099F" w:rsidP="00CA589E"/>
    <w:p w14:paraId="0249A01F" w14:textId="77777777" w:rsidR="000E0141" w:rsidRPr="00432088" w:rsidRDefault="000E0141" w:rsidP="000E0141">
      <w:pPr>
        <w:rPr>
          <w:b/>
          <w:bCs/>
        </w:rPr>
      </w:pPr>
      <w:r w:rsidRPr="00432088">
        <w:rPr>
          <w:b/>
          <w:bCs/>
        </w:rPr>
        <w:t xml:space="preserve">Home </w:t>
      </w:r>
    </w:p>
    <w:p w14:paraId="022937AD" w14:textId="77777777" w:rsidR="000E0141" w:rsidRDefault="000E0141" w:rsidP="00CA589E"/>
    <w:p w14:paraId="0936D230" w14:textId="5180141D" w:rsidR="00CA589E" w:rsidRDefault="00CA589E" w:rsidP="00CA589E">
      <w:r>
        <w:rPr>
          <w:highlight w:val="yellow"/>
        </w:rPr>
        <w:t>*I am not sure what year the American songs were written</w:t>
      </w:r>
      <w:r w:rsidRPr="00CA589E">
        <w:rPr>
          <w:highlight w:val="yellow"/>
        </w:rPr>
        <w:t>. Can you confirm if it was 19</w:t>
      </w:r>
      <w:r w:rsidRPr="00CA589E">
        <w:rPr>
          <w:highlight w:val="yellow"/>
          <w:vertAlign w:val="superscript"/>
        </w:rPr>
        <w:t>th</w:t>
      </w:r>
      <w:r w:rsidRPr="00CA589E">
        <w:rPr>
          <w:highlight w:val="yellow"/>
        </w:rPr>
        <w:t>-20</w:t>
      </w:r>
      <w:r w:rsidRPr="00CA589E">
        <w:rPr>
          <w:highlight w:val="yellow"/>
          <w:vertAlign w:val="superscript"/>
        </w:rPr>
        <w:t>th</w:t>
      </w:r>
      <w:r w:rsidRPr="00CA589E">
        <w:rPr>
          <w:highlight w:val="yellow"/>
        </w:rPr>
        <w:t xml:space="preserve"> or earlier? If not, can we get a more accurate approximation? If you can find it, can yo</w:t>
      </w:r>
      <w:r>
        <w:rPr>
          <w:highlight w:val="yellow"/>
        </w:rPr>
        <w:t>u replae the highlighted line in the introduction</w:t>
      </w:r>
      <w:r w:rsidRPr="00CA589E">
        <w:rPr>
          <w:highlight w:val="yellow"/>
        </w:rPr>
        <w:t>?</w:t>
      </w:r>
      <w:r>
        <w:t xml:space="preserve"> </w:t>
      </w:r>
    </w:p>
    <w:p w14:paraId="2085721A" w14:textId="3A7713DB" w:rsidR="00823645" w:rsidRDefault="00823645" w:rsidP="00823645"/>
    <w:p w14:paraId="1D04429C" w14:textId="1B533996" w:rsidR="00CA589E" w:rsidRDefault="00432088" w:rsidP="00CA589E">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CA589E">
        <w:rPr>
          <w:highlight w:val="yellow"/>
        </w:rPr>
        <w:t xml:space="preserve">during </w:t>
      </w:r>
      <w:r w:rsidR="00CA589E">
        <w:rPr>
          <w:highlight w:val="yellow"/>
        </w:rPr>
        <w:t xml:space="preserve">approximately </w:t>
      </w:r>
      <w:r w:rsidR="00FB2269" w:rsidRPr="00CA589E">
        <w:rPr>
          <w:highlight w:val="yellow"/>
        </w:rPr>
        <w:t>the late 19</w:t>
      </w:r>
      <w:r w:rsidR="00FB2269" w:rsidRPr="00CA589E">
        <w:rPr>
          <w:highlight w:val="yellow"/>
          <w:vertAlign w:val="superscript"/>
        </w:rPr>
        <w:t>th</w:t>
      </w:r>
      <w:r w:rsidR="00FB2269" w:rsidRPr="00CA589E">
        <w:rPr>
          <w:highlight w:val="yellow"/>
        </w:rPr>
        <w:t xml:space="preserve"> </w:t>
      </w:r>
      <w:r w:rsidR="009D0029" w:rsidRPr="00CA589E">
        <w:rPr>
          <w:highlight w:val="yellow"/>
        </w:rPr>
        <w:t>and early 20</w:t>
      </w:r>
      <w:r w:rsidR="009D0029" w:rsidRPr="00CA589E">
        <w:rPr>
          <w:highlight w:val="yellow"/>
          <w:vertAlign w:val="superscript"/>
        </w:rPr>
        <w:t>th</w:t>
      </w:r>
      <w:r w:rsidR="009D0029" w:rsidRPr="00CA589E">
        <w:rPr>
          <w:highlight w:val="yellow"/>
        </w:rPr>
        <w:t xml:space="preserve"> </w:t>
      </w:r>
      <w:r w:rsidR="00FB2269" w:rsidRPr="00CA589E">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07933FA" w14:textId="77777777" w:rsidR="00CA589E" w:rsidRDefault="00CA589E"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5261141F" w:rsidR="00432088" w:rsidRDefault="00432088" w:rsidP="00432088">
      <w:pPr>
        <w:pStyle w:val="ListParagraph"/>
        <w:numPr>
          <w:ilvl w:val="0"/>
          <w:numId w:val="2"/>
        </w:numPr>
      </w:pPr>
      <w:r>
        <w:t>Lilly, Evan, Maja</w:t>
      </w:r>
    </w:p>
    <w:p w14:paraId="714DDA7A" w14:textId="0DFE14B7" w:rsidR="0046294B" w:rsidRDefault="0046294B" w:rsidP="0046294B"/>
    <w:p w14:paraId="1423B421" w14:textId="621C60F6" w:rsidR="00CA589E" w:rsidRDefault="00CA589E" w:rsidP="00CA589E"/>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6D32EBF1"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In this project, we explore how nationalism is expressed through the colonial narrative of folk songs in the American West and </w:t>
      </w:r>
      <w:r w:rsidR="00846619" w:rsidRPr="00BF2A60">
        <w:rPr>
          <w:rFonts w:asciiTheme="minorHAnsi" w:hAnsiTheme="minorHAnsi" w:cstheme="minorHAnsi"/>
          <w:i/>
          <w:iCs/>
          <w:color w:val="0E101A"/>
        </w:rPr>
        <w:t>Reiterlieder</w:t>
      </w:r>
      <w:r w:rsidR="00846619">
        <w:rPr>
          <w:rFonts w:asciiTheme="minorHAnsi" w:hAnsiTheme="minorHAnsi" w:cstheme="minorHAnsi"/>
          <w:color w:val="0E101A"/>
        </w:rPr>
        <w:t xml:space="preserve"> in </w:t>
      </w:r>
      <w:r w:rsidRPr="00EA7499">
        <w:rPr>
          <w:rFonts w:asciiTheme="minorHAnsi" w:hAnsiTheme="minorHAnsi" w:cstheme="minorHAnsi"/>
          <w:color w:val="0E101A"/>
        </w:rPr>
        <w:t>German Southwest Afri</w:t>
      </w:r>
      <w:r w:rsidR="002332C1">
        <w:rPr>
          <w:rFonts w:asciiTheme="minorHAnsi" w:hAnsiTheme="minorHAnsi" w:cstheme="minorHAnsi"/>
          <w:color w:val="0E101A"/>
        </w:rPr>
        <w:t>c</w:t>
      </w:r>
      <w:r w:rsidRPr="00EA7499">
        <w:rPr>
          <w:rFonts w:asciiTheme="minorHAnsi" w:hAnsiTheme="minorHAnsi" w:cstheme="minorHAnsi"/>
          <w:color w:val="0E101A"/>
        </w:rPr>
        <w:t>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42DDE530" w14:textId="191A1962" w:rsidR="00377674"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w:t>
      </w:r>
      <w:r w:rsidR="002332C1">
        <w:rPr>
          <w:rFonts w:asciiTheme="minorHAnsi" w:hAnsiTheme="minorHAnsi" w:cstheme="minorHAnsi"/>
          <w:color w:val="0E101A"/>
        </w:rPr>
        <w:t>peoples</w:t>
      </w:r>
      <w:r w:rsidRPr="00EA7499">
        <w:rPr>
          <w:rFonts w:asciiTheme="minorHAnsi" w:hAnsiTheme="minorHAnsi" w:cstheme="minorHAnsi"/>
          <w:color w:val="0E101A"/>
        </w:rPr>
        <w:t xml:space="preserve">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w:t>
      </w:r>
      <w:r w:rsidR="00676A86">
        <w:rPr>
          <w:rFonts w:asciiTheme="minorHAnsi" w:hAnsiTheme="minorHAnsi" w:cstheme="minorHAnsi"/>
          <w:color w:val="0E101A"/>
        </w:rPr>
        <w:t>,</w:t>
      </w:r>
      <w:r w:rsidRPr="00EA7499">
        <w:rPr>
          <w:rFonts w:asciiTheme="minorHAnsi" w:hAnsiTheme="minorHAnsi" w:cstheme="minorHAnsi"/>
          <w:color w:val="0E101A"/>
        </w:rPr>
        <w:t xml:space="preserve"> and eventually acts of genocide?</w:t>
      </w:r>
      <w:r w:rsidR="00E66ECA">
        <w:rPr>
          <w:rFonts w:asciiTheme="minorHAnsi" w:hAnsiTheme="minorHAnsi" w:cstheme="minorHAnsi"/>
          <w:color w:val="0E101A"/>
        </w:rPr>
        <w:t xml:space="preserve"> Did romantic depictions of colonial expansion blind people to the severity of the crimes committed?</w:t>
      </w:r>
    </w:p>
    <w:p w14:paraId="179349BF" w14:textId="77777777" w:rsidR="00377674" w:rsidRDefault="00377674" w:rsidP="00EA7499">
      <w:pPr>
        <w:pStyle w:val="NormalWeb"/>
        <w:spacing w:before="0" w:beforeAutospacing="0" w:after="0" w:afterAutospacing="0"/>
        <w:rPr>
          <w:rFonts w:asciiTheme="minorHAnsi" w:hAnsiTheme="minorHAnsi" w:cstheme="minorHAnsi"/>
          <w:color w:val="0E101A"/>
        </w:rPr>
      </w:pPr>
    </w:p>
    <w:p w14:paraId="0B6531E8" w14:textId="7F9FE376"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r w:rsidR="00BF2A60">
        <w:rPr>
          <w:rFonts w:asciiTheme="minorHAnsi" w:hAnsiTheme="minorHAnsi" w:cstheme="minorHAnsi"/>
          <w:color w:val="0E101A"/>
        </w:rPr>
        <w:t xml:space="preserve"> Africa</w:t>
      </w:r>
      <w:r w:rsidRPr="00EA7499">
        <w:rPr>
          <w:rFonts w:asciiTheme="minorHAnsi" w:hAnsiTheme="minorHAnsi" w:cstheme="minorHAnsi"/>
          <w:color w:val="0E101A"/>
        </w:rPr>
        <w: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370BB642" w:rsidR="00EA7499" w:rsidRDefault="00EA7499" w:rsidP="00346D0B">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possession of land, resources, bodies, and labor based upon concepts of racial</w:t>
      </w:r>
      <w:r w:rsidR="00BF2A60">
        <w:rPr>
          <w:rFonts w:asciiTheme="minorHAnsi" w:hAnsiTheme="minorHAnsi" w:cstheme="minorHAnsi"/>
          <w:color w:val="0E101A"/>
        </w:rPr>
        <w:t>/</w:t>
      </w:r>
      <w:r w:rsidRPr="00EA7499">
        <w:rPr>
          <w:rFonts w:asciiTheme="minorHAnsi" w:hAnsiTheme="minorHAnsi" w:cstheme="minorHAnsi"/>
          <w:color w:val="0E101A"/>
        </w:rPr>
        <w:t xml:space="preserve">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w:t>
      </w:r>
      <w:r w:rsidR="00BB7915">
        <w:rPr>
          <w:rFonts w:asciiTheme="minorHAnsi" w:hAnsiTheme="minorHAnsi" w:cstheme="minorHAnsi"/>
          <w:color w:val="0E101A"/>
        </w:rPr>
        <w:t>whether</w:t>
      </w:r>
      <w:r w:rsidRPr="00EA7499">
        <w:rPr>
          <w:rFonts w:asciiTheme="minorHAnsi" w:hAnsiTheme="minorHAnsi" w:cstheme="minorHAnsi"/>
          <w:color w:val="0E101A"/>
        </w:rPr>
        <w:t xml:space="preserve">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r w:rsidR="00377674">
        <w:rPr>
          <w:rFonts w:asciiTheme="minorHAnsi" w:hAnsiTheme="minorHAnsi" w:cstheme="minorHAnsi"/>
          <w:color w:val="0E101A"/>
        </w:rPr>
        <w:t>categorize</w:t>
      </w:r>
      <w:r w:rsidR="00377674" w:rsidRPr="00EA7499">
        <w:rPr>
          <w:rFonts w:asciiTheme="minorHAnsi" w:hAnsiTheme="minorHAnsi" w:cstheme="minorHAnsi"/>
          <w:color w:val="0E101A"/>
        </w:rPr>
        <w:t>;</w:t>
      </w:r>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6263E265" w14:textId="07709B3D" w:rsidR="00432088" w:rsidRDefault="00432088" w:rsidP="00432088"/>
    <w:p w14:paraId="2CF12F7C" w14:textId="060026CA" w:rsidR="00432088" w:rsidRDefault="00432088" w:rsidP="00432088">
      <w:pPr>
        <w:rPr>
          <w:b/>
          <w:bCs/>
        </w:rPr>
      </w:pPr>
      <w:r w:rsidRPr="00147E69">
        <w:rPr>
          <w:b/>
          <w:bCs/>
        </w:rPr>
        <w:t>Historical Context:</w:t>
      </w:r>
      <w:r w:rsidRPr="004C57A8">
        <w:rPr>
          <w:b/>
          <w:bCs/>
        </w:rPr>
        <w:t xml:space="preserve"> </w:t>
      </w:r>
    </w:p>
    <w:p w14:paraId="154EF531" w14:textId="0522B060" w:rsidR="002332C1" w:rsidRDefault="002332C1" w:rsidP="00432088">
      <w:pPr>
        <w:rPr>
          <w:b/>
          <w:bCs/>
        </w:rPr>
      </w:pPr>
    </w:p>
    <w:p w14:paraId="1ED4FDA9" w14:textId="62325855" w:rsidR="002332C1" w:rsidRDefault="002332C1" w:rsidP="00432088">
      <w:pPr>
        <w:rPr>
          <w:b/>
          <w:bCs/>
        </w:rPr>
      </w:pPr>
      <w:r>
        <w:rPr>
          <w:b/>
          <w:bCs/>
        </w:rPr>
        <w:t>America</w:t>
      </w:r>
      <w:r w:rsidR="000E0141">
        <w:rPr>
          <w:b/>
          <w:bCs/>
        </w:rPr>
        <w:t>n Colonial history</w:t>
      </w:r>
    </w:p>
    <w:p w14:paraId="100521D7" w14:textId="71FCC4B9" w:rsidR="00346D0B" w:rsidRDefault="00615E2D" w:rsidP="00432088">
      <w:r>
        <w:t>North America was</w:t>
      </w:r>
      <w:r w:rsidR="005E7AA5">
        <w:t xml:space="preserve"> first colonized in </w:t>
      </w:r>
      <w:r>
        <w:t>1607, with the founding of Jamestown</w:t>
      </w:r>
      <w:r w:rsidR="005E7AA5">
        <w:t xml:space="preserve">. What followed was centuries of </w:t>
      </w:r>
      <w:r>
        <w:t xml:space="preserve">conflict between indigenous peoples and European colonizers which led to massive population losses and </w:t>
      </w:r>
      <w:r w:rsidR="00302DB4">
        <w:t xml:space="preserve">the </w:t>
      </w:r>
      <w:r>
        <w:t xml:space="preserve">Genocide of </w:t>
      </w:r>
      <w:r w:rsidR="00684C19">
        <w:t>many</w:t>
      </w:r>
      <w:r>
        <w:t xml:space="preserve"> </w:t>
      </w:r>
      <w:r w:rsidR="00684C19">
        <w:t>Native American tribes</w:t>
      </w:r>
      <w:r>
        <w:t xml:space="preserve">. Though colonization was </w:t>
      </w:r>
      <w:r w:rsidR="00684C19">
        <w:t>a</w:t>
      </w:r>
      <w:r>
        <w:t xml:space="preserve">round for a long time, the move of American settler’s westward that has been glamorized in movies, plays, and music started after the revolutionary war when the US was founded in 1776. </w:t>
      </w:r>
      <w:r w:rsidR="005E7AA5">
        <w:t>The legacy of Westward expansion fueled by the belief in manifest destiny</w:t>
      </w:r>
      <w:r w:rsidR="00684C19">
        <w:t xml:space="preserve"> </w:t>
      </w:r>
      <w:r w:rsidR="005E7AA5">
        <w:t>lasted from</w:t>
      </w:r>
      <w:r>
        <w:t xml:space="preserve"> 1803 when</w:t>
      </w:r>
      <w:r w:rsidR="005E7AA5">
        <w:t xml:space="preserve"> the Louisiana Purchase </w:t>
      </w:r>
      <w:r>
        <w:t xml:space="preserve">was signed </w:t>
      </w:r>
      <w:r w:rsidR="005E7AA5">
        <w:t xml:space="preserve">until </w:t>
      </w:r>
      <w:r>
        <w:t>the early 1900’s.</w:t>
      </w:r>
      <w:r w:rsidR="00147E69">
        <w:rPr>
          <w:rStyle w:val="FootnoteReference"/>
        </w:rPr>
        <w:footnoteReference w:id="1"/>
      </w:r>
      <w:r>
        <w:t xml:space="preserve"> </w:t>
      </w:r>
    </w:p>
    <w:p w14:paraId="21899000" w14:textId="77777777" w:rsidR="00346D0B" w:rsidRDefault="00346D0B" w:rsidP="00432088"/>
    <w:p w14:paraId="794FF483" w14:textId="491B5412" w:rsidR="00174BC7" w:rsidRPr="00684C19" w:rsidRDefault="00615E2D" w:rsidP="00432088">
      <w:r>
        <w:t xml:space="preserve">Many of the settlers who moved out west in search of economic opportunity and land, believed in American Exceptionalism. This was the belief that the west was filled with empty, unused land, and that </w:t>
      </w:r>
      <w:r w:rsidR="00346D0B">
        <w:t>saw the</w:t>
      </w:r>
      <w:r>
        <w:t xml:space="preserve"> native peoples </w:t>
      </w:r>
      <w:r w:rsidR="00346D0B">
        <w:t>as</w:t>
      </w:r>
      <w:r>
        <w:t xml:space="preserve"> “savages” who didn’t know </w:t>
      </w:r>
      <w:r w:rsidR="00346D0B">
        <w:t>how to properly use it.</w:t>
      </w:r>
      <w:r>
        <w:rPr>
          <w:rStyle w:val="FootnoteReference"/>
        </w:rPr>
        <w:footnoteReference w:id="2"/>
      </w:r>
      <w:r>
        <w:t xml:space="preserve"> The reality was of course much different, </w:t>
      </w:r>
      <w:r w:rsidR="00684C19">
        <w:t>and the idea that they had a rightful claim to the land had detrimental effects on the native peoples. Despite this</w:t>
      </w:r>
      <w:r w:rsidR="00346D0B">
        <w:t xml:space="preserve"> brutality</w:t>
      </w:r>
      <w:r w:rsidR="00684C19">
        <w:t xml:space="preserve">, the idea of the American west and life on the frontier became idealized. </w:t>
      </w:r>
      <w:r w:rsidR="00174BC7">
        <w:rPr>
          <w:color w:val="000000"/>
        </w:rPr>
        <w:t xml:space="preserve">In his article </w:t>
      </w:r>
      <w:r w:rsidR="00684C19">
        <w:rPr>
          <w:color w:val="000000"/>
        </w:rPr>
        <w:t xml:space="preserve">titled </w:t>
      </w:r>
      <w:r w:rsidR="00684C19" w:rsidRPr="00684C19">
        <w:rPr>
          <w:i/>
          <w:iCs/>
          <w:color w:val="000000"/>
        </w:rPr>
        <w:t>Capturing the American West:</w:t>
      </w:r>
      <w:r w:rsidR="00174BC7" w:rsidRPr="00684C19">
        <w:rPr>
          <w:i/>
          <w:iCs/>
          <w:color w:val="000000"/>
        </w:rPr>
        <w:t xml:space="preserve"> The Cowboy Song and the Archive</w:t>
      </w:r>
      <w:r w:rsidR="00174BC7">
        <w:t>, Michael</w:t>
      </w:r>
      <w:r w:rsidR="00174BC7">
        <w:rPr>
          <w:color w:val="000000"/>
        </w:rPr>
        <w:t xml:space="preserve"> </w:t>
      </w:r>
      <w:r w:rsidR="00174BC7">
        <w:t>Slowik</w:t>
      </w:r>
      <w:r w:rsidR="00174BC7">
        <w:rPr>
          <w:color w:val="000000"/>
        </w:rPr>
        <w:t xml:space="preserve"> writes: “During the late nineteenth and early twentieth century, essays, frontier plays, and novels all helped shape the belief that the cowboy was a key representation of "true" American character.”</w:t>
      </w:r>
      <w:r w:rsidR="00174BC7">
        <w:rPr>
          <w:rStyle w:val="FootnoteReference"/>
          <w:color w:val="000000"/>
        </w:rPr>
        <w:footnoteReference w:id="3"/>
      </w:r>
    </w:p>
    <w:p w14:paraId="3D8F04FB" w14:textId="77777777" w:rsidR="002332C1" w:rsidRDefault="002332C1" w:rsidP="00432088">
      <w:pPr>
        <w:rPr>
          <w:b/>
          <w:bCs/>
        </w:rPr>
      </w:pPr>
    </w:p>
    <w:p w14:paraId="62536B11" w14:textId="76E05E5D" w:rsidR="001E41CB" w:rsidRDefault="002332C1" w:rsidP="00432088">
      <w:pPr>
        <w:rPr>
          <w:b/>
          <w:bCs/>
        </w:rPr>
      </w:pPr>
      <w:r>
        <w:rPr>
          <w:b/>
          <w:bCs/>
        </w:rPr>
        <w:t>German</w:t>
      </w:r>
      <w:r w:rsidR="000E0141">
        <w:rPr>
          <w:b/>
          <w:bCs/>
        </w:rPr>
        <w:t xml:space="preserve"> Fantasy</w:t>
      </w:r>
    </w:p>
    <w:p w14:paraId="509356E2" w14:textId="728875AB" w:rsidR="00174BC7" w:rsidRDefault="00684C19" w:rsidP="00432088">
      <w:r>
        <w:t>The popularity of the image of the Cowboy was not contained only to the United States.</w:t>
      </w:r>
      <w:r w:rsidR="00147E69">
        <w:t xml:space="preserve"> In fact, </w:t>
      </w:r>
      <w:r w:rsidR="00907C83">
        <w:t xml:space="preserve">this image became wildly popular in the entertainment industry in Germany. </w:t>
      </w:r>
      <w:r w:rsidR="00A10EF6" w:rsidRPr="00012E24">
        <w:t>Karl May</w:t>
      </w:r>
      <w:r w:rsidR="00174BC7">
        <w:t xml:space="preserve"> was a popular author whose books and plays depicting the American frontier, which he himself had never visited, sparked a cultural phenomenon in Germany still seen today</w:t>
      </w:r>
      <w:r w:rsidR="00346D0B">
        <w:rPr>
          <w:rStyle w:val="FootnoteReference"/>
        </w:rPr>
        <w:footnoteReference w:id="4"/>
      </w:r>
      <w:r w:rsidR="00174BC7">
        <w:t xml:space="preserve">. </w:t>
      </w:r>
      <w:r w:rsidR="00346D0B">
        <w:t xml:space="preserve">Among others, May’s depictions of the American west created </w:t>
      </w:r>
      <w:r w:rsidR="00907C83">
        <w:t xml:space="preserve">collective </w:t>
      </w:r>
      <w:r w:rsidR="00346D0B">
        <w:t>German fantasies about colonization</w:t>
      </w:r>
      <w:r w:rsidR="00907C83">
        <w:t xml:space="preserve"> and imperial expansion</w:t>
      </w:r>
      <w:r w:rsidR="00346D0B">
        <w:rPr>
          <w:rStyle w:val="FootnoteReference"/>
        </w:rPr>
        <w:footnoteReference w:id="5"/>
      </w:r>
      <w:r w:rsidR="00346D0B">
        <w:t xml:space="preserve">. </w:t>
      </w:r>
    </w:p>
    <w:p w14:paraId="2E88CF7E" w14:textId="6E377661" w:rsidR="00A10EF6" w:rsidRDefault="00A10EF6" w:rsidP="00432088"/>
    <w:p w14:paraId="10DEC336" w14:textId="62294DA4" w:rsidR="000E0141" w:rsidRDefault="000E0141" w:rsidP="000E0141">
      <w:r>
        <w:t xml:space="preserve">There is evidence, not only that German fascination with the American West was a factor in popular support for overseas expansion, but also that it influenced the way that Colonial Soldiers treated the Herero and Nama </w:t>
      </w:r>
      <w:r w:rsidR="00302DB4">
        <w:t xml:space="preserve">ethnic </w:t>
      </w:r>
      <w:r>
        <w:t xml:space="preserve">groups during a war from 1904-1907, which escalated into what is now </w:t>
      </w:r>
      <w:r w:rsidR="00302DB4">
        <w:t>considered</w:t>
      </w:r>
      <w:r>
        <w:t xml:space="preserve"> the first genocide of the 20</w:t>
      </w:r>
      <w:r w:rsidRPr="000E0141">
        <w:rPr>
          <w:vertAlign w:val="superscript"/>
        </w:rPr>
        <w:t>th</w:t>
      </w:r>
      <w:r>
        <w:t xml:space="preserve"> century</w:t>
      </w:r>
      <w:r w:rsidR="00C22BF1">
        <w:t>.</w:t>
      </w:r>
      <w:r w:rsidR="007032C7">
        <w:rPr>
          <w:rStyle w:val="FootnoteReference"/>
        </w:rPr>
        <w:footnoteReference w:id="6"/>
      </w:r>
      <w:r>
        <w:t xml:space="preserve"> The German colonial government looked to and actively researched American policies of extermination of Native Americans in order to</w:t>
      </w:r>
      <w:r w:rsidR="00302DB4">
        <w:t xml:space="preserve"> use</w:t>
      </w:r>
      <w:r>
        <w:t xml:space="preserve"> these policies in their own campaign of Genocide. </w:t>
      </w:r>
      <w:r w:rsidR="00AF31F0">
        <w:t>This included the relocation of Herero</w:t>
      </w:r>
      <w:r w:rsidR="00302DB4">
        <w:t>,</w:t>
      </w:r>
      <w:r w:rsidR="00AF31F0">
        <w:t xml:space="preserve"> Nama, and other ethnic groups onto reservations. Th</w:t>
      </w:r>
      <w:r w:rsidR="00E44FD7">
        <w:t>ese groups</w:t>
      </w:r>
      <w:r w:rsidR="00AF31F0">
        <w:t xml:space="preserve"> were forced to give up their traditional cultural practices and convert to Christianity.</w:t>
      </w:r>
      <w:r w:rsidR="00AF31F0">
        <w:rPr>
          <w:rStyle w:val="FootnoteReference"/>
        </w:rPr>
        <w:footnoteReference w:id="7"/>
      </w:r>
      <w:r w:rsidR="00AF31F0">
        <w:t xml:space="preserve"> Cultural artifacts and even human remains were stolen and shipped to European and American research institutions and museums. </w:t>
      </w:r>
      <w:r w:rsidR="00E44FD7">
        <w:t>Survivors of the</w:t>
      </w:r>
      <w:r w:rsidR="00AF31F0">
        <w:t xml:space="preserve"> genocide</w:t>
      </w:r>
      <w:r w:rsidR="00E44FD7">
        <w:t xml:space="preserve"> </w:t>
      </w:r>
      <w:r w:rsidR="00AF31F0">
        <w:t>were rounded up and sent to forced labor camps where they were subject to medical experimentation.</w:t>
      </w:r>
      <w:r w:rsidR="00AF31F0">
        <w:rPr>
          <w:rStyle w:val="FootnoteReference"/>
        </w:rPr>
        <w:footnoteReference w:id="8"/>
      </w:r>
      <w:r w:rsidR="00AF31F0">
        <w:t xml:space="preserve"> </w:t>
      </w:r>
      <w:r>
        <w:t>These unthinkable policies were tolerated by the German people because the</w:t>
      </w:r>
      <w:r w:rsidR="00AF31F0">
        <w:t xml:space="preserve"> same practices in the</w:t>
      </w:r>
      <w:r>
        <w:t xml:space="preserve"> American West w</w:t>
      </w:r>
      <w:r w:rsidR="00AF31F0">
        <w:t xml:space="preserve">ere </w:t>
      </w:r>
      <w:r>
        <w:t>so idealized.</w:t>
      </w:r>
      <w:r>
        <w:rPr>
          <w:rStyle w:val="FootnoteReference"/>
        </w:rPr>
        <w:footnoteReference w:id="9"/>
      </w:r>
      <w:r>
        <w:t xml:space="preserve"> </w:t>
      </w:r>
    </w:p>
    <w:p w14:paraId="00E64029" w14:textId="77777777" w:rsidR="001E41CB" w:rsidRPr="001E41CB" w:rsidRDefault="001E41CB" w:rsidP="00432088"/>
    <w:p w14:paraId="315C1781" w14:textId="77777777" w:rsidR="00AF31F0" w:rsidRDefault="00AF31F0" w:rsidP="00432088">
      <w:pPr>
        <w:rPr>
          <w:b/>
          <w:bCs/>
        </w:rPr>
      </w:pPr>
    </w:p>
    <w:p w14:paraId="75E797EB" w14:textId="3CE17BED" w:rsidR="002332C1" w:rsidRDefault="000E0141" w:rsidP="00432088">
      <w:pPr>
        <w:rPr>
          <w:b/>
          <w:bCs/>
        </w:rPr>
      </w:pPr>
      <w:r>
        <w:rPr>
          <w:b/>
          <w:bCs/>
        </w:rPr>
        <w:t>German Colonial History</w:t>
      </w:r>
    </w:p>
    <w:p w14:paraId="5C75E809" w14:textId="080C29BB" w:rsidR="00174BC7" w:rsidRDefault="00174BC7" w:rsidP="00432088">
      <w:r>
        <w:t>But why was this colonial fantasy so potent in Germany? It is important to consider that Germany was a new nation, formed only in</w:t>
      </w:r>
      <w:r w:rsidR="00A10EF6">
        <w:t xml:space="preserve"> 1871, a century after the United States</w:t>
      </w:r>
      <w:r>
        <w:t xml:space="preserve">. Colonization was an attractive process that could at once help form a sense of national </w:t>
      </w:r>
      <w:r w:rsidR="00A10EF6">
        <w:t xml:space="preserve">pride </w:t>
      </w:r>
      <w:r>
        <w:t xml:space="preserve">and ensure that Germany could compete with other European imperial nations. Germany claimed the territory of German South West Africa, along with other </w:t>
      </w:r>
      <w:r w:rsidR="00777421">
        <w:t xml:space="preserve">land parcels in the Berlin conference of 1884, seen as the beginning of the “scramble for Africa”, where remaining territory on the African continent </w:t>
      </w:r>
      <w:r w:rsidR="00777421">
        <w:lastRenderedPageBreak/>
        <w:t>was partitioned among European Imperial powers</w:t>
      </w:r>
      <w:r w:rsidR="000E0141">
        <w:rPr>
          <w:rStyle w:val="FootnoteReference"/>
        </w:rPr>
        <w:footnoteReference w:id="10"/>
      </w:r>
      <w:r w:rsidR="00777421">
        <w:t xml:space="preserve">. </w:t>
      </w:r>
      <w:r w:rsidR="00907C83">
        <w:t xml:space="preserve">The expansion and appropriation of land was seen as a way to strengthen the German nation and identity. </w:t>
      </w:r>
    </w:p>
    <w:p w14:paraId="55A99BC9" w14:textId="66CA5857" w:rsidR="00AF31F0" w:rsidRDefault="00AF31F0" w:rsidP="00432088"/>
    <w:p w14:paraId="503C22BF" w14:textId="2D07BA8D" w:rsidR="00E66ECA" w:rsidRDefault="00AF31F0" w:rsidP="00E66ECA">
      <w:r>
        <w:t>Another method used to encourage German national</w:t>
      </w:r>
      <w:r w:rsidR="005B5518">
        <w:t xml:space="preserve"> identity</w:t>
      </w:r>
      <w:r>
        <w:t xml:space="preserve"> was </w:t>
      </w:r>
      <w:r w:rsidR="007F5515">
        <w:t xml:space="preserve">evoking </w:t>
      </w:r>
      <w:r w:rsidR="000F056C">
        <w:t xml:space="preserve">the romantic depictions </w:t>
      </w:r>
      <w:r w:rsidR="007F5515">
        <w:t>courtly culture and heroic deeds</w:t>
      </w:r>
      <w:r>
        <w:t xml:space="preserve"> of medieval Germany. </w:t>
      </w:r>
      <w:r w:rsidR="00846619">
        <w:t>For exampl</w:t>
      </w:r>
      <w:r w:rsidR="005B5518">
        <w:t>e</w:t>
      </w:r>
      <w:r w:rsidR="007F5515">
        <w:t>,</w:t>
      </w:r>
      <w:r w:rsidR="00846619">
        <w:t xml:space="preserve"> Richard </w:t>
      </w:r>
      <w:r w:rsidR="00DC7CC8">
        <w:t>Wagner’s</w:t>
      </w:r>
      <w:r w:rsidR="00846619">
        <w:t xml:space="preserve"> famous four-part opera </w:t>
      </w:r>
      <w:r w:rsidR="000F056C" w:rsidRPr="000F056C">
        <w:rPr>
          <w:i/>
          <w:iCs/>
          <w:color w:val="000000" w:themeColor="text1"/>
        </w:rPr>
        <w:t>Der Ring des Nibelungen</w:t>
      </w:r>
      <w:r w:rsidR="000F056C">
        <w:rPr>
          <w:i/>
          <w:iCs/>
          <w:color w:val="FF0000"/>
        </w:rPr>
        <w:t xml:space="preserve"> </w:t>
      </w:r>
      <w:r w:rsidR="00846619">
        <w:t xml:space="preserve">was based on </w:t>
      </w:r>
      <w:r w:rsidR="007F5515">
        <w:t>ancient</w:t>
      </w:r>
      <w:r w:rsidR="00846619">
        <w:t xml:space="preserve"> German mythology and written in 1876.</w:t>
      </w:r>
      <w:r w:rsidR="00846619">
        <w:rPr>
          <w:rStyle w:val="FootnoteReference"/>
        </w:rPr>
        <w:footnoteReference w:id="11"/>
      </w:r>
      <w:r w:rsidR="00846619">
        <w:t xml:space="preserve"> Ballads</w:t>
      </w:r>
      <w:r w:rsidR="000F056C">
        <w:t xml:space="preserve"> </w:t>
      </w:r>
      <w:r w:rsidR="00846619">
        <w:t>resurfaced as popular forms of writing</w:t>
      </w:r>
      <w:r w:rsidR="000F056C">
        <w:t xml:space="preserve"> around this time as well</w:t>
      </w:r>
      <w:r w:rsidR="0067201E">
        <w:rPr>
          <w:rStyle w:val="FootnoteReference"/>
        </w:rPr>
        <w:footnoteReference w:id="12"/>
      </w:r>
      <w:r w:rsidR="00846619">
        <w:t xml:space="preserve">. </w:t>
      </w:r>
      <w:r w:rsidR="000F056C">
        <w:t>These stories, which were sung in verse form set to music</w:t>
      </w:r>
      <w:r w:rsidR="00846619">
        <w:t xml:space="preserve"> </w:t>
      </w:r>
      <w:r w:rsidR="000F056C">
        <w:t xml:space="preserve">had </w:t>
      </w:r>
      <w:r w:rsidR="00846619">
        <w:t>been popular</w:t>
      </w:r>
      <w:r w:rsidR="00DC7CC8">
        <w:t xml:space="preserve"> in</w:t>
      </w:r>
      <w:r w:rsidR="00846619">
        <w:t xml:space="preserve"> </w:t>
      </w:r>
      <w:r w:rsidR="00DC7CC8">
        <w:t>medieval Germany</w:t>
      </w:r>
      <w:r w:rsidR="00846619">
        <w:t xml:space="preserve">, and often drew </w:t>
      </w:r>
      <w:r w:rsidR="007F5515">
        <w:t>upon</w:t>
      </w:r>
      <w:r w:rsidR="00846619">
        <w:t xml:space="preserve"> themes of hero knights </w:t>
      </w:r>
      <w:r w:rsidR="007F5515">
        <w:t xml:space="preserve">and courtly love </w:t>
      </w:r>
      <w:r w:rsidR="00846619">
        <w:t xml:space="preserve">that would inspire </w:t>
      </w:r>
      <w:r w:rsidR="007F5515">
        <w:t>a</w:t>
      </w:r>
      <w:r w:rsidR="00846619">
        <w:t xml:space="preserve"> sense of German national pride</w:t>
      </w:r>
      <w:r w:rsidR="00DC7CC8">
        <w:t xml:space="preserve"> again in the 19</w:t>
      </w:r>
      <w:r w:rsidR="00DC7CC8" w:rsidRPr="00DC7CC8">
        <w:rPr>
          <w:vertAlign w:val="superscript"/>
        </w:rPr>
        <w:t>th</w:t>
      </w:r>
      <w:r w:rsidR="00DC7CC8">
        <w:t xml:space="preserve"> century</w:t>
      </w:r>
      <w:r w:rsidR="00846619">
        <w:t xml:space="preserve">. The Folk songs and German Reiterlieder we are analyzing through this project </w:t>
      </w:r>
      <w:r w:rsidR="000F056C">
        <w:t xml:space="preserve">are </w:t>
      </w:r>
      <w:r w:rsidR="007F5515">
        <w:t>reminiscent</w:t>
      </w:r>
      <w:r w:rsidR="00846619">
        <w:t xml:space="preserve"> o</w:t>
      </w:r>
      <w:r w:rsidR="007F5515">
        <w:t>f</w:t>
      </w:r>
      <w:r w:rsidR="00846619">
        <w:t xml:space="preserve"> very similar themes</w:t>
      </w:r>
      <w:r w:rsidR="007F5515">
        <w:t xml:space="preserve"> and structures</w:t>
      </w:r>
      <w:r w:rsidR="00846619">
        <w:t>. They are songs that have a</w:t>
      </w:r>
      <w:r w:rsidR="0067201E">
        <w:t xml:space="preserve"> story-like</w:t>
      </w:r>
      <w:r w:rsidR="00846619">
        <w:t xml:space="preserve"> structured narrative</w:t>
      </w:r>
      <w:r w:rsidR="000F056C">
        <w:t xml:space="preserve"> that romanticizes the landscape and the bravery of soldiers and settlers</w:t>
      </w:r>
      <w:r w:rsidR="0067201E">
        <w:t>. They are</w:t>
      </w:r>
      <w:r w:rsidR="00DC7CC8">
        <w:t xml:space="preserve"> written with the purpose of </w:t>
      </w:r>
      <w:r w:rsidR="000F056C">
        <w:t xml:space="preserve">reinforcing </w:t>
      </w:r>
      <w:r w:rsidR="007F5515">
        <w:t xml:space="preserve">new </w:t>
      </w:r>
      <w:r w:rsidR="00DC7CC8">
        <w:t xml:space="preserve">myths that </w:t>
      </w:r>
      <w:r w:rsidR="000F056C">
        <w:t xml:space="preserve">glorified </w:t>
      </w:r>
      <w:r w:rsidR="00DC7CC8">
        <w:t xml:space="preserve">nationalistic ideas of exploration and exploitation under colonialism. </w:t>
      </w:r>
    </w:p>
    <w:p w14:paraId="6164C326" w14:textId="651810D2" w:rsidR="0046294B" w:rsidRDefault="0046294B" w:rsidP="00432088">
      <w:pPr>
        <w:rPr>
          <w:b/>
          <w:bCs/>
        </w:rPr>
      </w:pPr>
    </w:p>
    <w:p w14:paraId="128B7662" w14:textId="71503023" w:rsidR="002332C1" w:rsidRDefault="002332C1" w:rsidP="00432088">
      <w:pPr>
        <w:rPr>
          <w:b/>
          <w:bCs/>
        </w:rPr>
      </w:pPr>
      <w:r>
        <w:rPr>
          <w:b/>
          <w:bCs/>
        </w:rPr>
        <w:t>Understanding nationalism in American continuous context vs German oversees empire context, and the process of expansion etc</w:t>
      </w:r>
      <w:r w:rsidR="00F8224D">
        <w:rPr>
          <w:b/>
          <w:bCs/>
        </w:rPr>
        <w:t>.</w:t>
      </w:r>
    </w:p>
    <w:p w14:paraId="2C53AB8C" w14:textId="1E29391E" w:rsidR="00777421" w:rsidRPr="00777421" w:rsidRDefault="00777421" w:rsidP="00432088">
      <w:r>
        <w:t xml:space="preserve">These two very different histories, although one was clearly influenced by the other, point to very important differences in forms of nationalism and colonial rule. It is important to consider even the geography of the areas. The Americans were expanding westward in order to establish a continuous empire. Ideas of </w:t>
      </w:r>
      <w:r w:rsidR="00907C83">
        <w:t xml:space="preserve">exceptionalism </w:t>
      </w:r>
      <w:r>
        <w:t xml:space="preserve">and the American dream underline that the people in this movement had strong senses of belonging and subscribed thoroughly to the American National narrative. In fact, they embodied it. The German empire, however, was overseas. Germany and German </w:t>
      </w:r>
      <w:r w:rsidR="00302DB4">
        <w:t>S</w:t>
      </w:r>
      <w:r>
        <w:t>outhwest Africa were separate</w:t>
      </w:r>
      <w:r w:rsidR="00DC7CC8">
        <w:t>d</w:t>
      </w:r>
      <w:r>
        <w:t xml:space="preserve"> by land and water, and this changed how people perceived the land. German colonization of the area was also pushed forward by soldiers, who were fighting in the name of the German government, rather than settlers fighting for their own claims to land. </w:t>
      </w:r>
    </w:p>
    <w:p w14:paraId="2052AEF7" w14:textId="77777777" w:rsidR="00432088" w:rsidRDefault="00432088" w:rsidP="00432088">
      <w:pPr>
        <w:pStyle w:val="ListParagraph"/>
      </w:pPr>
    </w:p>
    <w:p w14:paraId="688C8FBB" w14:textId="77777777" w:rsidR="00E44FD7" w:rsidRDefault="00E44FD7" w:rsidP="00174BC7">
      <w:pPr>
        <w:rPr>
          <w:b/>
          <w:bCs/>
        </w:rPr>
      </w:pPr>
    </w:p>
    <w:p w14:paraId="1AC43CCC" w14:textId="77777777" w:rsidR="00E44FD7" w:rsidRDefault="00E44FD7" w:rsidP="00174BC7">
      <w:pPr>
        <w:rPr>
          <w:b/>
          <w:bCs/>
        </w:rPr>
      </w:pPr>
    </w:p>
    <w:p w14:paraId="10F69C75" w14:textId="77777777" w:rsidR="00E44FD7" w:rsidRDefault="00E44FD7" w:rsidP="00174BC7">
      <w:pPr>
        <w:rPr>
          <w:b/>
          <w:bCs/>
        </w:rPr>
      </w:pPr>
    </w:p>
    <w:p w14:paraId="398B508B" w14:textId="77777777" w:rsidR="00E44FD7" w:rsidRDefault="00E44FD7" w:rsidP="00174BC7">
      <w:pPr>
        <w:rPr>
          <w:b/>
          <w:bCs/>
        </w:rPr>
      </w:pPr>
    </w:p>
    <w:p w14:paraId="30116A1A" w14:textId="77777777" w:rsidR="00E44FD7" w:rsidRDefault="00E44FD7" w:rsidP="00174BC7">
      <w:pPr>
        <w:rPr>
          <w:b/>
          <w:bCs/>
        </w:rPr>
      </w:pPr>
    </w:p>
    <w:p w14:paraId="1B97DDA4" w14:textId="77777777" w:rsidR="00E44FD7" w:rsidRDefault="00E44FD7" w:rsidP="00174BC7">
      <w:pPr>
        <w:rPr>
          <w:b/>
          <w:bCs/>
        </w:rPr>
      </w:pPr>
    </w:p>
    <w:p w14:paraId="2F8E4C76" w14:textId="77777777" w:rsidR="00E44FD7" w:rsidRDefault="00E44FD7" w:rsidP="00174BC7">
      <w:pPr>
        <w:rPr>
          <w:b/>
          <w:bCs/>
        </w:rPr>
      </w:pPr>
    </w:p>
    <w:p w14:paraId="13932478" w14:textId="77777777" w:rsidR="00E44FD7" w:rsidRDefault="00E44FD7" w:rsidP="00174BC7">
      <w:pPr>
        <w:rPr>
          <w:b/>
          <w:bCs/>
        </w:rPr>
      </w:pPr>
    </w:p>
    <w:p w14:paraId="65B22345" w14:textId="011812BA" w:rsidR="00174BC7" w:rsidRPr="000E0141" w:rsidRDefault="00174BC7" w:rsidP="00174BC7">
      <w:pPr>
        <w:rPr>
          <w:b/>
          <w:bCs/>
        </w:rPr>
      </w:pPr>
      <w:r w:rsidRPr="000E0141">
        <w:rPr>
          <w:b/>
          <w:bCs/>
        </w:rPr>
        <w:lastRenderedPageBreak/>
        <w:t xml:space="preserve">Sources: </w:t>
      </w:r>
    </w:p>
    <w:p w14:paraId="3C430DEB" w14:textId="37C245D9" w:rsidR="00174BC7" w:rsidRDefault="000E0141" w:rsidP="00174BC7">
      <w:r>
        <w:rPr>
          <w:highlight w:val="yellow"/>
        </w:rPr>
        <w:t>*</w:t>
      </w:r>
      <w:r w:rsidR="00174BC7" w:rsidRPr="00174BC7">
        <w:rPr>
          <w:highlight w:val="yellow"/>
        </w:rPr>
        <w:t>CAN YOU ADD A CITATION FOR THE AMERICAN SONGS WE FOUND? I figured we could just use the end of this page as a general works cited thing</w:t>
      </w:r>
    </w:p>
    <w:p w14:paraId="70D8EAD9" w14:textId="309537D4" w:rsidR="00AF31F0" w:rsidRDefault="00AF31F0" w:rsidP="00174BC7">
      <w:pPr>
        <w:rPr>
          <w:rFonts w:cstheme="minorHAnsi"/>
        </w:rPr>
      </w:pPr>
    </w:p>
    <w:p w14:paraId="27C149B5" w14:textId="77777777" w:rsidR="00B06B25" w:rsidRDefault="00B06B25" w:rsidP="00B06B25">
      <w:pPr>
        <w:pStyle w:val="NormalWeb"/>
        <w:rPr>
          <w:color w:val="000000"/>
        </w:rPr>
      </w:pPr>
      <w:r>
        <w:rPr>
          <w:color w:val="000000"/>
        </w:rPr>
        <w:t xml:space="preserve">BoseFritz, and Bruno Nettl. “German Folk Ballads.” </w:t>
      </w:r>
      <w:r>
        <w:rPr>
          <w:i/>
          <w:iCs/>
          <w:color w:val="000000"/>
        </w:rPr>
        <w:t>Midwest Folklore</w:t>
      </w:r>
      <w:r>
        <w:rPr>
          <w:color w:val="000000"/>
        </w:rPr>
        <w:t xml:space="preserve"> 7, no. 4 (1957): 207–13.</w:t>
      </w:r>
    </w:p>
    <w:p w14:paraId="678B97E8" w14:textId="77777777" w:rsidR="00B06B25" w:rsidRDefault="00B06B25" w:rsidP="00174BC7">
      <w:pPr>
        <w:rPr>
          <w:rFonts w:cstheme="minorHAnsi"/>
        </w:rPr>
      </w:pPr>
    </w:p>
    <w:p w14:paraId="3180DD9B" w14:textId="1655B3A1" w:rsidR="000E0141" w:rsidRDefault="00AF31F0" w:rsidP="00174BC7">
      <w:pPr>
        <w:rPr>
          <w:rFonts w:cstheme="minorHAnsi"/>
        </w:rPr>
      </w:pPr>
      <w:r w:rsidRPr="00AF31F0">
        <w:rPr>
          <w:rFonts w:asciiTheme="minorHAnsi" w:hAnsiTheme="minorHAnsi" w:cstheme="minorHAnsi"/>
        </w:rPr>
        <w:t>Breure, J., 1999, 'Ancestors: A challenge to the Oruuano Church of Namibia', MTh dissertation, Dept. of Missiology, University of South Africa</w:t>
      </w:r>
    </w:p>
    <w:p w14:paraId="0CFB0E06" w14:textId="77777777" w:rsidR="00AF31F0" w:rsidRDefault="00AF31F0" w:rsidP="00174BC7"/>
    <w:p w14:paraId="6290184F" w14:textId="5744206B" w:rsidR="00174BC7" w:rsidRDefault="00174BC7" w:rsidP="00174BC7">
      <w:pPr>
        <w:rPr>
          <w:lang w:val="de-DE"/>
        </w:rPr>
      </w:pPr>
      <w:r w:rsidRPr="00174BC7">
        <w:rPr>
          <w:lang w:val="de-DE"/>
        </w:rPr>
        <w:t xml:space="preserve">Dincklage-Campe, Friedrich Freiherr von. </w:t>
      </w:r>
      <w:r w:rsidRPr="00174BC7">
        <w:rPr>
          <w:i/>
          <w:iCs/>
          <w:lang w:val="de-DE"/>
        </w:rPr>
        <w:t>Deutsche Reiter in Südwest: Selbsterlebnisse aus den Kämpfen in Deutsch-Südwestafrika: nach Persönlichen Berichten</w:t>
      </w:r>
      <w:r w:rsidRPr="00174BC7">
        <w:rPr>
          <w:lang w:val="de-DE"/>
        </w:rPr>
        <w:t xml:space="preserve">. Berlin; Leipzig; Wien; Stuttgart: Bong, 1908. </w:t>
      </w:r>
      <w:hyperlink r:id="rId7" w:history="1">
        <w:r w:rsidRPr="00174BC7">
          <w:rPr>
            <w:rStyle w:val="Hyperlink"/>
            <w:lang w:val="de-DE"/>
          </w:rPr>
          <w:t>http://tinyurl.gale.com/tinyurl/BzJKu0</w:t>
        </w:r>
      </w:hyperlink>
      <w:r w:rsidRPr="00174BC7">
        <w:rPr>
          <w:lang w:val="de-DE"/>
        </w:rPr>
        <w:t>.</w:t>
      </w:r>
    </w:p>
    <w:p w14:paraId="61A8E22B" w14:textId="7D06915D" w:rsidR="005E7AA5" w:rsidRDefault="005E7AA5" w:rsidP="005E7AA5">
      <w:pPr>
        <w:rPr>
          <w:lang w:val="de-DE"/>
        </w:rPr>
      </w:pPr>
    </w:p>
    <w:p w14:paraId="264B606B" w14:textId="77777777" w:rsidR="00FB1CCA" w:rsidRDefault="00FB1CCA" w:rsidP="00FB1CCA">
      <w:r>
        <w:t xml:space="preserve">Editors, History com. “Westward Expansion.” HISTORY. Accessed April 24, 2020. </w:t>
      </w:r>
      <w:hyperlink r:id="rId8" w:history="1">
        <w:r>
          <w:rPr>
            <w:rStyle w:val="Hyperlink"/>
          </w:rPr>
          <w:t>https://www.history.com/topics/westward-expansion/westward-expansion</w:t>
        </w:r>
      </w:hyperlink>
      <w:r>
        <w:t>.</w:t>
      </w:r>
    </w:p>
    <w:p w14:paraId="0003A130" w14:textId="0290B153" w:rsidR="00FB1CCA" w:rsidRDefault="00FB1CCA" w:rsidP="005E7AA5"/>
    <w:p w14:paraId="138724C1" w14:textId="77777777" w:rsidR="00AF31F0" w:rsidRDefault="00AF31F0" w:rsidP="00AF31F0">
      <w:r>
        <w:t xml:space="preserve">Encyclopedia Britannica. “Der Ring Des Nibelungen | Summary, Characters, &amp; Facts.” Accessed April 24, 2020. </w:t>
      </w:r>
      <w:hyperlink r:id="rId9" w:history="1">
        <w:r>
          <w:rPr>
            <w:rStyle w:val="Hyperlink"/>
          </w:rPr>
          <w:t>https://www.britannica.com/topic/Der-Ring-des-Nibelungen</w:t>
        </w:r>
      </w:hyperlink>
      <w:r>
        <w:t>.</w:t>
      </w:r>
    </w:p>
    <w:p w14:paraId="03EF6F22" w14:textId="77777777" w:rsidR="00AF31F0" w:rsidRPr="00FB1CCA" w:rsidRDefault="00AF31F0" w:rsidP="005E7AA5"/>
    <w:p w14:paraId="6F0E4003" w14:textId="10BA99BF" w:rsidR="005E7AA5" w:rsidRPr="005E7AA5" w:rsidRDefault="005E7AA5" w:rsidP="005E7AA5">
      <w:r w:rsidRPr="005E7AA5">
        <w:t>Galchen</w:t>
      </w:r>
      <w:r>
        <w:t xml:space="preserve">, </w:t>
      </w:r>
      <w:r w:rsidRPr="005E7AA5">
        <w:t xml:space="preserve">Rivka. “Wild West Germany | The New Yorker.” Accessed April 24, 2020. </w:t>
      </w:r>
      <w:hyperlink r:id="rId10" w:history="1">
        <w:r w:rsidRPr="005E7AA5">
          <w:rPr>
            <w:color w:val="0000FF"/>
            <w:u w:val="single"/>
          </w:rPr>
          <w:t>https://www.newyorker.com/magazine/2012/04/09/wild-west-germany</w:t>
        </w:r>
      </w:hyperlink>
      <w:r w:rsidRPr="005E7AA5">
        <w:t>.</w:t>
      </w:r>
    </w:p>
    <w:p w14:paraId="49F99C58" w14:textId="77777777" w:rsidR="001E41CB" w:rsidRDefault="001E41CB" w:rsidP="001E41CB"/>
    <w:p w14:paraId="46663354" w14:textId="60417385" w:rsidR="001E41CB" w:rsidRDefault="001E41CB" w:rsidP="001E41CB">
      <w:r>
        <w:t xml:space="preserve">Guettel, Jens-Uwe. “FROM THE FRONTIER TO GERMAN SOUTH-WEST AFRICA: GERMAN COLONIALISM, INDIANS, AND AMERICAN WESTWARD EXPANSION*.” </w:t>
      </w:r>
      <w:r>
        <w:rPr>
          <w:i/>
          <w:iCs/>
        </w:rPr>
        <w:t>Modern Intellectual History</w:t>
      </w:r>
      <w:r>
        <w:t xml:space="preserve"> 7, no. 3 (November 2010): 523–52. </w:t>
      </w:r>
      <w:hyperlink r:id="rId11" w:history="1">
        <w:r>
          <w:rPr>
            <w:rStyle w:val="Hyperlink"/>
          </w:rPr>
          <w:t>https://doi.org/10.1017/S1479244310000223</w:t>
        </w:r>
      </w:hyperlink>
      <w:r>
        <w:t>.</w:t>
      </w:r>
    </w:p>
    <w:p w14:paraId="3825A58E" w14:textId="77777777" w:rsidR="0067201E" w:rsidRDefault="0067201E" w:rsidP="0067201E">
      <w:pPr>
        <w:ind w:hanging="480"/>
      </w:pPr>
    </w:p>
    <w:p w14:paraId="597D22BA" w14:textId="03C859B2" w:rsidR="0067201E" w:rsidRDefault="0067201E" w:rsidP="0067201E">
      <w:r>
        <w:t xml:space="preserve">Lord, Albert Bates. </w:t>
      </w:r>
      <w:r>
        <w:rPr>
          <w:i/>
          <w:iCs/>
        </w:rPr>
        <w:t>The Singer of Tales</w:t>
      </w:r>
      <w:r>
        <w:t>. Third edition. Publications of the Milman Parry Collection of Oral Literature 4. Cambridge, MA : Washington, DC: Milman Parry Collection of Oral Literature ; Center for Hellenic Studies, 2019.</w:t>
      </w:r>
    </w:p>
    <w:p w14:paraId="559E3555" w14:textId="77777777" w:rsidR="000E0141" w:rsidRPr="0067201E" w:rsidRDefault="000E0141" w:rsidP="00174BC7"/>
    <w:p w14:paraId="1E67B9E7" w14:textId="4076AFB5" w:rsidR="00174BC7" w:rsidRDefault="00174BC7" w:rsidP="00174BC7">
      <w:r>
        <w:t xml:space="preserve">Slowik, Michael. “Capturing the American Past: The Cowboy Song and the Archive.” </w:t>
      </w:r>
      <w:r w:rsidRPr="00174BC7">
        <w:rPr>
          <w:i/>
          <w:iCs/>
        </w:rPr>
        <w:t>The Journal of American Culture</w:t>
      </w:r>
      <w:r>
        <w:t xml:space="preserve"> 35, no. 3 (2012): 207–18. </w:t>
      </w:r>
      <w:hyperlink r:id="rId12" w:history="1">
        <w:r>
          <w:rPr>
            <w:rStyle w:val="Hyperlink"/>
          </w:rPr>
          <w:t>https://doi.org/10.1111/j.1542-734X.2012.00808.x</w:t>
        </w:r>
      </w:hyperlink>
      <w:r>
        <w:t>.</w:t>
      </w:r>
    </w:p>
    <w:p w14:paraId="243F8C98" w14:textId="350174E4" w:rsidR="007032C7" w:rsidRDefault="007032C7" w:rsidP="00174BC7"/>
    <w:p w14:paraId="13EE2838" w14:textId="3289BA92" w:rsidR="007032C7" w:rsidRDefault="007032C7" w:rsidP="00174BC7">
      <w:r w:rsidRPr="007032C7">
        <w:rPr>
          <w:rFonts w:asciiTheme="minorHAnsi" w:hAnsiTheme="minorHAnsi" w:cstheme="minorHAnsi"/>
          <w:i/>
          <w:iCs/>
        </w:rPr>
        <w:t>UNITED STATES DISTRICT COURT SOUTHERN DISTRICT OF NEW YORK </w:t>
      </w:r>
      <w:r w:rsidRPr="007032C7">
        <w:rPr>
          <w:rFonts w:asciiTheme="minorHAnsi" w:hAnsiTheme="minorHAnsi" w:cstheme="minorHAnsi"/>
        </w:rPr>
        <w:t>v. </w:t>
      </w:r>
      <w:r w:rsidRPr="007032C7">
        <w:rPr>
          <w:rFonts w:asciiTheme="minorHAnsi" w:hAnsiTheme="minorHAnsi" w:cstheme="minorHAnsi"/>
          <w:i/>
          <w:iCs/>
        </w:rPr>
        <w:t>FEDERAL REPUBLIC OF GERMANY</w:t>
      </w:r>
      <w:r w:rsidRPr="007032C7">
        <w:rPr>
          <w:rFonts w:asciiTheme="minorHAnsi" w:hAnsiTheme="minorHAnsi" w:cstheme="minorHAnsi"/>
        </w:rPr>
        <w:t>, Civ. No. 17-0062 (NY, 2018)</w:t>
      </w:r>
    </w:p>
    <w:p w14:paraId="28A6FC91" w14:textId="77777777" w:rsidR="00AF31F0" w:rsidRDefault="00AF31F0" w:rsidP="00AF31F0">
      <w:pPr>
        <w:rPr>
          <w:rFonts w:cstheme="minorHAnsi"/>
        </w:rPr>
      </w:pPr>
    </w:p>
    <w:p w14:paraId="51746F24" w14:textId="5060B25A" w:rsidR="00AF31F0" w:rsidRPr="00CC4078" w:rsidRDefault="00AF31F0" w:rsidP="00AF31F0">
      <w:pPr>
        <w:rPr>
          <w:rFonts w:asciiTheme="minorHAnsi" w:hAnsiTheme="minorHAnsi" w:cstheme="minorHAnsi"/>
        </w:rPr>
      </w:pPr>
      <w:r w:rsidRPr="00CC4078">
        <w:rPr>
          <w:rFonts w:asciiTheme="minorHAnsi" w:hAnsiTheme="minorHAnsi" w:cstheme="minorHAnsi"/>
        </w:rPr>
        <w:t>Wallace, M., &amp; Kinahan,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p w14:paraId="5FF263F5" w14:textId="77777777" w:rsidR="00FB1CCA" w:rsidRDefault="00FB1CCA" w:rsidP="00FB1CCA"/>
    <w:p w14:paraId="27A2B06C" w14:textId="021E5012" w:rsidR="00FB1CCA" w:rsidRDefault="00FB1CCA" w:rsidP="00FB1CCA">
      <w:r>
        <w:t xml:space="preserve">Zantop, Susanne. </w:t>
      </w:r>
      <w:r>
        <w:rPr>
          <w:i/>
          <w:iCs/>
        </w:rPr>
        <w:t>Colonial Fantasies: Conquest, Family, and Nation in Precolonial Germany, 1770-1870</w:t>
      </w:r>
      <w:r>
        <w:t>. Post-Contemporary Interventions. Durham, N.C: Duke University Press, 1997.</w:t>
      </w:r>
    </w:p>
    <w:p w14:paraId="4D85BB1A" w14:textId="77777777" w:rsidR="00174BC7" w:rsidRPr="00174BC7" w:rsidRDefault="00174BC7" w:rsidP="00174BC7"/>
    <w:p w14:paraId="625D9876" w14:textId="77777777" w:rsidR="00E7469C" w:rsidRPr="00E7469C" w:rsidRDefault="00E7469C" w:rsidP="00E7469C"/>
    <w:p w14:paraId="57BDEA18" w14:textId="489C52B4" w:rsidR="00823645" w:rsidRDefault="00823645" w:rsidP="00823645">
      <w:pPr>
        <w:rPr>
          <w:b/>
          <w:bCs/>
        </w:rPr>
      </w:pPr>
      <w:r w:rsidRPr="00432088">
        <w:rPr>
          <w:b/>
          <w:bCs/>
        </w:rPr>
        <w:t xml:space="preserve">Texts </w:t>
      </w:r>
    </w:p>
    <w:p w14:paraId="301D9B82" w14:textId="07DB0BB7" w:rsidR="005E7AA5" w:rsidRPr="005E7AA5" w:rsidRDefault="005E7AA5" w:rsidP="00823645">
      <w:r w:rsidRPr="00E7469C">
        <w:rPr>
          <w:b/>
          <w:bCs/>
          <w:highlight w:val="yellow"/>
        </w:rPr>
        <w:t>*</w:t>
      </w:r>
      <w:r w:rsidRPr="00E7469C">
        <w:rPr>
          <w:highlight w:val="yellow"/>
        </w:rPr>
        <w:t>Not sure if</w:t>
      </w:r>
      <w:r w:rsidRPr="00E7469C">
        <w:rPr>
          <w:b/>
          <w:bCs/>
          <w:highlight w:val="yellow"/>
        </w:rPr>
        <w:t xml:space="preserve"> </w:t>
      </w:r>
      <w:r w:rsidRPr="00E7469C">
        <w:rPr>
          <w:highlight w:val="yellow"/>
        </w:rPr>
        <w:t>I did the German Book name translation very smoothly in the third paragraph</w:t>
      </w:r>
    </w:p>
    <w:p w14:paraId="484BF0A1" w14:textId="3B63983E" w:rsidR="00823645" w:rsidRPr="00E7469C" w:rsidRDefault="00823645" w:rsidP="00823645">
      <w:pPr>
        <w:pStyle w:val="ListParagraph"/>
        <w:numPr>
          <w:ilvl w:val="0"/>
          <w:numId w:val="1"/>
        </w:numPr>
        <w:rPr>
          <w:u w:val="single"/>
        </w:rPr>
      </w:pPr>
      <w:r w:rsidRPr="00E7469C">
        <w:rPr>
          <w:u w:val="single"/>
        </w:rPr>
        <w:t xml:space="preserve">American Songs </w:t>
      </w:r>
    </w:p>
    <w:p w14:paraId="76D45F6E" w14:textId="5B2255B0" w:rsidR="00823645" w:rsidRDefault="00823645" w:rsidP="00AD72F7">
      <w:pPr>
        <w:ind w:left="720"/>
      </w:pPr>
      <w:r>
        <w:t xml:space="preserve">The songs that make up this Corpus were all </w:t>
      </w:r>
      <w:r w:rsidRPr="00CA589E">
        <w:t xml:space="preserve">selected from </w:t>
      </w:r>
      <w:r w:rsidR="00AD72F7" w:rsidRPr="00CA589E">
        <w:rPr>
          <w:i/>
          <w:iCs/>
        </w:rPr>
        <w:t>Cowboy</w:t>
      </w:r>
      <w:r w:rsidR="00AD72F7" w:rsidRPr="00AD72F7">
        <w:rPr>
          <w:i/>
          <w:iCs/>
        </w:rPr>
        <w:t xml:space="preserve"> Songs and Other Frontier Ballads</w:t>
      </w:r>
      <w:r w:rsidR="006001C3">
        <w:t xml:space="preserve">, which was first published in </w:t>
      </w:r>
      <w:r w:rsidR="000517A0">
        <w:t>19</w:t>
      </w:r>
      <w:r w:rsidR="006001C3" w:rsidRPr="00CA589E">
        <w:t>10</w:t>
      </w:r>
      <w:r w:rsidRPr="00CA589E">
        <w:rPr>
          <w:i/>
          <w:iCs/>
        </w:rPr>
        <w:t>.</w:t>
      </w:r>
      <w:r w:rsidRPr="00CA589E">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w:t>
      </w:r>
      <w:r w:rsidR="00B203AE">
        <w:t xml:space="preserve">and </w:t>
      </w:r>
      <w:r>
        <w:t>access</w:t>
      </w:r>
      <w:r w:rsidR="00B203AE">
        <w:t>ing</w:t>
      </w:r>
      <w:r>
        <w:t xml:space="preserve"> American folk songs online</w:t>
      </w:r>
      <w:r w:rsidR="00E7469C">
        <w:t>. The American period of expansion was also much longer and has been celebrated in popular culture to this day. This accounts for a greater public interest in these songs, which likely contributed to higher rates of publication and circulation</w:t>
      </w:r>
      <w:r>
        <w:t>. Due to the time and resource restrictions of this project, we embraced this disparity and went forward with a greater amount of American songs</w:t>
      </w:r>
      <w:r w:rsidR="00E7469C">
        <w:t xml:space="preserve">. </w:t>
      </w:r>
      <w:r w:rsidR="00432088">
        <w:t xml:space="preserve"> </w:t>
      </w:r>
    </w:p>
    <w:p w14:paraId="1AF0535E" w14:textId="6B51FD3E" w:rsidR="00823645" w:rsidRPr="002332C1" w:rsidRDefault="00823645" w:rsidP="00823645">
      <w:pPr>
        <w:pStyle w:val="ListParagraph"/>
        <w:numPr>
          <w:ilvl w:val="0"/>
          <w:numId w:val="1"/>
        </w:numPr>
        <w:rPr>
          <w:u w:val="single"/>
        </w:rPr>
      </w:pPr>
      <w:r w:rsidRPr="002332C1">
        <w:rPr>
          <w:u w:val="single"/>
        </w:rPr>
        <w:t xml:space="preserve">German Songs (English) </w:t>
      </w:r>
    </w:p>
    <w:p w14:paraId="13969C23" w14:textId="68E13EC7" w:rsidR="00E7469C" w:rsidRPr="002332C1" w:rsidRDefault="00E7469C" w:rsidP="002332C1">
      <w:pPr>
        <w:pStyle w:val="ListParagraph"/>
        <w:rPr>
          <w:b/>
          <w:bCs/>
        </w:rPr>
      </w:pPr>
      <w:r w:rsidRPr="00E7469C">
        <w:t xml:space="preserve">The primary source we used for the German songs was </w:t>
      </w:r>
      <w:r w:rsidRPr="00FD099F">
        <w:rPr>
          <w:i/>
          <w:iCs/>
          <w:highlight w:val="yellow"/>
        </w:rPr>
        <w:t xml:space="preserve">Deutsche Reiter in Südwest: Selbsterlebnisse aus den Kämpfen in Deutsch-Südwestafrika </w:t>
      </w:r>
      <w:r w:rsidRPr="00FD099F">
        <w:rPr>
          <w:highlight w:val="yellow"/>
        </w:rPr>
        <w:t>(German Riders in the Southwest: experiences from the wars in German Southwest Africa</w:t>
      </w:r>
      <w:r>
        <w:t xml:space="preserve">) by </w:t>
      </w:r>
      <w:r w:rsidRPr="00E7469C">
        <w:t>Friedrich Freiherr von Dincklage-Campe</w:t>
      </w:r>
      <w:r>
        <w:t xml:space="preserve"> and was published in 1909. This book, which also includes illustrations by </w:t>
      </w:r>
      <w:r w:rsidRPr="00E7469C">
        <w:t>C. Becker, V. Huen</w:t>
      </w:r>
      <w:r w:rsidR="003C5436">
        <w:t>,</w:t>
      </w:r>
      <w:r>
        <w:t xml:space="preserve"> and</w:t>
      </w:r>
      <w:r w:rsidRPr="00E7469C">
        <w:t xml:space="preserve"> O. Merté</w:t>
      </w:r>
      <w:r>
        <w:t xml:space="preserve">, was the inspiration for this project. It details the years of war and </w:t>
      </w:r>
      <w:r w:rsidR="002332C1">
        <w:t xml:space="preserve">genocide from 1904 and 1907, and the songs and illustrations (one of which you will find on our home page) made it apparent that there were many themes and tropes in common with depictions of the American “wild west”. The second song, </w:t>
      </w:r>
      <w:r w:rsidR="002332C1" w:rsidRPr="002332C1">
        <w:rPr>
          <w:i/>
          <w:iCs/>
        </w:rPr>
        <w:t>Das S</w:t>
      </w:r>
      <w:r w:rsidR="002332C1">
        <w:rPr>
          <w:i/>
          <w:iCs/>
        </w:rPr>
        <w:t>ü</w:t>
      </w:r>
      <w:r w:rsidR="002332C1" w:rsidRPr="002332C1">
        <w:rPr>
          <w:i/>
          <w:iCs/>
        </w:rPr>
        <w:t>dwesterlied</w:t>
      </w:r>
      <w:r w:rsidR="002332C1">
        <w:t xml:space="preserve">, was the only song we could find readily available on the internet that talked specifically about soldiers’ experiences in German Southwest Africa and that was not taken from the book. </w:t>
      </w:r>
    </w:p>
    <w:p w14:paraId="1A9A9835" w14:textId="2A92C565" w:rsidR="00823645" w:rsidRPr="002332C1" w:rsidRDefault="00823645" w:rsidP="002332C1">
      <w:pPr>
        <w:pStyle w:val="ListParagraph"/>
        <w:numPr>
          <w:ilvl w:val="0"/>
          <w:numId w:val="1"/>
        </w:numPr>
        <w:rPr>
          <w:u w:val="single"/>
        </w:rPr>
      </w:pPr>
      <w:r w:rsidRPr="002332C1">
        <w:rPr>
          <w:u w:val="single"/>
        </w:rPr>
        <w:t xml:space="preserve">German Songs (German) </w:t>
      </w:r>
    </w:p>
    <w:p w14:paraId="4D0E152B" w14:textId="53A4DAA5" w:rsidR="00432088" w:rsidRDefault="00CA589E" w:rsidP="002332C1">
      <w:pPr>
        <w:pStyle w:val="ListParagraph"/>
      </w:pPr>
      <w:r>
        <w:t xml:space="preserve">We choose to include the German songs as a language reference because we did our own translations. However, we felt it would be more effective for our project if the markup of the songs was in the same language. We felt this would make our analysis </w:t>
      </w:r>
      <w:r w:rsidR="00E7469C">
        <w:t>clearer and more accessible</w:t>
      </w:r>
      <w:r w:rsidR="002332C1">
        <w:t xml:space="preserve">. </w:t>
      </w:r>
    </w:p>
    <w:p w14:paraId="2B2B9148" w14:textId="77777777" w:rsidR="00432088" w:rsidRDefault="00432088" w:rsidP="00823645"/>
    <w:p w14:paraId="2B2620DE" w14:textId="614D7FF5" w:rsidR="00823645" w:rsidRPr="00CA589E" w:rsidRDefault="00823645" w:rsidP="00823645">
      <w:pPr>
        <w:rPr>
          <w:b/>
          <w:bCs/>
          <w:highlight w:val="cyan"/>
        </w:rPr>
      </w:pPr>
      <w:r w:rsidRPr="00CA589E">
        <w:rPr>
          <w:b/>
          <w:bCs/>
          <w:highlight w:val="cyan"/>
        </w:rPr>
        <w:t xml:space="preserve">Results </w:t>
      </w:r>
    </w:p>
    <w:p w14:paraId="614C6D62" w14:textId="3DFF6416" w:rsidR="00D916F9" w:rsidRDefault="003F5626" w:rsidP="00D916F9">
      <w:r w:rsidRPr="00CA589E">
        <w:rPr>
          <w:highlight w:val="cyan"/>
        </w:rPr>
        <w:t xml:space="preserve">The results </w:t>
      </w:r>
      <w:r w:rsidR="00E016B6" w:rsidRPr="00CA589E">
        <w:rPr>
          <w:highlight w:val="cyan"/>
        </w:rPr>
        <w:t>we gathered are</w:t>
      </w:r>
      <w:r w:rsidRPr="00CA589E">
        <w:rPr>
          <w:highlight w:val="cyan"/>
        </w:rPr>
        <w:t xml:space="preserve"> based on percentages</w:t>
      </w:r>
      <w:r w:rsidR="00C46424" w:rsidRPr="00CA589E">
        <w:rPr>
          <w:highlight w:val="cyan"/>
        </w:rPr>
        <w:t xml:space="preserve"> of elements and their relevant attributes</w:t>
      </w:r>
      <w:r w:rsidRPr="00CA589E">
        <w:rPr>
          <w:highlight w:val="cyan"/>
        </w:rPr>
        <w:t xml:space="preserve">, </w:t>
      </w:r>
      <w:r w:rsidR="00E016B6" w:rsidRPr="00CA589E">
        <w:rPr>
          <w:highlight w:val="cyan"/>
        </w:rPr>
        <w:t>rather than</w:t>
      </w:r>
      <w:r w:rsidRPr="00CA589E">
        <w:rPr>
          <w:highlight w:val="cyan"/>
        </w:rPr>
        <w:t xml:space="preserve"> raw count</w:t>
      </w:r>
      <w:r w:rsidR="007532E8" w:rsidRPr="00CA589E">
        <w:rPr>
          <w:highlight w:val="cyan"/>
        </w:rPr>
        <w:t>s. This was done to</w:t>
      </w:r>
      <w:r w:rsidR="00D916F9" w:rsidRPr="00CA589E">
        <w:rPr>
          <w:highlight w:val="cyan"/>
        </w:rPr>
        <w:t xml:space="preserve"> allow for the most accurate comparison of the songs, </w:t>
      </w:r>
      <w:r w:rsidR="007532E8" w:rsidRPr="00CA589E">
        <w:rPr>
          <w:highlight w:val="cyan"/>
        </w:rPr>
        <w:t>as</w:t>
      </w:r>
      <w:r w:rsidR="00D916F9" w:rsidRPr="00CA589E">
        <w:rPr>
          <w:highlight w:val="cyan"/>
        </w:rPr>
        <w:t xml:space="preserve"> the American corpus is much larger than the German corpus.</w:t>
      </w:r>
    </w:p>
    <w:p w14:paraId="2B331229" w14:textId="77777777" w:rsidR="00D916F9" w:rsidRDefault="00D916F9" w:rsidP="00823645"/>
    <w:p w14:paraId="1742DA7C" w14:textId="77777777" w:rsidR="003F46F0" w:rsidRDefault="003F46F0" w:rsidP="003F46F0">
      <w:pPr>
        <w:rPr>
          <w:b/>
          <w:bCs/>
        </w:rPr>
      </w:pPr>
      <w:r>
        <w:rPr>
          <w:b/>
          <w:bCs/>
        </w:rPr>
        <w:t xml:space="preserve">Conclusions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5F2AFFA2" w14:textId="6115C100" w:rsidR="00613C85" w:rsidRDefault="004A3256" w:rsidP="004A3256">
      <w:pPr>
        <w:ind w:left="360"/>
      </w:pPr>
      <w:r w:rsidRPr="004A3256">
        <w:t>W</w:t>
      </w:r>
      <w:r>
        <w:t xml:space="preserve">e </w:t>
      </w:r>
      <w:r w:rsidR="008C3186">
        <w:t>examined</w:t>
      </w:r>
      <w:r>
        <w:t xml:space="preserve"> depictions of violence </w:t>
      </w:r>
      <w:r w:rsidR="005C40F5">
        <w:t xml:space="preserve">between </w:t>
      </w:r>
      <w:r w:rsidR="00800BE7">
        <w:t>groups of people</w:t>
      </w:r>
      <w:r>
        <w:t xml:space="preserve"> within the songs as a way to understand how the settlers and soldiers viewed acts of violence, in hopes that it would give us insight into their perspective and how it connects to their ideas about nationalism and their </w:t>
      </w:r>
      <w:r>
        <w:lastRenderedPageBreak/>
        <w:t xml:space="preserve">claim to the land they </w:t>
      </w:r>
      <w:r w:rsidR="008C3186">
        <w:t>occupied</w:t>
      </w:r>
      <w:r>
        <w:t xml:space="preserve">. Many instances of violence were </w:t>
      </w:r>
      <w:r w:rsidR="009C0738">
        <w:t>committed upon</w:t>
      </w:r>
      <w:r>
        <w:t xml:space="preserve"> animals, but this was also interesting to us </w:t>
      </w:r>
      <w:r w:rsidR="008C3186">
        <w:t>as</w:t>
      </w:r>
      <w:r>
        <w:t xml:space="preserve"> it </w:t>
      </w:r>
      <w:r w:rsidR="009C0738">
        <w:t>reveals</w:t>
      </w:r>
      <w:r>
        <w:t xml:space="preserve"> how they </w:t>
      </w:r>
      <w:r w:rsidR="009C0738">
        <w:t>perceived the land’s</w:t>
      </w:r>
      <w:r w:rsidR="00954E16">
        <w:t xml:space="preserve"> resources</w:t>
      </w:r>
      <w:r>
        <w:t xml:space="preserve">. The German songs overall had less violence than the American songs, and that violence </w:t>
      </w:r>
      <w:r w:rsidR="009E698A">
        <w:t>more often was ambiguous on which group either the perpetrator or victim belonged to</w:t>
      </w:r>
      <w:r>
        <w:t xml:space="preserve">. We believe this might be </w:t>
      </w:r>
      <w:r w:rsidR="00405481">
        <w:t>because</w:t>
      </w:r>
      <w:r>
        <w:t xml:space="preserve"> they were engaging in formalized, controlled military violence. We know that they raided villages, fought in wars, and </w:t>
      </w:r>
      <w:r w:rsidR="00613C85">
        <w:t>committed</w:t>
      </w:r>
      <w:r>
        <w:t xml:space="preserve"> genocide</w:t>
      </w:r>
      <w:r w:rsidR="00302DB4">
        <w:t>.</w:t>
      </w:r>
      <w:r>
        <w:t xml:space="preserve"> </w:t>
      </w:r>
      <w:r w:rsidR="00302DB4">
        <w:t>However,</w:t>
      </w:r>
      <w:r>
        <w:t xml:space="preserve"> because</w:t>
      </w:r>
      <w:r w:rsidR="00975AD1">
        <w:t xml:space="preserve"> the violence took place in a military context </w:t>
      </w:r>
      <w:r w:rsidR="009E698A">
        <w:t>their</w:t>
      </w:r>
      <w:r w:rsidR="00975AD1">
        <w:t xml:space="preserve"> relationship to it was likely very different than for settlers who embraced and took pride in the idea of lawless violence</w:t>
      </w:r>
      <w:r w:rsidR="00613C85">
        <w:t>.</w:t>
      </w:r>
      <w:r w:rsidR="00F8224D">
        <w:t xml:space="preserve"> </w:t>
      </w:r>
    </w:p>
    <w:p w14:paraId="22CCB468" w14:textId="1B4F3C69" w:rsidR="00110966" w:rsidRDefault="00110966" w:rsidP="00823645">
      <w:pPr>
        <w:rPr>
          <w:b/>
          <w:bCs/>
        </w:rPr>
      </w:pPr>
    </w:p>
    <w:p w14:paraId="782A19E0" w14:textId="13D1564D" w:rsidR="00975AD1" w:rsidRPr="00CA589E" w:rsidRDefault="007C5973" w:rsidP="00975AD1">
      <w:pPr>
        <w:pStyle w:val="ListParagraph"/>
        <w:numPr>
          <w:ilvl w:val="0"/>
          <w:numId w:val="4"/>
        </w:numPr>
        <w:rPr>
          <w:b/>
          <w:bCs/>
          <w:highlight w:val="cyan"/>
        </w:rPr>
      </w:pPr>
      <w:r w:rsidRPr="00CA589E">
        <w:rPr>
          <w:b/>
          <w:bCs/>
          <w:highlight w:val="cyan"/>
        </w:rPr>
        <w:t xml:space="preserve">Xenophobia </w:t>
      </w:r>
    </w:p>
    <w:p w14:paraId="689FE94F" w14:textId="1C3E9D80" w:rsidR="00307E12" w:rsidRPr="00CA589E" w:rsidRDefault="00975AD1" w:rsidP="00975AD1">
      <w:pPr>
        <w:pStyle w:val="ListParagraph"/>
        <w:rPr>
          <w:b/>
          <w:bCs/>
          <w:highlight w:val="cyan"/>
        </w:rPr>
      </w:pPr>
      <w:r w:rsidRPr="00CA589E">
        <w:rPr>
          <w:highlight w:val="cyan"/>
        </w:rPr>
        <w:t xml:space="preserve">We coded for instances of xenophobia when native people were directly mentioned in the songs in derogatory ways or hateful contexts. Although there were many mentions of native people in the American songs, the overall percentages showed that there were more instances of xenophobia in the </w:t>
      </w:r>
      <w:r w:rsidR="00110966" w:rsidRPr="00CA589E">
        <w:rPr>
          <w:highlight w:val="cyan"/>
        </w:rPr>
        <w:t>German</w:t>
      </w:r>
      <w:r w:rsidRPr="00CA589E">
        <w:rPr>
          <w:highlight w:val="cyan"/>
        </w:rPr>
        <w:t xml:space="preserve"> </w:t>
      </w:r>
      <w:r w:rsidR="00110966" w:rsidRPr="00CA589E">
        <w:rPr>
          <w:highlight w:val="cyan"/>
        </w:rPr>
        <w:t>s</w:t>
      </w:r>
      <w:r w:rsidRPr="00CA589E">
        <w:rPr>
          <w:highlight w:val="cyan"/>
        </w:rPr>
        <w:t>ongs. We think that this could be due to geographical contexts. The American settlers were no doubt highly xenophobic and racist</w:t>
      </w:r>
      <w:r w:rsidR="00726366" w:rsidRPr="00CA589E">
        <w:rPr>
          <w:highlight w:val="cyan"/>
        </w:rPr>
        <w:t xml:space="preserve"> and </w:t>
      </w:r>
      <w:r w:rsidRPr="00CA589E">
        <w:rPr>
          <w:highlight w:val="cyan"/>
        </w:rPr>
        <w:t xml:space="preserve">often </w:t>
      </w:r>
      <w:r w:rsidR="00726366" w:rsidRPr="00CA589E">
        <w:rPr>
          <w:highlight w:val="cyan"/>
        </w:rPr>
        <w:t>acted</w:t>
      </w:r>
      <w:r w:rsidRPr="00CA589E">
        <w:rPr>
          <w:highlight w:val="cyan"/>
        </w:rPr>
        <w:t xml:space="preserve"> on these feelings, but why would it be less of a focus in their songs? Perhaps the Germans were more focus</w:t>
      </w:r>
      <w:r w:rsidR="00726366" w:rsidRPr="00CA589E">
        <w:rPr>
          <w:highlight w:val="cyan"/>
        </w:rPr>
        <w:t>ed</w:t>
      </w:r>
      <w:r w:rsidRPr="00CA589E">
        <w:rPr>
          <w:highlight w:val="cyan"/>
        </w:rPr>
        <w:t xml:space="preserve"> on this element because they were </w:t>
      </w:r>
      <w:r w:rsidR="00726366" w:rsidRPr="00CA589E">
        <w:rPr>
          <w:highlight w:val="cyan"/>
        </w:rPr>
        <w:t>part of</w:t>
      </w:r>
      <w:r w:rsidRPr="00CA589E">
        <w:rPr>
          <w:highlight w:val="cyan"/>
        </w:rPr>
        <w:t xml:space="preserve"> a continuous empire. Germany was separated by </w:t>
      </w:r>
      <w:r w:rsidR="00726366" w:rsidRPr="00CA589E">
        <w:rPr>
          <w:highlight w:val="cyan"/>
        </w:rPr>
        <w:t>thousands of miles of land and oceans</w:t>
      </w:r>
      <w:r w:rsidRPr="00CA589E">
        <w:rPr>
          <w:highlight w:val="cyan"/>
        </w:rPr>
        <w:t xml:space="preserve">. This was also a time when more formalized theories on race and racial hierarchies </w:t>
      </w:r>
      <w:r w:rsidR="00726366" w:rsidRPr="00CA589E">
        <w:rPr>
          <w:highlight w:val="cyan"/>
        </w:rPr>
        <w:t xml:space="preserve">became </w:t>
      </w:r>
      <w:r w:rsidRPr="00CA589E">
        <w:rPr>
          <w:highlight w:val="cyan"/>
        </w:rPr>
        <w:t>more prevalent. The Germans even inflicted medical experimentation on the native peoples and sent their body parts to Europe for eugenics research. Both groups</w:t>
      </w:r>
      <w:r w:rsidR="00726366" w:rsidRPr="00CA589E">
        <w:rPr>
          <w:highlight w:val="cyan"/>
        </w:rPr>
        <w:t xml:space="preserve"> </w:t>
      </w:r>
      <w:r w:rsidR="00B32607" w:rsidRPr="00CA589E">
        <w:rPr>
          <w:highlight w:val="cyan"/>
        </w:rPr>
        <w:t>made</w:t>
      </w:r>
      <w:r w:rsidR="00726366" w:rsidRPr="00CA589E">
        <w:rPr>
          <w:highlight w:val="cyan"/>
        </w:rPr>
        <w:t xml:space="preserve"> xenophobia</w:t>
      </w:r>
      <w:r w:rsidRPr="00CA589E">
        <w:rPr>
          <w:highlight w:val="cyan"/>
        </w:rPr>
        <w:t>, the fear and hatred of the other, a defining</w:t>
      </w:r>
      <w:r w:rsidR="003F5626" w:rsidRPr="00CA589E">
        <w:rPr>
          <w:highlight w:val="cyan"/>
        </w:rPr>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Pr="00CA589E" w:rsidRDefault="00110966" w:rsidP="00823645">
      <w:pPr>
        <w:rPr>
          <w:b/>
          <w:bCs/>
          <w:highlight w:val="cyan"/>
        </w:rPr>
      </w:pPr>
    </w:p>
    <w:p w14:paraId="7C85C99B" w14:textId="775B10D5" w:rsidR="00307E12" w:rsidRPr="00CA589E" w:rsidRDefault="00307E12" w:rsidP="00823645">
      <w:pPr>
        <w:pStyle w:val="ListParagraph"/>
        <w:numPr>
          <w:ilvl w:val="0"/>
          <w:numId w:val="4"/>
        </w:numPr>
        <w:rPr>
          <w:b/>
          <w:bCs/>
          <w:highlight w:val="cyan"/>
        </w:rPr>
      </w:pPr>
      <w:r w:rsidRPr="00CA589E">
        <w:rPr>
          <w:b/>
          <w:bCs/>
          <w:highlight w:val="cyan"/>
        </w:rPr>
        <w:t xml:space="preserve">National Unity </w:t>
      </w:r>
    </w:p>
    <w:p w14:paraId="37735393" w14:textId="6469CD26" w:rsidR="007C5973" w:rsidRDefault="0046181C" w:rsidP="0046181C">
      <w:pPr>
        <w:ind w:left="720"/>
        <w:rPr>
          <w:highlight w:val="cyan"/>
        </w:rPr>
      </w:pPr>
      <w:r w:rsidRPr="00CA589E">
        <w:rPr>
          <w:highlight w:val="cyan"/>
        </w:rPr>
        <w:t>We examined national unity in the songs within the contexts of brotherhood, loyalty, pride, patriotism, and solidarity. We found that there was a greater expression of national unity in the German songs and that these expressions were more centered around loyalty whereas the American songs had a stronger focus on brotherhood and solidarity. We believe that this is once again indicative of the political and social contexts of an overseas versus a continuous empire. We also think this is indicative of the fact that Germans had a stronger connection to Germany and the fatherland whereas the Americans were simply connected through their interactions with other settlers. The Germans were serving in an army that required loyalty and reverence to the empire. The same thing was not required of Americans, as many of them choose to band together in and form communities.</w:t>
      </w:r>
    </w:p>
    <w:p w14:paraId="49F02204" w14:textId="77777777" w:rsidR="00FD099F" w:rsidRPr="00CA589E" w:rsidRDefault="00FD099F" w:rsidP="0046181C">
      <w:pPr>
        <w:ind w:left="720"/>
        <w:rPr>
          <w:b/>
          <w:bCs/>
          <w:highlight w:val="cyan"/>
        </w:rPr>
      </w:pPr>
    </w:p>
    <w:p w14:paraId="1E69E272" w14:textId="59931C7B" w:rsidR="00307E12" w:rsidRPr="00CA589E" w:rsidRDefault="00307E12" w:rsidP="00361C72">
      <w:pPr>
        <w:pStyle w:val="ListParagraph"/>
        <w:numPr>
          <w:ilvl w:val="0"/>
          <w:numId w:val="4"/>
        </w:numPr>
        <w:rPr>
          <w:b/>
          <w:bCs/>
          <w:highlight w:val="cyan"/>
        </w:rPr>
      </w:pPr>
      <w:r w:rsidRPr="00CA589E">
        <w:rPr>
          <w:b/>
          <w:bCs/>
          <w:highlight w:val="cyan"/>
        </w:rPr>
        <w:t>Homeland with stacked element of mood</w:t>
      </w:r>
      <w:r w:rsidR="00095EB7" w:rsidRPr="00CA589E">
        <w:rPr>
          <w:b/>
          <w:bCs/>
          <w:highlight w:val="cyan"/>
        </w:rPr>
        <w:t xml:space="preserve">  </w:t>
      </w:r>
    </w:p>
    <w:p w14:paraId="7B847889" w14:textId="1C55CCEC" w:rsidR="00095EB7" w:rsidRDefault="00247680" w:rsidP="00247680">
      <w:pPr>
        <w:ind w:left="720"/>
        <w:rPr>
          <w:highlight w:val="cyan"/>
        </w:rPr>
      </w:pPr>
      <w:r w:rsidRPr="00CA589E">
        <w:rPr>
          <w:highlight w:val="cyan"/>
        </w:rPr>
        <w:t xml:space="preserve">We coded for mentions of homeland after noticing several references to both the new home and the country or place of origin of the settlers. When examining homeland, we wanted to see if references to homeland </w:t>
      </w:r>
      <w:r w:rsidR="00100283" w:rsidRPr="00CA589E">
        <w:rPr>
          <w:highlight w:val="cyan"/>
        </w:rPr>
        <w:t xml:space="preserve">had positive, negative or ambiguous connotations </w:t>
      </w:r>
      <w:r w:rsidRPr="00CA589E">
        <w:rPr>
          <w:highlight w:val="cyan"/>
        </w:rPr>
        <w:t xml:space="preserve">to get a better sense of what settlers’ connection to the land was like. We found that the mentions of homeland in the American Songs tended to be more negative, but both groups had around the same percentage of positive mentions. Overall, you may notice </w:t>
      </w:r>
      <w:r w:rsidRPr="00CA589E">
        <w:rPr>
          <w:highlight w:val="cyan"/>
        </w:rPr>
        <w:lastRenderedPageBreak/>
        <w:t>that many songs talk about the harsh conditions of the land, but when they directly reference the homeland, the depictions are overwhelmingly positive. We see many examples where they say that they love the home despite how harsh it is and have a sense of pride surrounding it. The fact that positive depictions of the homeland are in the majority tells us that settlers and colonial soldiers had an emotional connection to the land and saw it as their own.</w:t>
      </w:r>
    </w:p>
    <w:p w14:paraId="22A32891" w14:textId="77777777" w:rsidR="00FD099F" w:rsidRPr="00CA589E" w:rsidRDefault="00FD099F" w:rsidP="00247680">
      <w:pPr>
        <w:ind w:left="720"/>
        <w:rPr>
          <w:b/>
          <w:bCs/>
          <w:highlight w:val="cyan"/>
        </w:rPr>
      </w:pPr>
    </w:p>
    <w:p w14:paraId="28CC8717" w14:textId="77777777" w:rsidR="00DE6875" w:rsidRPr="00CA589E" w:rsidRDefault="00095EB7" w:rsidP="00BC4260">
      <w:pPr>
        <w:pStyle w:val="ListParagraph"/>
        <w:numPr>
          <w:ilvl w:val="0"/>
          <w:numId w:val="4"/>
        </w:numPr>
        <w:rPr>
          <w:b/>
          <w:bCs/>
          <w:highlight w:val="cyan"/>
        </w:rPr>
      </w:pPr>
      <w:r w:rsidRPr="00CA589E">
        <w:rPr>
          <w:b/>
          <w:bCs/>
          <w:highlight w:val="cyan"/>
        </w:rPr>
        <w:t xml:space="preserve">Possession </w:t>
      </w:r>
    </w:p>
    <w:p w14:paraId="080B59BF" w14:textId="1A69DBD0" w:rsidR="00DF3782" w:rsidRPr="00CA589E" w:rsidRDefault="00551415" w:rsidP="00DF3782">
      <w:pPr>
        <w:pStyle w:val="ListParagraph"/>
        <w:rPr>
          <w:highlight w:val="cyan"/>
        </w:rPr>
      </w:pPr>
      <w:r w:rsidRPr="00CA589E">
        <w:rPr>
          <w:highlight w:val="cyan"/>
        </w:rPr>
        <w:t>When coding for possession, we between</w:t>
      </w:r>
      <w:r w:rsidR="00BC4260" w:rsidRPr="00CA589E">
        <w:rPr>
          <w:highlight w:val="cyan"/>
        </w:rPr>
        <w:t xml:space="preserve"> land, people, resources, and labor. </w:t>
      </w:r>
      <w:r w:rsidR="00DF3782" w:rsidRPr="00CA589E">
        <w:rPr>
          <w:highlight w:val="cyan"/>
        </w:rPr>
        <w:t xml:space="preserve">Our results show that in both German and American contexts, land and resource possession </w:t>
      </w:r>
      <w:r w:rsidR="00534BB3" w:rsidRPr="00CA589E">
        <w:rPr>
          <w:highlight w:val="cyan"/>
        </w:rPr>
        <w:t>was</w:t>
      </w:r>
      <w:r w:rsidR="00DF3782" w:rsidRPr="00CA589E">
        <w:rPr>
          <w:highlight w:val="cyan"/>
        </w:rPr>
        <w:t xml:space="preserve"> by far the </w:t>
      </w:r>
      <w:r w:rsidRPr="00CA589E">
        <w:rPr>
          <w:highlight w:val="cyan"/>
        </w:rPr>
        <w:t>most mentioned</w:t>
      </w:r>
      <w:r w:rsidR="00DF3782" w:rsidRPr="00CA589E">
        <w:rPr>
          <w:highlight w:val="cyan"/>
        </w:rPr>
        <w:t xml:space="preserve">. We know </w:t>
      </w:r>
      <w:r w:rsidR="00BC4260" w:rsidRPr="00CA589E">
        <w:rPr>
          <w:highlight w:val="cyan"/>
        </w:rP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7719725D" w14:textId="71641878" w:rsidR="00DF3782" w:rsidRPr="007C5973" w:rsidRDefault="007D5109" w:rsidP="00CA589E">
      <w:pPr>
        <w:pStyle w:val="ListParagraph"/>
      </w:pPr>
      <w:r w:rsidRPr="00CA589E">
        <w:rPr>
          <w:highlight w:val="cyan"/>
        </w:rPr>
        <w:t>___________________________________________________________________</w:t>
      </w:r>
    </w:p>
    <w:sectPr w:rsidR="00DF3782" w:rsidRPr="007C5973" w:rsidSect="0097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95732" w14:textId="77777777" w:rsidR="00855CC0" w:rsidRDefault="00855CC0" w:rsidP="00174BC7">
      <w:r>
        <w:separator/>
      </w:r>
    </w:p>
  </w:endnote>
  <w:endnote w:type="continuationSeparator" w:id="0">
    <w:p w14:paraId="276BC5C3" w14:textId="77777777" w:rsidR="00855CC0" w:rsidRDefault="00855CC0" w:rsidP="0017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2BE7" w14:textId="77777777" w:rsidR="00855CC0" w:rsidRDefault="00855CC0" w:rsidP="00174BC7">
      <w:r>
        <w:separator/>
      </w:r>
    </w:p>
  </w:footnote>
  <w:footnote w:type="continuationSeparator" w:id="0">
    <w:p w14:paraId="40C92354" w14:textId="77777777" w:rsidR="00855CC0" w:rsidRDefault="00855CC0" w:rsidP="00174BC7">
      <w:r>
        <w:continuationSeparator/>
      </w:r>
    </w:p>
  </w:footnote>
  <w:footnote w:id="1">
    <w:p w14:paraId="4B953C4F" w14:textId="78B1A598" w:rsidR="0067201E" w:rsidRDefault="0067201E" w:rsidP="00147E69">
      <w:r>
        <w:rPr>
          <w:rStyle w:val="FootnoteReference"/>
        </w:rPr>
        <w:footnoteRef/>
      </w:r>
      <w:r>
        <w:t xml:space="preserve"> Editors, History com. “Westward Expansion.” HISTORY. Accessed April 24, 2020. </w:t>
      </w:r>
      <w:hyperlink r:id="rId1" w:history="1">
        <w:r>
          <w:rPr>
            <w:rStyle w:val="Hyperlink"/>
          </w:rPr>
          <w:t>https://www.history.com/topics/westward-expansion/westward-expansion</w:t>
        </w:r>
      </w:hyperlink>
      <w:r>
        <w:t>.</w:t>
      </w:r>
    </w:p>
  </w:footnote>
  <w:footnote w:id="2">
    <w:p w14:paraId="098D4313" w14:textId="18DF087E" w:rsidR="0067201E" w:rsidRDefault="0067201E" w:rsidP="00615E2D">
      <w:r>
        <w:rPr>
          <w:rStyle w:val="FootnoteReference"/>
        </w:rPr>
        <w:footnoteRef/>
      </w:r>
      <w:r>
        <w:t xml:space="preserve"> Guettel, Jens-Uwe. “FROM THE FRONTIER TO GERMAN SOUTH-WEST AFRICA: GERMAN COLONIALISM, INDIANS, AND AMERICAN WESTWARD EXPANSION*.” </w:t>
      </w:r>
      <w:r>
        <w:rPr>
          <w:i/>
          <w:iCs/>
        </w:rPr>
        <w:t>Modern Intellectual History</w:t>
      </w:r>
      <w:r>
        <w:t xml:space="preserve"> 7, no. 3 (November 2010): 523–52. </w:t>
      </w:r>
      <w:hyperlink r:id="rId2" w:history="1">
        <w:r>
          <w:rPr>
            <w:rStyle w:val="Hyperlink"/>
          </w:rPr>
          <w:t>https://doi.org/10.1017/S1479244310000223</w:t>
        </w:r>
      </w:hyperlink>
      <w:r>
        <w:t>.</w:t>
      </w:r>
    </w:p>
  </w:footnote>
  <w:footnote w:id="3">
    <w:p w14:paraId="4C9878CF" w14:textId="62F65043" w:rsidR="0067201E" w:rsidRDefault="0067201E" w:rsidP="0098253B">
      <w:r>
        <w:rPr>
          <w:rStyle w:val="FootnoteReference"/>
        </w:rPr>
        <w:footnoteRef/>
      </w:r>
      <w:r>
        <w:t xml:space="preserve"> Slowik, Michael. “Capturing the American Past: The Cowboy Song and the Archive.” </w:t>
      </w:r>
      <w:r w:rsidRPr="00174BC7">
        <w:rPr>
          <w:i/>
          <w:iCs/>
        </w:rPr>
        <w:t>The Journal of American Culture</w:t>
      </w:r>
      <w:r>
        <w:t xml:space="preserve"> 35, no. 3 (2012): 207–18. </w:t>
      </w:r>
      <w:hyperlink r:id="rId3" w:history="1">
        <w:r>
          <w:rPr>
            <w:rStyle w:val="Hyperlink"/>
          </w:rPr>
          <w:t>https://doi.org/10.1111/j.1542-734X.2012.00808.x</w:t>
        </w:r>
      </w:hyperlink>
      <w:r>
        <w:t>.</w:t>
      </w:r>
    </w:p>
  </w:footnote>
  <w:footnote w:id="4">
    <w:p w14:paraId="7AF901E9" w14:textId="1FA3836D" w:rsidR="0067201E" w:rsidRPr="00346D0B" w:rsidRDefault="0067201E" w:rsidP="00346D0B">
      <w:r>
        <w:rPr>
          <w:rStyle w:val="FootnoteReference"/>
        </w:rPr>
        <w:footnoteRef/>
      </w:r>
      <w:r>
        <w:t xml:space="preserve"> </w:t>
      </w:r>
      <w:r w:rsidRPr="005E7AA5">
        <w:t>Galchen</w:t>
      </w:r>
      <w:r>
        <w:t xml:space="preserve">, </w:t>
      </w:r>
      <w:r w:rsidRPr="005E7AA5">
        <w:t xml:space="preserve">Rivka. “Wild West Germany | The New Yorker.” Accessed April 24, 2020. </w:t>
      </w:r>
      <w:hyperlink r:id="rId4" w:history="1">
        <w:r w:rsidRPr="005E7AA5">
          <w:rPr>
            <w:color w:val="0000FF"/>
            <w:u w:val="single"/>
          </w:rPr>
          <w:t>https://www.newyorker.com/magazine/2012/04/09/wild-west-germany</w:t>
        </w:r>
      </w:hyperlink>
      <w:r w:rsidRPr="005E7AA5">
        <w:t>.</w:t>
      </w:r>
    </w:p>
  </w:footnote>
  <w:footnote w:id="5">
    <w:p w14:paraId="3E979390" w14:textId="299402FB" w:rsidR="0067201E" w:rsidRDefault="0067201E" w:rsidP="00346D0B">
      <w:r>
        <w:rPr>
          <w:rStyle w:val="FootnoteReference"/>
        </w:rPr>
        <w:footnoteRef/>
      </w:r>
      <w:r>
        <w:t xml:space="preserve"> Zantop, Susanne. </w:t>
      </w:r>
      <w:r>
        <w:rPr>
          <w:i/>
          <w:iCs/>
        </w:rPr>
        <w:t>Colonial Fantasies: Conquest, Family, and Nation in Precolonial Germany, 1770-1870</w:t>
      </w:r>
      <w:r>
        <w:t>. Post-Contemporary Interventions. Durham, N.C: Duke University Press, 1997.</w:t>
      </w:r>
    </w:p>
  </w:footnote>
  <w:footnote w:id="6">
    <w:p w14:paraId="2CAF36F0" w14:textId="19673D5A" w:rsidR="0067201E" w:rsidRDefault="0067201E">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7">
    <w:p w14:paraId="0149F3AD" w14:textId="5E938FE1" w:rsidR="0067201E" w:rsidRDefault="0067201E">
      <w:pPr>
        <w:pStyle w:val="FootnoteText"/>
      </w:pPr>
      <w:r>
        <w:rPr>
          <w:rStyle w:val="FootnoteReference"/>
        </w:rPr>
        <w:footnoteRef/>
      </w:r>
      <w:r>
        <w:t xml:space="preserve"> </w:t>
      </w:r>
      <w:r w:rsidRPr="00AF31F0">
        <w:rPr>
          <w:rFonts w:cstheme="minorHAnsi"/>
          <w:sz w:val="24"/>
          <w:szCs w:val="24"/>
        </w:rPr>
        <w:t>Breure, J., 1999, 'Ancestors: A challenge to the Oruuano Church of Namibia', MTh dissertation, Dept. of Missiology, University of South Africa</w:t>
      </w:r>
    </w:p>
  </w:footnote>
  <w:footnote w:id="8">
    <w:p w14:paraId="74B84C64" w14:textId="5EB7666E" w:rsidR="0067201E" w:rsidRDefault="0067201E">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9">
    <w:p w14:paraId="3A815A2D" w14:textId="41A1429C" w:rsidR="0067201E" w:rsidRDefault="0067201E" w:rsidP="000E0141">
      <w:r>
        <w:rPr>
          <w:rStyle w:val="FootnoteReference"/>
        </w:rPr>
        <w:footnoteRef/>
      </w:r>
      <w:r>
        <w:t xml:space="preserve"> Guettel, Jens-Uwe. “FROM THE FRONTIER TO GERMAN SOUTH-WEST AFRICA: GERMAN COLONIALISM, INDIANS, AND AMERICAN WESTWARD EXPANSION*.” </w:t>
      </w:r>
      <w:r>
        <w:rPr>
          <w:i/>
          <w:iCs/>
        </w:rPr>
        <w:t>Modern Intellectual History</w:t>
      </w:r>
      <w:r>
        <w:t xml:space="preserve"> 7, no. 3 (November 2010): 523–52. </w:t>
      </w:r>
      <w:hyperlink r:id="rId5" w:history="1">
        <w:r>
          <w:rPr>
            <w:rStyle w:val="Hyperlink"/>
          </w:rPr>
          <w:t>https://doi.org/10.1017/S1479244310000223</w:t>
        </w:r>
      </w:hyperlink>
      <w:r>
        <w:t>.</w:t>
      </w:r>
    </w:p>
  </w:footnote>
  <w:footnote w:id="10">
    <w:p w14:paraId="5D95500C" w14:textId="589DFEAD" w:rsidR="0067201E" w:rsidRPr="00846619" w:rsidRDefault="0067201E" w:rsidP="00846619">
      <w:pPr>
        <w:rPr>
          <w:rFonts w:asciiTheme="minorHAnsi" w:hAnsiTheme="minorHAnsi" w:cstheme="minorHAnsi"/>
        </w:rPr>
      </w:pPr>
      <w:r>
        <w:rPr>
          <w:rStyle w:val="FootnoteReference"/>
        </w:rPr>
        <w:footnoteRef/>
      </w:r>
      <w:r>
        <w:t xml:space="preserve"> </w:t>
      </w:r>
      <w:r w:rsidRPr="00CC4078">
        <w:rPr>
          <w:rFonts w:asciiTheme="minorHAnsi" w:hAnsiTheme="minorHAnsi" w:cstheme="minorHAnsi"/>
        </w:rPr>
        <w:t>Wallace, M., &amp; Kinahan,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footnote>
  <w:footnote w:id="11">
    <w:p w14:paraId="68EA62D8" w14:textId="7155AD99" w:rsidR="0067201E" w:rsidRDefault="0067201E" w:rsidP="0067201E">
      <w:r>
        <w:rPr>
          <w:rStyle w:val="FootnoteReference"/>
        </w:rPr>
        <w:footnoteRef/>
      </w:r>
      <w:r>
        <w:t xml:space="preserve"> Encyclopedia Britannica. “Der Ring Des Nibelungen | Summary, Characters, &amp; Facts.” Accessed April 24, 2020. </w:t>
      </w:r>
      <w:hyperlink r:id="rId6" w:history="1">
        <w:r>
          <w:rPr>
            <w:rStyle w:val="Hyperlink"/>
          </w:rPr>
          <w:t>https://www.britannica.com/topic/Der-Ring-des-Nibelungen</w:t>
        </w:r>
      </w:hyperlink>
      <w:r>
        <w:t>.</w:t>
      </w:r>
    </w:p>
  </w:footnote>
  <w:footnote w:id="12">
    <w:p w14:paraId="0D25885F" w14:textId="77777777" w:rsidR="0067201E" w:rsidRDefault="0067201E" w:rsidP="0067201E">
      <w:r>
        <w:rPr>
          <w:rStyle w:val="FootnoteReference"/>
        </w:rPr>
        <w:footnoteRef/>
      </w:r>
      <w:r>
        <w:t xml:space="preserve"> Lord, Albert Bates. </w:t>
      </w:r>
      <w:r>
        <w:rPr>
          <w:i/>
          <w:iCs/>
        </w:rPr>
        <w:t>The Singer of Tales</w:t>
      </w:r>
      <w:r>
        <w:t>. Third edition. Publications of the Milman Parry Collection of Oral Literature 4. Cambridge, MA : Washington, DC: Milman Parry Collection of Oral Literature ; Center for Hellenic Studies, 2019.</w:t>
      </w:r>
    </w:p>
    <w:p w14:paraId="78ACD1CB" w14:textId="73ED4AA6" w:rsidR="0067201E" w:rsidRDefault="006720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9C328D8"/>
    <w:multiLevelType w:val="hybridMultilevel"/>
    <w:tmpl w:val="728AB106"/>
    <w:lvl w:ilvl="0" w:tplc="F026A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94060C9"/>
    <w:multiLevelType w:val="hybridMultilevel"/>
    <w:tmpl w:val="B0927FF6"/>
    <w:lvl w:ilvl="0" w:tplc="1FA6A4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517A0"/>
    <w:rsid w:val="00061CE7"/>
    <w:rsid w:val="00075026"/>
    <w:rsid w:val="00095EB7"/>
    <w:rsid w:val="000A55FE"/>
    <w:rsid w:val="000E0141"/>
    <w:rsid w:val="000F056C"/>
    <w:rsid w:val="00100283"/>
    <w:rsid w:val="00110966"/>
    <w:rsid w:val="00147E69"/>
    <w:rsid w:val="00174BC7"/>
    <w:rsid w:val="001E41CB"/>
    <w:rsid w:val="002332C1"/>
    <w:rsid w:val="00247680"/>
    <w:rsid w:val="002743C2"/>
    <w:rsid w:val="00302DB4"/>
    <w:rsid w:val="00307E12"/>
    <w:rsid w:val="0034522B"/>
    <w:rsid w:val="00346D0B"/>
    <w:rsid w:val="00361C72"/>
    <w:rsid w:val="00377674"/>
    <w:rsid w:val="00392A85"/>
    <w:rsid w:val="003C5436"/>
    <w:rsid w:val="003C6081"/>
    <w:rsid w:val="003F46F0"/>
    <w:rsid w:val="003F5626"/>
    <w:rsid w:val="00405481"/>
    <w:rsid w:val="00432088"/>
    <w:rsid w:val="0046181C"/>
    <w:rsid w:val="0046294B"/>
    <w:rsid w:val="004A0F6D"/>
    <w:rsid w:val="004A3256"/>
    <w:rsid w:val="004C57A8"/>
    <w:rsid w:val="0053454D"/>
    <w:rsid w:val="00534BB3"/>
    <w:rsid w:val="00541BC0"/>
    <w:rsid w:val="00551415"/>
    <w:rsid w:val="00583864"/>
    <w:rsid w:val="005A3C72"/>
    <w:rsid w:val="005B5518"/>
    <w:rsid w:val="005C40F5"/>
    <w:rsid w:val="005D7BA6"/>
    <w:rsid w:val="005E7AA5"/>
    <w:rsid w:val="006001C3"/>
    <w:rsid w:val="00606B1D"/>
    <w:rsid w:val="00613C85"/>
    <w:rsid w:val="00615E2D"/>
    <w:rsid w:val="00637466"/>
    <w:rsid w:val="0067201E"/>
    <w:rsid w:val="00676A86"/>
    <w:rsid w:val="00684C19"/>
    <w:rsid w:val="006F025D"/>
    <w:rsid w:val="007032C7"/>
    <w:rsid w:val="00726366"/>
    <w:rsid w:val="007532E8"/>
    <w:rsid w:val="00771EAA"/>
    <w:rsid w:val="00777421"/>
    <w:rsid w:val="007C5973"/>
    <w:rsid w:val="007C6155"/>
    <w:rsid w:val="007D5109"/>
    <w:rsid w:val="007F5515"/>
    <w:rsid w:val="00800BE7"/>
    <w:rsid w:val="00823645"/>
    <w:rsid w:val="00846619"/>
    <w:rsid w:val="00853369"/>
    <w:rsid w:val="00855CC0"/>
    <w:rsid w:val="008745CC"/>
    <w:rsid w:val="008C3186"/>
    <w:rsid w:val="00907C83"/>
    <w:rsid w:val="00954E16"/>
    <w:rsid w:val="00960601"/>
    <w:rsid w:val="00975AD1"/>
    <w:rsid w:val="00975F7F"/>
    <w:rsid w:val="0098253B"/>
    <w:rsid w:val="00996FED"/>
    <w:rsid w:val="009C0738"/>
    <w:rsid w:val="009D0029"/>
    <w:rsid w:val="009E698A"/>
    <w:rsid w:val="00A10EF6"/>
    <w:rsid w:val="00A76051"/>
    <w:rsid w:val="00A7793C"/>
    <w:rsid w:val="00AD5201"/>
    <w:rsid w:val="00AD72F7"/>
    <w:rsid w:val="00AF31F0"/>
    <w:rsid w:val="00B018DA"/>
    <w:rsid w:val="00B06B25"/>
    <w:rsid w:val="00B203AE"/>
    <w:rsid w:val="00B32607"/>
    <w:rsid w:val="00BB7915"/>
    <w:rsid w:val="00BC4260"/>
    <w:rsid w:val="00BD6498"/>
    <w:rsid w:val="00BF2A60"/>
    <w:rsid w:val="00C21646"/>
    <w:rsid w:val="00C22BF1"/>
    <w:rsid w:val="00C46424"/>
    <w:rsid w:val="00CA589E"/>
    <w:rsid w:val="00CD5E04"/>
    <w:rsid w:val="00CF4B78"/>
    <w:rsid w:val="00D916F9"/>
    <w:rsid w:val="00DA5A9C"/>
    <w:rsid w:val="00DC7CC8"/>
    <w:rsid w:val="00DE6875"/>
    <w:rsid w:val="00DF3782"/>
    <w:rsid w:val="00E016B6"/>
    <w:rsid w:val="00E44FD7"/>
    <w:rsid w:val="00E66ECA"/>
    <w:rsid w:val="00E7469C"/>
    <w:rsid w:val="00EA7499"/>
    <w:rsid w:val="00F37AA1"/>
    <w:rsid w:val="00F55154"/>
    <w:rsid w:val="00F8224D"/>
    <w:rsid w:val="00FB1CCA"/>
    <w:rsid w:val="00FB2269"/>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F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746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A7499"/>
    <w:pPr>
      <w:spacing w:before="100" w:beforeAutospacing="1" w:after="100" w:afterAutospacing="1"/>
    </w:pPr>
  </w:style>
  <w:style w:type="character" w:styleId="Emphasis">
    <w:name w:val="Emphasis"/>
    <w:basedOn w:val="DefaultParagraphFont"/>
    <w:uiPriority w:val="20"/>
    <w:qFormat/>
    <w:rsid w:val="00EA7499"/>
    <w:rPr>
      <w:i/>
      <w:iCs/>
    </w:rPr>
  </w:style>
  <w:style w:type="character" w:customStyle="1" w:styleId="Heading2Char">
    <w:name w:val="Heading 2 Char"/>
    <w:basedOn w:val="DefaultParagraphFont"/>
    <w:link w:val="Heading2"/>
    <w:uiPriority w:val="9"/>
    <w:semiHidden/>
    <w:rsid w:val="00E746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74BC7"/>
    <w:rPr>
      <w:color w:val="0000FF"/>
      <w:u w:val="single"/>
    </w:rPr>
  </w:style>
  <w:style w:type="paragraph" w:styleId="FootnoteText">
    <w:name w:val="footnote text"/>
    <w:basedOn w:val="Normal"/>
    <w:link w:val="FootnoteTextChar"/>
    <w:uiPriority w:val="99"/>
    <w:semiHidden/>
    <w:unhideWhenUsed/>
    <w:rsid w:val="00174BC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74BC7"/>
    <w:rPr>
      <w:sz w:val="20"/>
      <w:szCs w:val="20"/>
    </w:rPr>
  </w:style>
  <w:style w:type="character" w:styleId="FootnoteReference">
    <w:name w:val="footnote reference"/>
    <w:basedOn w:val="DefaultParagraphFont"/>
    <w:uiPriority w:val="99"/>
    <w:semiHidden/>
    <w:unhideWhenUsed/>
    <w:rsid w:val="00174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07">
      <w:bodyDiv w:val="1"/>
      <w:marLeft w:val="0"/>
      <w:marRight w:val="0"/>
      <w:marTop w:val="0"/>
      <w:marBottom w:val="0"/>
      <w:divBdr>
        <w:top w:val="none" w:sz="0" w:space="0" w:color="auto"/>
        <w:left w:val="none" w:sz="0" w:space="0" w:color="auto"/>
        <w:bottom w:val="none" w:sz="0" w:space="0" w:color="auto"/>
        <w:right w:val="none" w:sz="0" w:space="0" w:color="auto"/>
      </w:divBdr>
    </w:div>
    <w:div w:id="367295362">
      <w:bodyDiv w:val="1"/>
      <w:marLeft w:val="0"/>
      <w:marRight w:val="0"/>
      <w:marTop w:val="0"/>
      <w:marBottom w:val="0"/>
      <w:divBdr>
        <w:top w:val="none" w:sz="0" w:space="0" w:color="auto"/>
        <w:left w:val="none" w:sz="0" w:space="0" w:color="auto"/>
        <w:bottom w:val="none" w:sz="0" w:space="0" w:color="auto"/>
        <w:right w:val="none" w:sz="0" w:space="0" w:color="auto"/>
      </w:divBdr>
      <w:divsChild>
        <w:div w:id="1321041322">
          <w:marLeft w:val="480"/>
          <w:marRight w:val="0"/>
          <w:marTop w:val="0"/>
          <w:marBottom w:val="0"/>
          <w:divBdr>
            <w:top w:val="none" w:sz="0" w:space="0" w:color="auto"/>
            <w:left w:val="none" w:sz="0" w:space="0" w:color="auto"/>
            <w:bottom w:val="none" w:sz="0" w:space="0" w:color="auto"/>
            <w:right w:val="none" w:sz="0" w:space="0" w:color="auto"/>
          </w:divBdr>
          <w:divsChild>
            <w:div w:id="1662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477">
      <w:bodyDiv w:val="1"/>
      <w:marLeft w:val="0"/>
      <w:marRight w:val="0"/>
      <w:marTop w:val="0"/>
      <w:marBottom w:val="0"/>
      <w:divBdr>
        <w:top w:val="none" w:sz="0" w:space="0" w:color="auto"/>
        <w:left w:val="none" w:sz="0" w:space="0" w:color="auto"/>
        <w:bottom w:val="none" w:sz="0" w:space="0" w:color="auto"/>
        <w:right w:val="none" w:sz="0" w:space="0" w:color="auto"/>
      </w:divBdr>
      <w:divsChild>
        <w:div w:id="245959064">
          <w:marLeft w:val="480"/>
          <w:marRight w:val="0"/>
          <w:marTop w:val="0"/>
          <w:marBottom w:val="0"/>
          <w:divBdr>
            <w:top w:val="none" w:sz="0" w:space="0" w:color="auto"/>
            <w:left w:val="none" w:sz="0" w:space="0" w:color="auto"/>
            <w:bottom w:val="none" w:sz="0" w:space="0" w:color="auto"/>
            <w:right w:val="none" w:sz="0" w:space="0" w:color="auto"/>
          </w:divBdr>
          <w:divsChild>
            <w:div w:id="2277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26">
      <w:bodyDiv w:val="1"/>
      <w:marLeft w:val="0"/>
      <w:marRight w:val="0"/>
      <w:marTop w:val="0"/>
      <w:marBottom w:val="0"/>
      <w:divBdr>
        <w:top w:val="none" w:sz="0" w:space="0" w:color="auto"/>
        <w:left w:val="none" w:sz="0" w:space="0" w:color="auto"/>
        <w:bottom w:val="none" w:sz="0" w:space="0" w:color="auto"/>
        <w:right w:val="none" w:sz="0" w:space="0" w:color="auto"/>
      </w:divBdr>
      <w:divsChild>
        <w:div w:id="1380663181">
          <w:marLeft w:val="480"/>
          <w:marRight w:val="0"/>
          <w:marTop w:val="0"/>
          <w:marBottom w:val="0"/>
          <w:divBdr>
            <w:top w:val="none" w:sz="0" w:space="0" w:color="auto"/>
            <w:left w:val="none" w:sz="0" w:space="0" w:color="auto"/>
            <w:bottom w:val="none" w:sz="0" w:space="0" w:color="auto"/>
            <w:right w:val="none" w:sz="0" w:space="0" w:color="auto"/>
          </w:divBdr>
          <w:divsChild>
            <w:div w:id="143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663">
      <w:bodyDiv w:val="1"/>
      <w:marLeft w:val="0"/>
      <w:marRight w:val="0"/>
      <w:marTop w:val="0"/>
      <w:marBottom w:val="0"/>
      <w:divBdr>
        <w:top w:val="none" w:sz="0" w:space="0" w:color="auto"/>
        <w:left w:val="none" w:sz="0" w:space="0" w:color="auto"/>
        <w:bottom w:val="none" w:sz="0" w:space="0" w:color="auto"/>
        <w:right w:val="none" w:sz="0" w:space="0" w:color="auto"/>
      </w:divBdr>
    </w:div>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827401198">
      <w:bodyDiv w:val="1"/>
      <w:marLeft w:val="0"/>
      <w:marRight w:val="0"/>
      <w:marTop w:val="0"/>
      <w:marBottom w:val="0"/>
      <w:divBdr>
        <w:top w:val="none" w:sz="0" w:space="0" w:color="auto"/>
        <w:left w:val="none" w:sz="0" w:space="0" w:color="auto"/>
        <w:bottom w:val="none" w:sz="0" w:space="0" w:color="auto"/>
        <w:right w:val="none" w:sz="0" w:space="0" w:color="auto"/>
      </w:divBdr>
      <w:divsChild>
        <w:div w:id="1845316287">
          <w:marLeft w:val="480"/>
          <w:marRight w:val="0"/>
          <w:marTop w:val="0"/>
          <w:marBottom w:val="0"/>
          <w:divBdr>
            <w:top w:val="none" w:sz="0" w:space="0" w:color="auto"/>
            <w:left w:val="none" w:sz="0" w:space="0" w:color="auto"/>
            <w:bottom w:val="none" w:sz="0" w:space="0" w:color="auto"/>
            <w:right w:val="none" w:sz="0" w:space="0" w:color="auto"/>
          </w:divBdr>
          <w:divsChild>
            <w:div w:id="14939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923">
      <w:bodyDiv w:val="1"/>
      <w:marLeft w:val="0"/>
      <w:marRight w:val="0"/>
      <w:marTop w:val="0"/>
      <w:marBottom w:val="0"/>
      <w:divBdr>
        <w:top w:val="none" w:sz="0" w:space="0" w:color="auto"/>
        <w:left w:val="none" w:sz="0" w:space="0" w:color="auto"/>
        <w:bottom w:val="none" w:sz="0" w:space="0" w:color="auto"/>
        <w:right w:val="none" w:sz="0" w:space="0" w:color="auto"/>
      </w:divBdr>
      <w:divsChild>
        <w:div w:id="585773341">
          <w:marLeft w:val="480"/>
          <w:marRight w:val="0"/>
          <w:marTop w:val="0"/>
          <w:marBottom w:val="0"/>
          <w:divBdr>
            <w:top w:val="none" w:sz="0" w:space="0" w:color="auto"/>
            <w:left w:val="none" w:sz="0" w:space="0" w:color="auto"/>
            <w:bottom w:val="none" w:sz="0" w:space="0" w:color="auto"/>
            <w:right w:val="none" w:sz="0" w:space="0" w:color="auto"/>
          </w:divBdr>
          <w:divsChild>
            <w:div w:id="12825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542">
      <w:bodyDiv w:val="1"/>
      <w:marLeft w:val="0"/>
      <w:marRight w:val="0"/>
      <w:marTop w:val="0"/>
      <w:marBottom w:val="0"/>
      <w:divBdr>
        <w:top w:val="none" w:sz="0" w:space="0" w:color="auto"/>
        <w:left w:val="none" w:sz="0" w:space="0" w:color="auto"/>
        <w:bottom w:val="none" w:sz="0" w:space="0" w:color="auto"/>
        <w:right w:val="none" w:sz="0" w:space="0" w:color="auto"/>
      </w:divBdr>
    </w:div>
    <w:div w:id="1034960785">
      <w:bodyDiv w:val="1"/>
      <w:marLeft w:val="0"/>
      <w:marRight w:val="0"/>
      <w:marTop w:val="0"/>
      <w:marBottom w:val="0"/>
      <w:divBdr>
        <w:top w:val="none" w:sz="0" w:space="0" w:color="auto"/>
        <w:left w:val="none" w:sz="0" w:space="0" w:color="auto"/>
        <w:bottom w:val="none" w:sz="0" w:space="0" w:color="auto"/>
        <w:right w:val="none" w:sz="0" w:space="0" w:color="auto"/>
      </w:divBdr>
    </w:div>
    <w:div w:id="1074816306">
      <w:bodyDiv w:val="1"/>
      <w:marLeft w:val="0"/>
      <w:marRight w:val="0"/>
      <w:marTop w:val="0"/>
      <w:marBottom w:val="0"/>
      <w:divBdr>
        <w:top w:val="none" w:sz="0" w:space="0" w:color="auto"/>
        <w:left w:val="none" w:sz="0" w:space="0" w:color="auto"/>
        <w:bottom w:val="none" w:sz="0" w:space="0" w:color="auto"/>
        <w:right w:val="none" w:sz="0" w:space="0" w:color="auto"/>
      </w:divBdr>
    </w:div>
    <w:div w:id="1084184988">
      <w:bodyDiv w:val="1"/>
      <w:marLeft w:val="0"/>
      <w:marRight w:val="0"/>
      <w:marTop w:val="0"/>
      <w:marBottom w:val="0"/>
      <w:divBdr>
        <w:top w:val="none" w:sz="0" w:space="0" w:color="auto"/>
        <w:left w:val="none" w:sz="0" w:space="0" w:color="auto"/>
        <w:bottom w:val="none" w:sz="0" w:space="0" w:color="auto"/>
        <w:right w:val="none" w:sz="0" w:space="0" w:color="auto"/>
      </w:divBdr>
    </w:div>
    <w:div w:id="1096747701">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1453478814">
      <w:bodyDiv w:val="1"/>
      <w:marLeft w:val="0"/>
      <w:marRight w:val="0"/>
      <w:marTop w:val="0"/>
      <w:marBottom w:val="0"/>
      <w:divBdr>
        <w:top w:val="none" w:sz="0" w:space="0" w:color="auto"/>
        <w:left w:val="none" w:sz="0" w:space="0" w:color="auto"/>
        <w:bottom w:val="none" w:sz="0" w:space="0" w:color="auto"/>
        <w:right w:val="none" w:sz="0" w:space="0" w:color="auto"/>
      </w:divBdr>
    </w:div>
    <w:div w:id="1675571706">
      <w:bodyDiv w:val="1"/>
      <w:marLeft w:val="0"/>
      <w:marRight w:val="0"/>
      <w:marTop w:val="0"/>
      <w:marBottom w:val="0"/>
      <w:divBdr>
        <w:top w:val="none" w:sz="0" w:space="0" w:color="auto"/>
        <w:left w:val="none" w:sz="0" w:space="0" w:color="auto"/>
        <w:bottom w:val="none" w:sz="0" w:space="0" w:color="auto"/>
        <w:right w:val="none" w:sz="0" w:space="0" w:color="auto"/>
      </w:divBdr>
      <w:divsChild>
        <w:div w:id="1147823277">
          <w:marLeft w:val="480"/>
          <w:marRight w:val="0"/>
          <w:marTop w:val="0"/>
          <w:marBottom w:val="0"/>
          <w:divBdr>
            <w:top w:val="none" w:sz="0" w:space="0" w:color="auto"/>
            <w:left w:val="none" w:sz="0" w:space="0" w:color="auto"/>
            <w:bottom w:val="none" w:sz="0" w:space="0" w:color="auto"/>
            <w:right w:val="none" w:sz="0" w:space="0" w:color="auto"/>
          </w:divBdr>
          <w:divsChild>
            <w:div w:id="559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926">
      <w:bodyDiv w:val="1"/>
      <w:marLeft w:val="0"/>
      <w:marRight w:val="0"/>
      <w:marTop w:val="0"/>
      <w:marBottom w:val="0"/>
      <w:divBdr>
        <w:top w:val="none" w:sz="0" w:space="0" w:color="auto"/>
        <w:left w:val="none" w:sz="0" w:space="0" w:color="auto"/>
        <w:bottom w:val="none" w:sz="0" w:space="0" w:color="auto"/>
        <w:right w:val="none" w:sz="0" w:space="0" w:color="auto"/>
      </w:divBdr>
    </w:div>
    <w:div w:id="1758136668">
      <w:bodyDiv w:val="1"/>
      <w:marLeft w:val="0"/>
      <w:marRight w:val="0"/>
      <w:marTop w:val="0"/>
      <w:marBottom w:val="0"/>
      <w:divBdr>
        <w:top w:val="none" w:sz="0" w:space="0" w:color="auto"/>
        <w:left w:val="none" w:sz="0" w:space="0" w:color="auto"/>
        <w:bottom w:val="none" w:sz="0" w:space="0" w:color="auto"/>
        <w:right w:val="none" w:sz="0" w:space="0" w:color="auto"/>
      </w:divBdr>
      <w:divsChild>
        <w:div w:id="1369649458">
          <w:marLeft w:val="480"/>
          <w:marRight w:val="0"/>
          <w:marTop w:val="0"/>
          <w:marBottom w:val="0"/>
          <w:divBdr>
            <w:top w:val="none" w:sz="0" w:space="0" w:color="auto"/>
            <w:left w:val="none" w:sz="0" w:space="0" w:color="auto"/>
            <w:bottom w:val="none" w:sz="0" w:space="0" w:color="auto"/>
            <w:right w:val="none" w:sz="0" w:space="0" w:color="auto"/>
          </w:divBdr>
          <w:divsChild>
            <w:div w:id="16742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147">
      <w:bodyDiv w:val="1"/>
      <w:marLeft w:val="0"/>
      <w:marRight w:val="0"/>
      <w:marTop w:val="0"/>
      <w:marBottom w:val="0"/>
      <w:divBdr>
        <w:top w:val="none" w:sz="0" w:space="0" w:color="auto"/>
        <w:left w:val="none" w:sz="0" w:space="0" w:color="auto"/>
        <w:bottom w:val="none" w:sz="0" w:space="0" w:color="auto"/>
        <w:right w:val="none" w:sz="0" w:space="0" w:color="auto"/>
      </w:divBdr>
    </w:div>
    <w:div w:id="1815636076">
      <w:bodyDiv w:val="1"/>
      <w:marLeft w:val="0"/>
      <w:marRight w:val="0"/>
      <w:marTop w:val="0"/>
      <w:marBottom w:val="0"/>
      <w:divBdr>
        <w:top w:val="none" w:sz="0" w:space="0" w:color="auto"/>
        <w:left w:val="none" w:sz="0" w:space="0" w:color="auto"/>
        <w:bottom w:val="none" w:sz="0" w:space="0" w:color="auto"/>
        <w:right w:val="none" w:sz="0" w:space="0" w:color="auto"/>
      </w:divBdr>
    </w:div>
    <w:div w:id="1880437183">
      <w:bodyDiv w:val="1"/>
      <w:marLeft w:val="0"/>
      <w:marRight w:val="0"/>
      <w:marTop w:val="0"/>
      <w:marBottom w:val="0"/>
      <w:divBdr>
        <w:top w:val="none" w:sz="0" w:space="0" w:color="auto"/>
        <w:left w:val="none" w:sz="0" w:space="0" w:color="auto"/>
        <w:bottom w:val="none" w:sz="0" w:space="0" w:color="auto"/>
        <w:right w:val="none" w:sz="0" w:space="0" w:color="auto"/>
      </w:divBdr>
      <w:divsChild>
        <w:div w:id="2118863573">
          <w:marLeft w:val="480"/>
          <w:marRight w:val="0"/>
          <w:marTop w:val="0"/>
          <w:marBottom w:val="0"/>
          <w:divBdr>
            <w:top w:val="none" w:sz="0" w:space="0" w:color="auto"/>
            <w:left w:val="none" w:sz="0" w:space="0" w:color="auto"/>
            <w:bottom w:val="none" w:sz="0" w:space="0" w:color="auto"/>
            <w:right w:val="none" w:sz="0" w:space="0" w:color="auto"/>
          </w:divBdr>
          <w:divsChild>
            <w:div w:id="1160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062">
      <w:bodyDiv w:val="1"/>
      <w:marLeft w:val="0"/>
      <w:marRight w:val="0"/>
      <w:marTop w:val="0"/>
      <w:marBottom w:val="0"/>
      <w:divBdr>
        <w:top w:val="none" w:sz="0" w:space="0" w:color="auto"/>
        <w:left w:val="none" w:sz="0" w:space="0" w:color="auto"/>
        <w:bottom w:val="none" w:sz="0" w:space="0" w:color="auto"/>
        <w:right w:val="none" w:sz="0" w:space="0" w:color="auto"/>
      </w:divBdr>
      <w:divsChild>
        <w:div w:id="705182804">
          <w:marLeft w:val="480"/>
          <w:marRight w:val="0"/>
          <w:marTop w:val="0"/>
          <w:marBottom w:val="0"/>
          <w:divBdr>
            <w:top w:val="none" w:sz="0" w:space="0" w:color="auto"/>
            <w:left w:val="none" w:sz="0" w:space="0" w:color="auto"/>
            <w:bottom w:val="none" w:sz="0" w:space="0" w:color="auto"/>
            <w:right w:val="none" w:sz="0" w:space="0" w:color="auto"/>
          </w:divBdr>
          <w:divsChild>
            <w:div w:id="634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estward-expansion/westward-expan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nyurl.gale.com/tinyurl/BzJKu0" TargetMode="External"/><Relationship Id="rId12" Type="http://schemas.openxmlformats.org/officeDocument/2006/relationships/hyperlink" Target="https://doi.org/10.1111/j.1542-734X.2012.0080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1479244310000223" TargetMode="External"/><Relationship Id="rId5" Type="http://schemas.openxmlformats.org/officeDocument/2006/relationships/footnotes" Target="footnotes.xml"/><Relationship Id="rId10" Type="http://schemas.openxmlformats.org/officeDocument/2006/relationships/hyperlink" Target="https://www.newyorker.com/magazine/2012/04/09/wild-west-germany" TargetMode="External"/><Relationship Id="rId4" Type="http://schemas.openxmlformats.org/officeDocument/2006/relationships/webSettings" Target="webSettings.xml"/><Relationship Id="rId9" Type="http://schemas.openxmlformats.org/officeDocument/2006/relationships/hyperlink" Target="https://www.britannica.com/topic/Der-Ring-des-Nibelunge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11/j.1542-734X.2012.00808.x" TargetMode="External"/><Relationship Id="rId2" Type="http://schemas.openxmlformats.org/officeDocument/2006/relationships/hyperlink" Target="https://doi.org/10.1017/S1479244310000223" TargetMode="External"/><Relationship Id="rId1" Type="http://schemas.openxmlformats.org/officeDocument/2006/relationships/hyperlink" Target="https://www.history.com/topics/westward-expansion/westward-expansion" TargetMode="External"/><Relationship Id="rId6" Type="http://schemas.openxmlformats.org/officeDocument/2006/relationships/hyperlink" Target="https://www.britannica.com/topic/Der-Ring-des-Nibelungen" TargetMode="External"/><Relationship Id="rId5" Type="http://schemas.openxmlformats.org/officeDocument/2006/relationships/hyperlink" Target="https://doi.org/10.1017/S1479244310000223" TargetMode="External"/><Relationship Id="rId4" Type="http://schemas.openxmlformats.org/officeDocument/2006/relationships/hyperlink" Target="https://www.newyorker.com/magazine/2012/04/09/wild-west-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11</cp:revision>
  <dcterms:created xsi:type="dcterms:W3CDTF">2020-04-24T14:41:00Z</dcterms:created>
  <dcterms:modified xsi:type="dcterms:W3CDTF">2020-04-24T15:03:00Z</dcterms:modified>
</cp:coreProperties>
</file>