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D9BF" w14:textId="355649CE" w:rsidR="00FD6170" w:rsidRPr="00C82C77" w:rsidRDefault="00FD6170">
      <w:pPr>
        <w:rPr>
          <w:b/>
          <w:lang w:val="pt-BR"/>
        </w:rPr>
      </w:pPr>
      <w:r w:rsidRPr="00C82C77">
        <w:rPr>
          <w:b/>
          <w:lang w:val="pt-BR"/>
        </w:rPr>
        <w:t>Análise de ruído dos sinais.</w:t>
      </w:r>
    </w:p>
    <w:p w14:paraId="739C7216" w14:textId="77777777" w:rsidR="00FD6170" w:rsidRDefault="00FD6170">
      <w:pPr>
        <w:rPr>
          <w:lang w:val="pt-BR"/>
        </w:rPr>
      </w:pPr>
    </w:p>
    <w:p w14:paraId="65A5761E" w14:textId="46923F8A" w:rsidR="009A1BED" w:rsidRDefault="002F21C1">
      <w:pPr>
        <w:rPr>
          <w:lang w:val="pt-BR"/>
        </w:rPr>
      </w:pPr>
      <w:r>
        <w:rPr>
          <w:lang w:val="pt-BR"/>
        </w:rPr>
        <w:t>A an</w:t>
      </w:r>
      <w:r w:rsidR="00FD6170">
        <w:rPr>
          <w:lang w:val="pt-BR"/>
        </w:rPr>
        <w:t>á</w:t>
      </w:r>
      <w:r>
        <w:rPr>
          <w:lang w:val="pt-BR"/>
        </w:rPr>
        <w:t xml:space="preserve">lise de </w:t>
      </w:r>
      <w:proofErr w:type="spellStart"/>
      <w:r>
        <w:rPr>
          <w:lang w:val="pt-BR"/>
        </w:rPr>
        <w:t>ruido</w:t>
      </w:r>
      <w:proofErr w:type="spellEnd"/>
      <w:r>
        <w:rPr>
          <w:lang w:val="pt-BR"/>
        </w:rPr>
        <w:t xml:space="preserve"> dos sinais digitalizados foi feita utilizando a função SNR do </w:t>
      </w:r>
      <w:proofErr w:type="spellStart"/>
      <w:r>
        <w:rPr>
          <w:lang w:val="pt-BR"/>
        </w:rPr>
        <w:t>matlab</w:t>
      </w:r>
      <w:proofErr w:type="spellEnd"/>
      <w:r>
        <w:rPr>
          <w:lang w:val="pt-BR"/>
        </w:rPr>
        <w:t>.</w:t>
      </w:r>
    </w:p>
    <w:p w14:paraId="1795F303" w14:textId="5FAB39EE" w:rsidR="002F21C1" w:rsidRDefault="002F21C1">
      <w:pPr>
        <w:rPr>
          <w:lang w:val="pt-BR"/>
        </w:rPr>
      </w:pPr>
      <w:r>
        <w:rPr>
          <w:lang w:val="pt-BR"/>
        </w:rPr>
        <w:t xml:space="preserve">Dado um sinal senoidal x, </w:t>
      </w:r>
      <w:r w:rsidR="00FD6170">
        <w:rPr>
          <w:lang w:val="pt-BR"/>
        </w:rPr>
        <w:t xml:space="preserve">o comando </w:t>
      </w:r>
      <w:proofErr w:type="spellStart"/>
      <w:r w:rsidR="00FD6170">
        <w:rPr>
          <w:lang w:val="pt-BR"/>
        </w:rPr>
        <w:t>s</w:t>
      </w:r>
      <w:r>
        <w:rPr>
          <w:lang w:val="pt-BR"/>
        </w:rPr>
        <w:t>nr</w:t>
      </w:r>
      <w:proofErr w:type="spellEnd"/>
      <w:r>
        <w:rPr>
          <w:lang w:val="pt-BR"/>
        </w:rPr>
        <w:t>(</w:t>
      </w:r>
      <w:proofErr w:type="spellStart"/>
      <w:proofErr w:type="gramStart"/>
      <w:r>
        <w:rPr>
          <w:lang w:val="pt-BR"/>
        </w:rPr>
        <w:t>x,Fs</w:t>
      </w:r>
      <w:proofErr w:type="spellEnd"/>
      <w:proofErr w:type="gramEnd"/>
      <w:r>
        <w:rPr>
          <w:lang w:val="pt-BR"/>
        </w:rPr>
        <w:t>) dá estimativa de SNR (ignorando os 6 primeiros harmônicos por default.)</w:t>
      </w:r>
      <w:r w:rsidR="00FD6170">
        <w:rPr>
          <w:lang w:val="pt-BR"/>
        </w:rPr>
        <w:t xml:space="preserve"> </w:t>
      </w:r>
      <w:r>
        <w:rPr>
          <w:lang w:val="pt-BR"/>
        </w:rPr>
        <w:t xml:space="preserve">Fiz </w:t>
      </w:r>
      <w:r w:rsidR="00FD6170">
        <w:rPr>
          <w:lang w:val="pt-BR"/>
        </w:rPr>
        <w:t>algumas simulações</w:t>
      </w:r>
      <w:r>
        <w:rPr>
          <w:lang w:val="pt-BR"/>
        </w:rPr>
        <w:t xml:space="preserve"> com sinais </w:t>
      </w:r>
      <w:r w:rsidR="00FD6170">
        <w:rPr>
          <w:lang w:val="pt-BR"/>
        </w:rPr>
        <w:t xml:space="preserve">gerados digitalmente </w:t>
      </w:r>
      <w:r>
        <w:rPr>
          <w:lang w:val="pt-BR"/>
        </w:rPr>
        <w:t>com o ruído controlado e o resultado é satisfatório</w:t>
      </w:r>
      <w:r w:rsidR="00FD6170">
        <w:rPr>
          <w:lang w:val="pt-BR"/>
        </w:rPr>
        <w:t xml:space="preserve"> (referência: </w:t>
      </w:r>
      <w:hyperlink r:id="rId5" w:history="1">
        <w:r w:rsidR="00FD6170" w:rsidRPr="00EB6381">
          <w:rPr>
            <w:rStyle w:val="Hyperlink"/>
            <w:lang w:val="pt-BR"/>
          </w:rPr>
          <w:t>https://www.mathworks.com/help/signal/ref/snr.html</w:t>
        </w:r>
      </w:hyperlink>
      <w:r w:rsidR="00FD6170">
        <w:rPr>
          <w:lang w:val="pt-BR"/>
        </w:rPr>
        <w:t xml:space="preserve"> ).</w:t>
      </w:r>
    </w:p>
    <w:p w14:paraId="1EE2106E" w14:textId="0F4460BF" w:rsidR="002F21C1" w:rsidRDefault="002F21C1">
      <w:pPr>
        <w:rPr>
          <w:lang w:val="pt-BR"/>
        </w:rPr>
      </w:pPr>
      <w:r>
        <w:rPr>
          <w:lang w:val="pt-BR"/>
        </w:rPr>
        <w:t xml:space="preserve">Os sinais digitalizados na montagem utilizada apresentam, por este método, ruídos da ordem de 51 dB. Bem pior do que as simulações que foram feitas, infelizmente. </w:t>
      </w:r>
      <w:r w:rsidR="001C7BD0">
        <w:rPr>
          <w:lang w:val="pt-BR"/>
        </w:rPr>
        <w:t xml:space="preserve">Realizei diversas análises como estas, para </w:t>
      </w:r>
      <w:r w:rsidR="00FD6170">
        <w:rPr>
          <w:lang w:val="pt-BR"/>
        </w:rPr>
        <w:t xml:space="preserve">sinais </w:t>
      </w:r>
      <w:r w:rsidR="001C7BD0">
        <w:rPr>
          <w:lang w:val="pt-BR"/>
        </w:rPr>
        <w:t>amostrados</w:t>
      </w:r>
      <w:r w:rsidR="00FD6170">
        <w:rPr>
          <w:lang w:val="pt-BR"/>
        </w:rPr>
        <w:t xml:space="preserve"> em estado estacionário ou </w:t>
      </w:r>
      <w:r w:rsidR="001C7BD0">
        <w:rPr>
          <w:lang w:val="pt-BR"/>
        </w:rPr>
        <w:t>trechos dos sinais que não contenham os saltos. Todos são da mesma ordem de 51 dB.</w:t>
      </w:r>
      <w:r w:rsidR="00FD6170">
        <w:rPr>
          <w:lang w:val="pt-BR"/>
        </w:rPr>
        <w:t xml:space="preserve"> Isto indica mais uma vez o problema do AWG</w:t>
      </w:r>
      <w:r w:rsidR="00C82C77">
        <w:rPr>
          <w:lang w:val="pt-BR"/>
        </w:rPr>
        <w:t xml:space="preserve"> utilizado</w:t>
      </w:r>
      <w:r w:rsidR="00FD6170">
        <w:rPr>
          <w:lang w:val="pt-BR"/>
        </w:rPr>
        <w:t xml:space="preserve"> para este tipo de aplicação.</w:t>
      </w:r>
      <w:r w:rsidR="001C7BD0">
        <w:rPr>
          <w:lang w:val="pt-BR"/>
        </w:rPr>
        <w:t xml:space="preserve"> </w:t>
      </w:r>
    </w:p>
    <w:p w14:paraId="7F217B18" w14:textId="48612761" w:rsidR="001C7BD0" w:rsidRDefault="001C7BD0">
      <w:pPr>
        <w:rPr>
          <w:lang w:val="pt-BR"/>
        </w:rPr>
      </w:pPr>
      <w:r w:rsidRPr="001C7BD0">
        <w:rPr>
          <w:noProof/>
          <w:lang w:val="pt-BR"/>
        </w:rPr>
        <w:drawing>
          <wp:inline distT="0" distB="0" distL="0" distR="0" wp14:anchorId="459E0E79" wp14:editId="62667020">
            <wp:extent cx="4142451" cy="31030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025" cy="310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04F6" w14:textId="6267D541" w:rsidR="001C7BD0" w:rsidRDefault="001C7BD0">
      <w:pPr>
        <w:rPr>
          <w:lang w:val="pt-BR"/>
        </w:rPr>
      </w:pPr>
    </w:p>
    <w:p w14:paraId="446D0D35" w14:textId="6155CF52" w:rsidR="00C82C77" w:rsidRPr="00C82C77" w:rsidRDefault="00C82C77">
      <w:pPr>
        <w:rPr>
          <w:b/>
          <w:lang w:val="pt-BR"/>
        </w:rPr>
      </w:pPr>
      <w:r w:rsidRPr="00C82C77">
        <w:rPr>
          <w:b/>
          <w:lang w:val="pt-BR"/>
        </w:rPr>
        <w:t xml:space="preserve">Efeito na detecção de </w:t>
      </w:r>
      <m:oMath>
        <m:r>
          <m:rPr>
            <m:sty m:val="bi"/>
          </m:rPr>
          <w:rPr>
            <w:rFonts w:ascii="Cambria Math" w:hAnsi="Cambria Math"/>
            <w:lang w:val="pt-BR"/>
          </w:rPr>
          <m:t>τ</m:t>
        </m:r>
      </m:oMath>
    </w:p>
    <w:p w14:paraId="60AD4DC1" w14:textId="7968CFF9" w:rsidR="00CE7217" w:rsidRDefault="002F21C1">
      <w:pPr>
        <w:rPr>
          <w:lang w:val="pt-BR"/>
        </w:rPr>
      </w:pPr>
      <w:r>
        <w:rPr>
          <w:lang w:val="pt-BR"/>
        </w:rPr>
        <w:t xml:space="preserve">Refazendo as análises para a detecção de </w:t>
      </w:r>
      <m:oMath>
        <m:r>
          <w:rPr>
            <w:rFonts w:ascii="Cambria Math" w:hAnsi="Cambria Math"/>
            <w:lang w:val="pt-BR"/>
          </w:rPr>
          <m:t>τ</m:t>
        </m:r>
      </m:oMath>
      <w:r>
        <w:rPr>
          <w:lang w:val="pt-BR"/>
        </w:rPr>
        <w:t xml:space="preserve">, percebo que em geral a consideração de erro máximo de </w:t>
      </w:r>
      <m:oMath>
        <m:r>
          <w:rPr>
            <w:rFonts w:ascii="Cambria Math" w:hAnsi="Cambria Math"/>
            <w:lang w:val="pt-BR"/>
          </w:rPr>
          <m:t>2</m:t>
        </m:r>
        <m:r>
          <m:rPr>
            <m:sty m:val="p"/>
          </m:rPr>
          <w:rPr>
            <w:rFonts w:ascii="Cambria Math" w:hAnsi="Cambria Math"/>
            <w:lang w:val="pt-BR"/>
          </w:rPr>
          <m:t>Δ</m:t>
        </m:r>
        <m:r>
          <w:rPr>
            <w:rFonts w:ascii="Cambria Math" w:hAnsi="Cambria Math"/>
            <w:lang w:val="pt-BR"/>
          </w:rPr>
          <m:t>t</m:t>
        </m:r>
      </m:oMath>
      <w:r>
        <w:rPr>
          <w:lang w:val="pt-BR"/>
        </w:rPr>
        <w:t xml:space="preserve"> se mantém, exceto por duas situações especiais. </w:t>
      </w:r>
    </w:p>
    <w:p w14:paraId="15464529" w14:textId="322103B4" w:rsidR="002F21C1" w:rsidRPr="00CE7217" w:rsidRDefault="002F21C1" w:rsidP="00CE7217">
      <w:pPr>
        <w:pStyle w:val="PargrafodaLista"/>
        <w:numPr>
          <w:ilvl w:val="0"/>
          <w:numId w:val="1"/>
        </w:numPr>
        <w:rPr>
          <w:lang w:val="pt-BR"/>
        </w:rPr>
      </w:pPr>
      <w:r w:rsidRPr="00CE7217">
        <w:rPr>
          <w:lang w:val="pt-BR"/>
        </w:rPr>
        <w:t xml:space="preserve">Para os saltos de fase, quando ocorrem próximo ao ponto de máximo ou mínimo da forma de onda, como no exemplo abaixo, em que o salto </w:t>
      </w:r>
      <w:proofErr w:type="gramStart"/>
      <w:r w:rsidRPr="00CE7217">
        <w:rPr>
          <w:lang w:val="pt-BR"/>
        </w:rPr>
        <w:t>ocorre  na</w:t>
      </w:r>
      <w:proofErr w:type="gramEnd"/>
      <w:r w:rsidRPr="00CE7217">
        <w:rPr>
          <w:lang w:val="pt-BR"/>
        </w:rPr>
        <w:t xml:space="preserve"> amostra 300, mas um componente ruidoso prejudica a estimação. Mas isso ocorre em</w:t>
      </w:r>
      <w:r w:rsidR="00CE7217">
        <w:rPr>
          <w:lang w:val="pt-BR"/>
        </w:rPr>
        <w:t xml:space="preserve"> torno de</w:t>
      </w:r>
      <w:r w:rsidRPr="00CE7217">
        <w:rPr>
          <w:lang w:val="pt-BR"/>
        </w:rPr>
        <w:t xml:space="preserve"> </w:t>
      </w:r>
      <w:r w:rsidR="00CE7217" w:rsidRPr="00CE7217">
        <w:rPr>
          <w:lang w:val="pt-BR"/>
        </w:rPr>
        <w:t>10% das</w:t>
      </w:r>
      <w:r w:rsidRPr="00CE7217">
        <w:rPr>
          <w:lang w:val="pt-BR"/>
        </w:rPr>
        <w:t xml:space="preserve"> vezes a cada 10</w:t>
      </w:r>
      <w:r w:rsidR="00CE7217" w:rsidRPr="00CE7217">
        <w:rPr>
          <w:lang w:val="pt-BR"/>
        </w:rPr>
        <w:t>.</w:t>
      </w:r>
      <w:r w:rsidRPr="00CE7217">
        <w:rPr>
          <w:lang w:val="pt-BR"/>
        </w:rPr>
        <w:t>0</w:t>
      </w:r>
      <w:r w:rsidR="00CE7217" w:rsidRPr="00CE7217">
        <w:rPr>
          <w:lang w:val="pt-BR"/>
        </w:rPr>
        <w:t>0</w:t>
      </w:r>
      <w:r w:rsidRPr="00CE7217">
        <w:rPr>
          <w:lang w:val="pt-BR"/>
        </w:rPr>
        <w:t>0 casos</w:t>
      </w:r>
      <w:r w:rsidR="00CE7217">
        <w:rPr>
          <w:lang w:val="pt-BR"/>
        </w:rPr>
        <w:t xml:space="preserve"> para os saltos positivos e em torno de 7% para os saltos negativos</w:t>
      </w:r>
      <w:r w:rsidRPr="00CE7217">
        <w:rPr>
          <w:lang w:val="pt-BR"/>
        </w:rPr>
        <w:t xml:space="preserve">. </w:t>
      </w:r>
    </w:p>
    <w:p w14:paraId="46E45987" w14:textId="306E5B0E" w:rsidR="002F21C1" w:rsidRDefault="002F21C1">
      <w:pPr>
        <w:rPr>
          <w:lang w:val="pt-BR"/>
        </w:rPr>
      </w:pPr>
    </w:p>
    <w:p w14:paraId="14A7E89A" w14:textId="59BD62AD" w:rsidR="002F21C1" w:rsidRDefault="002F21C1" w:rsidP="00C82C77">
      <w:pPr>
        <w:jc w:val="center"/>
      </w:pPr>
      <w:r w:rsidRPr="002F21C1">
        <w:rPr>
          <w:noProof/>
        </w:rPr>
        <w:lastRenderedPageBreak/>
        <w:drawing>
          <wp:inline distT="0" distB="0" distL="0" distR="0" wp14:anchorId="3C5A9B01" wp14:editId="04C0F231">
            <wp:extent cx="3733574" cy="25538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86"/>
                    <a:stretch/>
                  </pic:blipFill>
                  <pic:spPr bwMode="auto">
                    <a:xfrm>
                      <a:off x="0" y="0"/>
                      <a:ext cx="3743204" cy="256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F7F8E" w14:textId="234D5C54" w:rsidR="00CE7217" w:rsidRDefault="00CE7217"/>
    <w:p w14:paraId="69DBD203" w14:textId="0BFD672C" w:rsidR="00CE7217" w:rsidRDefault="00CE7217" w:rsidP="00CE7217">
      <w:pPr>
        <w:pStyle w:val="PargrafodaLista"/>
        <w:numPr>
          <w:ilvl w:val="0"/>
          <w:numId w:val="1"/>
        </w:numPr>
        <w:rPr>
          <w:lang w:val="pt-BR"/>
        </w:rPr>
      </w:pPr>
      <w:r w:rsidRPr="00CE7217">
        <w:rPr>
          <w:lang w:val="pt-BR"/>
        </w:rPr>
        <w:t>Para os saltos de magnitude,</w:t>
      </w:r>
      <w:r>
        <w:rPr>
          <w:lang w:val="pt-BR"/>
        </w:rPr>
        <w:t xml:space="preserve"> os problemas surgem à medida em que o salto ocorre próximo ao cruzamento por zero. Para os valores de fase inicial relatados no </w:t>
      </w:r>
      <w:proofErr w:type="spellStart"/>
      <w:r>
        <w:rPr>
          <w:lang w:val="pt-BR"/>
        </w:rPr>
        <w:t>paper</w:t>
      </w:r>
      <w:proofErr w:type="spellEnd"/>
      <w:r>
        <w:rPr>
          <w:lang w:val="pt-BR"/>
        </w:rPr>
        <w:t xml:space="preserve"> (0, 120 e -120), não há modificação das conclusões. Para valores próximos a 90graus, o número de ocorrências acima de </w:t>
      </w:r>
      <m:oMath>
        <m:r>
          <w:rPr>
            <w:rFonts w:ascii="Cambria Math" w:hAnsi="Cambria Math"/>
            <w:lang w:val="pt-BR"/>
          </w:rPr>
          <m:t>2</m:t>
        </m:r>
        <m:r>
          <m:rPr>
            <m:sty m:val="p"/>
          </m:rPr>
          <w:rPr>
            <w:rFonts w:ascii="Cambria Math" w:hAnsi="Cambria Math"/>
            <w:lang w:val="pt-BR"/>
          </w:rPr>
          <m:t>Δ</m:t>
        </m:r>
        <m:r>
          <w:rPr>
            <w:rFonts w:ascii="Cambria Math" w:hAnsi="Cambria Math"/>
            <w:lang w:val="pt-BR"/>
          </w:rPr>
          <m:t>t</m:t>
        </m:r>
      </m:oMath>
      <w:r>
        <w:rPr>
          <w:lang w:val="pt-BR"/>
        </w:rPr>
        <w:t xml:space="preserve"> de erro na estimação de tau varia:</w:t>
      </w:r>
    </w:p>
    <w:p w14:paraId="708AC337" w14:textId="2DE9C772" w:rsidR="00CE7217" w:rsidRDefault="00CE7217" w:rsidP="00CE7217">
      <w:pPr>
        <w:rPr>
          <w:lang w:val="pt-BR"/>
        </w:rPr>
      </w:pPr>
      <w:r>
        <w:rPr>
          <w:lang w:val="pt-BR"/>
        </w:rPr>
        <w:t xml:space="preserve"> </w:t>
      </w:r>
    </w:p>
    <w:tbl>
      <w:tblPr>
        <w:tblStyle w:val="Tabelacomgrade"/>
        <w:tblW w:w="0" w:type="auto"/>
        <w:tblInd w:w="3775" w:type="dxa"/>
        <w:tblLook w:val="04A0" w:firstRow="1" w:lastRow="0" w:firstColumn="1" w:lastColumn="0" w:noHBand="0" w:noVBand="1"/>
      </w:tblPr>
      <w:tblGrid>
        <w:gridCol w:w="900"/>
        <w:gridCol w:w="900"/>
      </w:tblGrid>
      <w:tr w:rsidR="00CE7217" w14:paraId="0AE91375" w14:textId="77777777" w:rsidTr="00CE7217">
        <w:tc>
          <w:tcPr>
            <w:tcW w:w="900" w:type="dxa"/>
          </w:tcPr>
          <w:p w14:paraId="5A127BCB" w14:textId="0E01D313" w:rsidR="00CE7217" w:rsidRDefault="00CE7217" w:rsidP="00CE7217">
            <w:pPr>
              <w:rPr>
                <w:lang w:val="pt-BR"/>
              </w:rPr>
            </w:pPr>
            <w:r>
              <w:rPr>
                <w:lang w:val="pt-BR"/>
              </w:rPr>
              <w:t>Fase inicial [graus]</w:t>
            </w:r>
          </w:p>
        </w:tc>
        <w:tc>
          <w:tcPr>
            <w:tcW w:w="900" w:type="dxa"/>
          </w:tcPr>
          <w:p w14:paraId="3D0B58C9" w14:textId="16D41FCF" w:rsidR="00CE7217" w:rsidRDefault="00CE7217" w:rsidP="00CE7217">
            <w:pPr>
              <w:rPr>
                <w:lang w:val="pt-BR"/>
              </w:rPr>
            </w:pPr>
            <w:r>
              <w:rPr>
                <w:lang w:val="pt-BR"/>
              </w:rPr>
              <w:t># erros &gt;</w:t>
            </w:r>
            <m:oMath>
              <m:r>
                <w:rPr>
                  <w:rFonts w:ascii="Cambria Math" w:hAnsi="Cambria Math"/>
                  <w:lang w:val="pt-B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Δ</m:t>
              </m:r>
              <m:r>
                <w:rPr>
                  <w:rFonts w:ascii="Cambria Math" w:hAnsi="Cambria Math"/>
                  <w:lang w:val="pt-BR"/>
                </w:rPr>
                <m:t>t</m:t>
              </m:r>
            </m:oMath>
          </w:p>
          <w:p w14:paraId="12240539" w14:textId="19E84452" w:rsidR="00CE7217" w:rsidRDefault="00CE7217" w:rsidP="00CE7217">
            <w:pPr>
              <w:rPr>
                <w:lang w:val="pt-BR"/>
              </w:rPr>
            </w:pPr>
            <w:r>
              <w:rPr>
                <w:lang w:val="pt-BR"/>
              </w:rPr>
              <w:t>[%]</w:t>
            </w:r>
          </w:p>
        </w:tc>
      </w:tr>
      <w:tr w:rsidR="00CE7217" w14:paraId="14521B14" w14:textId="77777777" w:rsidTr="00CE7217">
        <w:tc>
          <w:tcPr>
            <w:tcW w:w="900" w:type="dxa"/>
          </w:tcPr>
          <w:p w14:paraId="2A9C2860" w14:textId="00C3C71C" w:rsidR="00CE7217" w:rsidRDefault="00CE7217" w:rsidP="00CE7217">
            <w:pPr>
              <w:rPr>
                <w:lang w:val="pt-BR"/>
              </w:rPr>
            </w:pPr>
            <w:r>
              <w:rPr>
                <w:lang w:val="pt-BR"/>
              </w:rPr>
              <w:t>75</w:t>
            </w:r>
          </w:p>
        </w:tc>
        <w:tc>
          <w:tcPr>
            <w:tcW w:w="900" w:type="dxa"/>
          </w:tcPr>
          <w:p w14:paraId="43C5BF8B" w14:textId="7C95238C" w:rsidR="00CE7217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4D3700" w14:paraId="3774FAE2" w14:textId="77777777" w:rsidTr="00CE7217">
        <w:tc>
          <w:tcPr>
            <w:tcW w:w="900" w:type="dxa"/>
          </w:tcPr>
          <w:p w14:paraId="02DD194F" w14:textId="57397A2C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80</w:t>
            </w:r>
          </w:p>
        </w:tc>
        <w:tc>
          <w:tcPr>
            <w:tcW w:w="900" w:type="dxa"/>
          </w:tcPr>
          <w:p w14:paraId="77209159" w14:textId="44CDCBFB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</w:tr>
      <w:tr w:rsidR="004D3700" w14:paraId="79459270" w14:textId="77777777" w:rsidTr="00CE7217">
        <w:tc>
          <w:tcPr>
            <w:tcW w:w="900" w:type="dxa"/>
          </w:tcPr>
          <w:p w14:paraId="6D0FC9AC" w14:textId="61A77755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85</w:t>
            </w:r>
          </w:p>
        </w:tc>
        <w:tc>
          <w:tcPr>
            <w:tcW w:w="900" w:type="dxa"/>
          </w:tcPr>
          <w:p w14:paraId="11B8CAB7" w14:textId="5945C38C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62</w:t>
            </w:r>
          </w:p>
        </w:tc>
      </w:tr>
      <w:tr w:rsidR="004D3700" w14:paraId="33D8C2A2" w14:textId="77777777" w:rsidTr="00CE7217">
        <w:tc>
          <w:tcPr>
            <w:tcW w:w="900" w:type="dxa"/>
          </w:tcPr>
          <w:p w14:paraId="6CB13D8C" w14:textId="760D5B9D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90</w:t>
            </w:r>
          </w:p>
        </w:tc>
        <w:tc>
          <w:tcPr>
            <w:tcW w:w="900" w:type="dxa"/>
          </w:tcPr>
          <w:p w14:paraId="669316A6" w14:textId="556F4F90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94</w:t>
            </w:r>
          </w:p>
        </w:tc>
      </w:tr>
      <w:tr w:rsidR="004D3700" w14:paraId="1171E0AC" w14:textId="77777777" w:rsidTr="00CE7217">
        <w:tc>
          <w:tcPr>
            <w:tcW w:w="900" w:type="dxa"/>
          </w:tcPr>
          <w:p w14:paraId="75E3AE90" w14:textId="13F01846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95</w:t>
            </w:r>
          </w:p>
        </w:tc>
        <w:tc>
          <w:tcPr>
            <w:tcW w:w="900" w:type="dxa"/>
          </w:tcPr>
          <w:p w14:paraId="3AACC798" w14:textId="31B05F9C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78</w:t>
            </w:r>
          </w:p>
        </w:tc>
      </w:tr>
      <w:tr w:rsidR="004D3700" w14:paraId="3B98E95E" w14:textId="77777777" w:rsidTr="00CE7217">
        <w:tc>
          <w:tcPr>
            <w:tcW w:w="900" w:type="dxa"/>
          </w:tcPr>
          <w:p w14:paraId="71A8C92F" w14:textId="001FCE69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900" w:type="dxa"/>
          </w:tcPr>
          <w:p w14:paraId="733B0E1A" w14:textId="6F5B609A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</w:tr>
      <w:tr w:rsidR="004D3700" w14:paraId="730F6622" w14:textId="77777777" w:rsidTr="00CE7217">
        <w:tc>
          <w:tcPr>
            <w:tcW w:w="900" w:type="dxa"/>
          </w:tcPr>
          <w:p w14:paraId="3CF6B15C" w14:textId="781A59BA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105</w:t>
            </w:r>
          </w:p>
        </w:tc>
        <w:tc>
          <w:tcPr>
            <w:tcW w:w="900" w:type="dxa"/>
          </w:tcPr>
          <w:p w14:paraId="5EFEE120" w14:textId="52043E2E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4D3700" w14:paraId="584B3EB2" w14:textId="77777777" w:rsidTr="00CE7217">
        <w:tc>
          <w:tcPr>
            <w:tcW w:w="900" w:type="dxa"/>
          </w:tcPr>
          <w:p w14:paraId="72F80EA2" w14:textId="768C8E55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110</w:t>
            </w:r>
          </w:p>
        </w:tc>
        <w:tc>
          <w:tcPr>
            <w:tcW w:w="900" w:type="dxa"/>
          </w:tcPr>
          <w:p w14:paraId="315656C3" w14:textId="093D4632" w:rsidR="004D3700" w:rsidRDefault="004D3700" w:rsidP="00CE7217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5B10BA52" w14:textId="0125030E" w:rsidR="00CE7217" w:rsidRDefault="00CE7217" w:rsidP="00C82C77">
      <w:pPr>
        <w:jc w:val="center"/>
        <w:rPr>
          <w:lang w:val="pt-BR"/>
        </w:rPr>
      </w:pPr>
    </w:p>
    <w:p w14:paraId="77C3F27D" w14:textId="308466C8" w:rsidR="00C82C77" w:rsidRDefault="00C82C77" w:rsidP="00CE7217">
      <w:pPr>
        <w:rPr>
          <w:lang w:val="pt-BR"/>
        </w:rPr>
      </w:pPr>
      <w:r>
        <w:rPr>
          <w:lang w:val="pt-BR"/>
        </w:rPr>
        <w:t>No caso exemplificado no gráfico a seguir</w:t>
      </w:r>
      <w:r w:rsidR="004D3700">
        <w:rPr>
          <w:lang w:val="pt-BR"/>
        </w:rPr>
        <w:t>, a fase inicial é de 75 graus. O salto de magnitude ocorre na amostra 250, mas o ruído alto atrapalha a detecção.</w:t>
      </w:r>
    </w:p>
    <w:p w14:paraId="04E08055" w14:textId="33FF6CA8" w:rsidR="004D3700" w:rsidRDefault="004D3700" w:rsidP="00CE7217">
      <w:pPr>
        <w:rPr>
          <w:lang w:val="pt-BR"/>
        </w:rPr>
      </w:pPr>
      <w:r>
        <w:rPr>
          <w:lang w:val="pt-BR"/>
        </w:rPr>
        <w:lastRenderedPageBreak/>
        <w:t xml:space="preserve"> </w:t>
      </w:r>
      <w:r w:rsidR="00C82C77" w:rsidRPr="004D3700">
        <w:rPr>
          <w:noProof/>
          <w:lang w:val="pt-BR"/>
        </w:rPr>
        <w:drawing>
          <wp:inline distT="0" distB="0" distL="0" distR="0" wp14:anchorId="1C9A0BD0" wp14:editId="716D570F">
            <wp:extent cx="4191000" cy="28830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66"/>
                    <a:stretch/>
                  </pic:blipFill>
                  <pic:spPr bwMode="auto">
                    <a:xfrm>
                      <a:off x="0" y="0"/>
                      <a:ext cx="4207669" cy="28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84A23" w14:textId="18410A24" w:rsidR="00C82C77" w:rsidRDefault="00C82C77" w:rsidP="00CE7217">
      <w:pPr>
        <w:rPr>
          <w:lang w:val="pt-BR"/>
        </w:rPr>
      </w:pPr>
    </w:p>
    <w:p w14:paraId="122ED05C" w14:textId="7A3AF5E3" w:rsidR="00C82C77" w:rsidRDefault="00C82C77" w:rsidP="00CE7217">
      <w:pPr>
        <w:rPr>
          <w:b/>
          <w:lang w:val="pt-BR"/>
        </w:rPr>
      </w:pPr>
      <w:r w:rsidRPr="00C82C77">
        <w:rPr>
          <w:b/>
          <w:lang w:val="pt-BR"/>
        </w:rPr>
        <w:t>Efeitos nos demais parâmetros</w:t>
      </w:r>
      <w:r w:rsidR="00746130">
        <w:rPr>
          <w:b/>
          <w:lang w:val="pt-BR"/>
        </w:rPr>
        <w:t xml:space="preserve"> - LM</w:t>
      </w:r>
    </w:p>
    <w:p w14:paraId="09629CBB" w14:textId="3FD9EB67" w:rsidR="00C82C77" w:rsidRDefault="00423B4D" w:rsidP="00CE7217">
      <w:pPr>
        <w:rPr>
          <w:lang w:val="pt-BR"/>
        </w:rPr>
      </w:pPr>
      <w:r>
        <w:rPr>
          <w:lang w:val="pt-BR"/>
        </w:rPr>
        <w:t xml:space="preserve">Eu sinceramente não esperava obter um crescimento tão grande, mas </w:t>
      </w:r>
      <w:r w:rsidR="00BF04A5">
        <w:rPr>
          <w:lang w:val="pt-BR"/>
        </w:rPr>
        <w:t xml:space="preserve">simulações preliminares </w:t>
      </w:r>
      <w:r w:rsidR="00746130">
        <w:rPr>
          <w:lang w:val="pt-BR"/>
        </w:rPr>
        <w:t xml:space="preserve">da estimação dos parâmetros </w:t>
      </w:r>
      <w:r w:rsidR="00BF04A5">
        <w:rPr>
          <w:lang w:val="pt-BR"/>
        </w:rPr>
        <w:t xml:space="preserve">com </w:t>
      </w:r>
      <w:r w:rsidR="00746130">
        <w:rPr>
          <w:lang w:val="pt-BR"/>
        </w:rPr>
        <w:t xml:space="preserve">SNR = </w:t>
      </w:r>
      <w:r w:rsidR="00BF04A5">
        <w:rPr>
          <w:lang w:val="pt-BR"/>
        </w:rPr>
        <w:t>50dB estão mostrando desvios padrão 100x maiores. Isso praticamente dá a ordem de grandeza das variações observadas</w:t>
      </w:r>
      <w:r w:rsidR="00746130">
        <w:rPr>
          <w:lang w:val="pt-BR"/>
        </w:rPr>
        <w:t xml:space="preserve">. Se for isso mesmo, o que está mostrado nas figuras 9 a 12 é praticamente </w:t>
      </w:r>
      <w:r w:rsidR="007D7563">
        <w:rPr>
          <w:lang w:val="pt-BR"/>
        </w:rPr>
        <w:t xml:space="preserve">o efeito do </w:t>
      </w:r>
      <w:r w:rsidR="00746130">
        <w:rPr>
          <w:lang w:val="pt-BR"/>
        </w:rPr>
        <w:t>ruído da fonte</w:t>
      </w:r>
      <w:r w:rsidR="007D7563">
        <w:rPr>
          <w:lang w:val="pt-BR"/>
        </w:rPr>
        <w:t xml:space="preserve"> no estimador LM</w:t>
      </w:r>
      <w:bookmarkStart w:id="0" w:name="_GoBack"/>
      <w:bookmarkEnd w:id="0"/>
      <w:r w:rsidR="00746130">
        <w:rPr>
          <w:lang w:val="pt-BR"/>
        </w:rPr>
        <w:t>.</w:t>
      </w:r>
    </w:p>
    <w:p w14:paraId="31EC7101" w14:textId="56B81212" w:rsidR="00C82C77" w:rsidRDefault="00C82C77" w:rsidP="00CE7217">
      <w:pPr>
        <w:rPr>
          <w:lang w:val="pt-BR"/>
        </w:rPr>
      </w:pPr>
    </w:p>
    <w:p w14:paraId="6E9A2D27" w14:textId="77777777" w:rsidR="00C82C77" w:rsidRPr="00C82C77" w:rsidRDefault="00C82C77" w:rsidP="00CE7217">
      <w:pPr>
        <w:rPr>
          <w:lang w:val="pt-BR"/>
        </w:rPr>
      </w:pPr>
    </w:p>
    <w:sectPr w:rsidR="00C82C77" w:rsidRPr="00C8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A0C21"/>
    <w:multiLevelType w:val="hybridMultilevel"/>
    <w:tmpl w:val="7C182762"/>
    <w:lvl w:ilvl="0" w:tplc="3EF47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D4"/>
    <w:rsid w:val="001C7BD0"/>
    <w:rsid w:val="002F21C1"/>
    <w:rsid w:val="00423B4D"/>
    <w:rsid w:val="004D3700"/>
    <w:rsid w:val="004D3F4A"/>
    <w:rsid w:val="00625427"/>
    <w:rsid w:val="00686499"/>
    <w:rsid w:val="006A0247"/>
    <w:rsid w:val="00746130"/>
    <w:rsid w:val="0074741D"/>
    <w:rsid w:val="007D7563"/>
    <w:rsid w:val="00A454BD"/>
    <w:rsid w:val="00B108D4"/>
    <w:rsid w:val="00BF04A5"/>
    <w:rsid w:val="00C82C77"/>
    <w:rsid w:val="00CE7217"/>
    <w:rsid w:val="00EE07E7"/>
    <w:rsid w:val="00FD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91AA"/>
  <w15:chartTrackingRefBased/>
  <w15:docId w15:val="{F3B92306-81E8-4E3F-B5BB-381F4E0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217"/>
    <w:pPr>
      <w:ind w:left="720"/>
      <w:contextualSpacing/>
    </w:pPr>
  </w:style>
  <w:style w:type="table" w:styleId="Tabelacomgrade">
    <w:name w:val="Table Grid"/>
    <w:basedOn w:val="Tabelanormal"/>
    <w:uiPriority w:val="39"/>
    <w:rsid w:val="00CE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D61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mathworks.com/help/signal/ref/sn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Britto Martins</dc:creator>
  <cp:keywords/>
  <dc:description/>
  <cp:lastModifiedBy>Marcelo Britto Martins</cp:lastModifiedBy>
  <cp:revision>6</cp:revision>
  <dcterms:created xsi:type="dcterms:W3CDTF">2018-10-16T03:24:00Z</dcterms:created>
  <dcterms:modified xsi:type="dcterms:W3CDTF">2018-10-16T04:58:00Z</dcterms:modified>
</cp:coreProperties>
</file>