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Acta Constitutiva del Proyecto de Neuroeducación Preescolar (3–6 años)</w:t>
      </w:r>
    </w:p>
    <w:p>
      <w:pPr>
        <w:pStyle w:val="Subtitle"/>
      </w:pPr>
      <w:r>
        <w:rPr>
          <w:lang w:val="es-ES"/>
        </w:rPr>
        <w:t xml:space="preserve">Guía y métrica del proyecto · Borrador v0.5 para aprobación (enmiendas v0.2–v0.5 incorporadas)</w:t>
      </w:r>
    </w:p>
    <w:p>
      <w:pPr>
        <w:pStyle w:val="Author"/>
      </w:pPr>
      <w:r>
        <w:rPr>
          <w:lang w:val="es-ES"/>
        </w:rPr>
        <w:t xml:space="preserve">Acta Constitutiva · Proyecto Programa Sintético</w:t>
      </w:r>
    </w:p>
    <w:p>
      <w:pPr>
        <w:pStyle w:val="Date"/>
      </w:pPr>
      <w:r>
        <w:rPr>
          <w:lang w:val="es-ES"/>
        </w:rPr>
        <w:t xml:space="preserve">Fase 4 · borrador v0.5 · 28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Documento fundacional · Serie de Neuroeducación · Proyecto Programa Sintético · 28 de septiembre de 2026</w:t>
      </w:r>
      <w:r>
        <w:rPr>
          <w:lang w:val="es-ES"/>
        </w:rPr>
        <w:t xml:space="preserve"> </w:t>
      </w:r>
      <w:r>
        <w:rPr>
          <w:i/>
          <w:iCs/>
          <w:lang w:val="es-ES"/>
        </w:rPr>
        <w:t xml:space="preserve">Estado:</w:t>
      </w:r>
      <w:r>
        <w:rPr>
          <w:i/>
          <w:iCs/>
          <w:lang w:val="es-ES"/>
        </w:rPr>
        <w:t xml:space="preserve"> </w:t>
      </w:r>
      <w:r>
        <w:rPr>
          <w:b/>
          <w:bCs/>
          <w:i/>
          <w:iCs/>
          <w:lang w:val="es-ES"/>
        </w:rPr>
        <w:t xml:space="preserve">borrador para revisión</w:t>
      </w:r>
      <w:r>
        <w:rPr>
          <w:i/>
          <w:iCs/>
          <w:lang w:val="es-ES"/>
        </w:rPr>
        <w:t xml:space="preserve"> </w:t>
      </w:r>
      <w:r>
        <w:rPr>
          <w:i/>
          <w:iCs/>
          <w:lang w:val="es-ES"/>
        </w:rPr>
        <w:t xml:space="preserve">— entra en vigor al firmarse (Artículo 27) · Anexos: ver Artículo 28</w:t>
      </w:r>
    </w:p>
    <w:p>
      <w:r>
        <w:pict>
          <v:rect style="width:0;height:1.5pt" o:hralign="center" o:hrstd="t" o:hr="t"/>
        </w:pict>
      </w:r>
    </w:p>
    <w:bookmarkStart w:id="9" w:name="preámbulo"/>
    <w:p>
      <w:pPr>
        <w:pStyle w:val="Heading2"/>
      </w:pPr>
      <w:r>
        <w:rPr>
          <w:lang w:val="es-ES"/>
        </w:rPr>
        <w:t xml:space="preserve">Preámbulo</w:t>
      </w:r>
    </w:p>
    <w:p>
      <w:pPr>
        <w:pStyle w:val="FirstParagraph"/>
      </w:pPr>
      <w:r>
        <w:rPr>
          <w:lang w:val="es-ES"/>
        </w:rPr>
        <w:t xml:space="preserve">Este documento es la</w:t>
      </w:r>
      <w:r>
        <w:rPr>
          <w:lang w:val="es-ES"/>
        </w:rPr>
        <w:t xml:space="preserve"> </w:t>
      </w:r>
      <w:r>
        <w:rPr>
          <w:b/>
          <w:bCs/>
          <w:lang w:val="es-ES"/>
        </w:rPr>
        <w:t xml:space="preserve">guía</w:t>
      </w:r>
      <w:r>
        <w:rPr>
          <w:lang w:val="es-ES"/>
        </w:rPr>
        <w:t xml:space="preserve"> </w:t>
      </w:r>
      <w:r>
        <w:rPr>
          <w:lang w:val="es-ES"/>
        </w:rPr>
        <w:t xml:space="preserve">que orienta todas las decisiones del proyecto y la</w:t>
      </w:r>
      <w:r>
        <w:rPr>
          <w:lang w:val="es-ES"/>
        </w:rPr>
        <w:t xml:space="preserve"> </w:t>
      </w:r>
      <w:r>
        <w:rPr>
          <w:b/>
          <w:bCs/>
          <w:lang w:val="es-ES"/>
        </w:rPr>
        <w:t xml:space="preserve">métrica</w:t>
      </w:r>
      <w:r>
        <w:rPr>
          <w:lang w:val="es-ES"/>
        </w:rPr>
        <w:t xml:space="preserve"> </w:t>
      </w:r>
      <w:r>
        <w:rPr>
          <w:lang w:val="es-ES"/>
        </w:rPr>
        <w:t xml:space="preserve">con la que se juzga su cumplimiento. Reúne, en un solo instrumento: los fundamentos filosóficos del programa, el marco jurídico mexicano y de derechos humanos bajo el cual se ejecuta, la arquitectura de gobernanza, los métodos paidagógico y andragógico, el sistema de indicadores y las condiciones de</w:t>
      </w:r>
      <w:r>
        <w:rPr>
          <w:lang w:val="es-ES"/>
        </w:rPr>
        <w:t xml:space="preserve"> </w:t>
      </w:r>
      <w:r>
        <w:rPr>
          <w:b/>
          <w:bCs/>
          <w:lang w:val="es-ES"/>
        </w:rPr>
        <w:t xml:space="preserve">vigencia decenal con actualización obligatoria</w:t>
      </w:r>
      <w:r>
        <w:rPr>
          <w:lang w:val="es-ES"/>
        </w:rPr>
        <w:t xml:space="preserve"> </w:t>
      </w:r>
      <w:r>
        <w:rPr>
          <w:lang w:val="es-ES"/>
        </w:rPr>
        <w:t xml:space="preserve">a la ciencia y a la ley.</w:t>
      </w:r>
    </w:p>
    <w:p>
      <w:pPr>
        <w:pStyle w:val="BodyText"/>
      </w:pPr>
      <w:r>
        <w:rPr>
          <w:lang w:val="es-ES"/>
        </w:rPr>
        <w:t xml:space="preserve">Se entrega como</w:t>
      </w:r>
      <w:r>
        <w:rPr>
          <w:lang w:val="es-ES"/>
        </w:rPr>
        <w:t xml:space="preserve"> </w:t>
      </w:r>
      <w:r>
        <w:rPr>
          <w:b/>
          <w:bCs/>
          <w:lang w:val="es-ES"/>
        </w:rPr>
        <w:t xml:space="preserve">borrador v0.5</w:t>
      </w:r>
      <w:r>
        <w:rPr>
          <w:lang w:val="es-ES"/>
        </w:rPr>
        <w:t xml:space="preserve"> </w:t>
      </w:r>
      <w:r>
        <w:rPr>
          <w:lang w:val="es-ES"/>
        </w:rPr>
        <w:t xml:space="preserve">con conciencia crítica: el proyecto exigió una Puerta de Aprobación (G1: revisión humana del paquete, piloto de M1 y ficha del plantel) que aún no ha sido firmada. Por eso el Artículo 27 hace de la firma del DoD de G1 la</w:t>
      </w:r>
      <w:r>
        <w:rPr>
          <w:lang w:val="es-ES"/>
        </w:rPr>
        <w:t xml:space="preserve"> </w:t>
      </w:r>
      <w:r>
        <w:rPr>
          <w:b/>
          <w:bCs/>
          <w:lang w:val="es-ES"/>
        </w:rPr>
        <w:t xml:space="preserve">condición de entrada en vigor</w:t>
      </w:r>
      <w:r>
        <w:rPr>
          <w:lang w:val="es-ES"/>
        </w:rPr>
        <w:t xml:space="preserve">: este Acta no se dicta, se</w:t>
      </w:r>
      <w:r>
        <w:rPr>
          <w:lang w:val="es-ES"/>
        </w:rPr>
        <w:t xml:space="preserve"> </w:t>
      </w:r>
      <w:r>
        <w:rPr>
          <w:b/>
          <w:bCs/>
          <w:lang w:val="es-ES"/>
        </w:rPr>
        <w:t xml:space="preserve">aprueba</w:t>
      </w:r>
      <w:r>
        <w:rPr>
          <w:lang w:val="es-ES"/>
        </w:rPr>
        <w:t xml:space="preserve"> </w:t>
      </w:r>
      <w:r>
        <w:rPr>
          <w:lang w:val="es-ES"/>
        </w:rPr>
        <w:t xml:space="preserve">por quienes la van a cumplir. Mientras tanto es un instrumento de trabajo, no una obligación ejecutada.</w:t>
      </w:r>
    </w:p>
    <w:p>
      <w:pPr>
        <w:pStyle w:val="BodyText"/>
      </w:pPr>
      <w:r>
        <w:rPr>
          <w:b/>
          <w:bCs/>
          <w:lang w:val="es-ES"/>
        </w:rPr>
        <w:t xml:space="preserve">Fundamento epistemológico (enmienda v0.2).</w:t>
      </w:r>
      <w:r>
        <w:rPr>
          <w:lang w:val="es-ES"/>
        </w:rPr>
        <w:t xml:space="preserve"> </w:t>
      </w:r>
      <w:r>
        <w:rPr>
          <w:lang w:val="es-ES"/>
        </w:rPr>
        <w:t xml:space="preserve">El proyecto adopta un</w:t>
      </w:r>
      <w:r>
        <w:rPr>
          <w:lang w:val="es-ES"/>
        </w:rPr>
        <w:t xml:space="preserve"> </w:t>
      </w:r>
      <w:r>
        <w:rPr>
          <w:b/>
          <w:bCs/>
          <w:lang w:val="es-ES"/>
        </w:rPr>
        <w:t xml:space="preserve">modelo híbrido de posturas pedagógicas —Raíz–Red—</w:t>
      </w:r>
      <w:r>
        <w:rPr>
          <w:lang w:val="es-ES"/>
        </w:rPr>
        <w:t xml:space="preserve">: raíz secuencial innegociable (derechos, evidencia, cimientos neuro, PDA oficiales) y red emergente construida por cada grupo, comunidad y red de adultos. El híbrido nace del análisis de</w:t>
      </w:r>
      <w:r>
        <w:rPr>
          <w:lang w:val="es-ES"/>
        </w:rPr>
        <w:t xml:space="preserve"> </w:t>
      </w:r>
      <w:r>
        <w:rPr>
          <w:rStyle w:val="VerbatimChar"/>
          <w:lang w:val="es-ES"/>
        </w:rPr>
        <w:t xml:space="preserve">debateformasyalcances.md</w:t>
      </w:r>
      <w:r>
        <w:rPr>
          <w:lang w:val="es-ES"/>
        </w:rPr>
        <w:t xml:space="preserve"> </w:t>
      </w:r>
      <w:r>
        <w:rPr>
          <w:lang w:val="es-ES"/>
        </w:rPr>
        <w:t xml:space="preserve">(secuencia frente a red) y se documenta en</w:t>
      </w:r>
      <w:r>
        <w:rPr>
          <w:lang w:val="es-ES"/>
        </w:rPr>
        <w:t xml:space="preserve"> </w:t>
      </w:r>
      <w:r>
        <w:rPr>
          <w:rStyle w:val="VerbatimChar"/>
          <w:lang w:val="es-ES"/>
        </w:rPr>
        <w:t xml:space="preserve">propuesta-hibrida-de-posturas.md</w:t>
      </w:r>
      <w:r>
        <w:rPr>
          <w:lang w:val="es-ES"/>
        </w:rPr>
        <w:t xml:space="preserve">, anexo de este Acta. El pluralismo de miradas —incluidas sus contraposturas, mencionadas y filtradas— es</w:t>
      </w:r>
      <w:r>
        <w:rPr>
          <w:lang w:val="es-ES"/>
        </w:rPr>
        <w:t xml:space="preserve"> </w:t>
      </w:r>
      <w:r>
        <w:rPr>
          <w:b/>
          <w:bCs/>
          <w:lang w:val="es-ES"/>
        </w:rPr>
        <w:t xml:space="preserve">condición de honestidad del proyecto</w:t>
      </w:r>
      <w:r>
        <w:rPr>
          <w:lang w:val="es-ES"/>
        </w:rPr>
        <w:t xml:space="preserve"> </w:t>
      </w:r>
      <w:r>
        <w:rPr>
          <w:lang w:val="es-ES"/>
        </w:rPr>
        <w:t xml:space="preserve">(AX-3) y no debilidad de método: un Acta que no sabe nombrar sus disidencias no las transforma, las entierra.</w:t>
      </w:r>
    </w:p>
    <w:p>
      <w:pPr>
        <w:pStyle w:val="BodyText"/>
      </w:pPr>
      <w:r>
        <w:rPr>
          <w:b/>
          <w:bCs/>
          <w:lang w:val="es-ES"/>
        </w:rPr>
        <w:t xml:space="preserve">Constancia de la enmienda v0.3 (trazabilidad).</w:t>
      </w:r>
      <w:r>
        <w:rPr>
          <w:lang w:val="es-ES"/>
        </w:rPr>
        <w:t xml:space="preserve"> </w:t>
      </w:r>
      <w:r>
        <w:rPr>
          <w:lang w:val="es-ES"/>
        </w:rPr>
        <w:t xml:space="preserve">Actualización menor registrada bajo el Artículo 25, sin cambios normativos ni de alcance: (i) el Artículo 28 incorpora como anexos las</w:t>
      </w:r>
      <w:r>
        <w:rPr>
          <w:lang w:val="es-ES"/>
        </w:rPr>
        <w:t xml:space="preserve"> </w:t>
      </w:r>
      <w:r>
        <w:rPr>
          <w:b/>
          <w:bCs/>
          <w:lang w:val="es-ES"/>
        </w:rPr>
        <w:t xml:space="preserve">fuentes raíz</w:t>
      </w:r>
      <w:r>
        <w:rPr>
          <w:lang w:val="es-ES"/>
        </w:rPr>
        <w:t xml:space="preserve"> </w:t>
      </w:r>
      <w:r>
        <w:rPr>
          <w:lang w:val="es-ES"/>
        </w:rPr>
        <w:t xml:space="preserve">que el propio Acta cita —</w:t>
      </w:r>
      <w:r>
        <w:rPr>
          <w:rStyle w:val="VerbatimChar"/>
          <w:lang w:val="es-ES"/>
        </w:rPr>
        <w:t xml:space="preserve">Pilares-filosoficos.md</w:t>
      </w:r>
      <w:r>
        <w:rPr>
          <w:lang w:val="es-ES"/>
        </w:rPr>
        <w:t xml:space="preserve">,</w:t>
      </w:r>
      <w:r>
        <w:rPr>
          <w:lang w:val="es-ES"/>
        </w:rPr>
        <w:t xml:space="preserve"> </w:t>
      </w:r>
      <w:r>
        <w:rPr>
          <w:rStyle w:val="VerbatimChar"/>
          <w:lang w:val="es-ES"/>
        </w:rPr>
        <w:t xml:space="preserve">debateformasyalcances.md</w:t>
      </w:r>
      <w:r>
        <w:rPr>
          <w:lang w:val="es-ES"/>
        </w:rPr>
        <w:t xml:space="preserve">,</w:t>
      </w:r>
      <w:r>
        <w:rPr>
          <w:lang w:val="es-ES"/>
        </w:rPr>
        <w:t xml:space="preserve"> </w:t>
      </w:r>
      <w:r>
        <w:rPr>
          <w:rStyle w:val="VerbatimChar"/>
          <w:lang w:val="es-ES"/>
        </w:rPr>
        <w:t xml:space="preserve">tabla1.md</w:t>
      </w:r>
      <w:r>
        <w:rPr>
          <w:lang w:val="es-ES"/>
        </w:rPr>
        <w:t xml:space="preserve">–</w:t>
      </w:r>
      <w:r>
        <w:rPr>
          <w:rStyle w:val="VerbatimChar"/>
          <w:lang w:val="es-ES"/>
        </w:rPr>
        <w:t xml:space="preserve">tabla5.md</w:t>
      </w:r>
      <w:r>
        <w:rPr>
          <w:lang w:val="es-ES"/>
        </w:rPr>
        <w:t xml:space="preserve"> </w:t>
      </w:r>
      <w:r>
        <w:rPr>
          <w:lang w:val="es-ES"/>
        </w:rPr>
        <w:t xml:space="preserve">y</w:t>
      </w:r>
      <w:r>
        <w:rPr>
          <w:lang w:val="es-ES"/>
        </w:rPr>
        <w:t xml:space="preserve"> </w:t>
      </w:r>
      <w:r>
        <w:rPr>
          <w:rStyle w:val="VerbatimChar"/>
          <w:lang w:val="es-ES"/>
        </w:rPr>
        <w:t xml:space="preserve">materialesdeapoyoyreferencias.md</w:t>
      </w:r>
      <w:r>
        <w:rPr>
          <w:lang w:val="es-ES"/>
        </w:rPr>
        <w:t xml:space="preserve"> </w:t>
      </w:r>
      <w:r>
        <w:rPr>
          <w:lang w:val="es-ES"/>
        </w:rPr>
        <w:t xml:space="preserve">con su aporte de contraposturas—; (ii) el Artículo 11 registra la</w:t>
      </w:r>
      <w:r>
        <w:rPr>
          <w:lang w:val="es-ES"/>
        </w:rPr>
        <w:t xml:space="preserve"> </w:t>
      </w:r>
      <w:r>
        <w:rPr>
          <w:b/>
          <w:bCs/>
          <w:lang w:val="es-ES"/>
        </w:rPr>
        <w:t xml:space="preserve">capa epistémica</w:t>
      </w:r>
      <w:r>
        <w:rPr>
          <w:lang w:val="es-ES"/>
        </w:rPr>
        <w:t xml:space="preserve"> </w:t>
      </w:r>
      <w:r>
        <w:rPr>
          <w:lang w:val="es-ES"/>
        </w:rPr>
        <w:t xml:space="preserve">en la columna de cumplido; (iii) se corrige una errata del Artículo 9. El texto anterior (v0.2) queda como referencia en el registro de versiones del sistema de Tandas (Artículo 24).</w:t>
      </w:r>
    </w:p>
    <w:p>
      <w:pPr>
        <w:pStyle w:val="BodyText"/>
      </w:pPr>
      <w:r>
        <w:rPr>
          <w:b/>
          <w:bCs/>
          <w:lang w:val="es-ES"/>
        </w:rPr>
        <w:t xml:space="preserve">Constancia de la enmienda v0.4 (pilares neuro y compendios).</w:t>
      </w:r>
      <w:r>
        <w:rPr>
          <w:lang w:val="es-ES"/>
        </w:rPr>
        <w:t xml:space="preserve"> </w:t>
      </w:r>
      <w:r>
        <w:rPr>
          <w:lang w:val="es-ES"/>
        </w:rPr>
        <w:t xml:space="preserve">Ampliación del Artículo 2 con dos ramas nuevas del eje de Neurociencias —</w:t>
      </w:r>
      <w:r>
        <w:rPr>
          <w:b/>
          <w:bCs/>
          <w:lang w:val="es-ES"/>
        </w:rPr>
        <w:t xml:space="preserve">NeuroAxiología</w:t>
      </w:r>
      <w:r>
        <w:rPr>
          <w:lang w:val="es-ES"/>
        </w:rPr>
        <w:t xml:space="preserve"> </w:t>
      </w:r>
      <w:r>
        <w:rPr>
          <w:lang w:val="es-ES"/>
        </w:rPr>
        <w:t xml:space="preserve">(los valores del aprendizaje) y</w:t>
      </w:r>
      <w:r>
        <w:rPr>
          <w:lang w:val="es-ES"/>
        </w:rPr>
        <w:t xml:space="preserve"> </w:t>
      </w:r>
      <w:r>
        <w:rPr>
          <w:b/>
          <w:bCs/>
          <w:lang w:val="es-ES"/>
        </w:rPr>
        <w:t xml:space="preserve">NeuroEpistemología</w:t>
      </w:r>
      <w:r>
        <w:rPr>
          <w:lang w:val="es-ES"/>
        </w:rPr>
        <w:t xml:space="preserve"> </w:t>
      </w:r>
      <w:r>
        <w:rPr>
          <w:lang w:val="es-ES"/>
        </w:rPr>
        <w:t xml:space="preserve">(el modo de conocer del proyecto)— y apertura de sus</w:t>
      </w:r>
      <w:r>
        <w:rPr>
          <w:lang w:val="es-ES"/>
        </w:rPr>
        <w:t xml:space="preserve"> </w:t>
      </w:r>
      <w:r>
        <w:rPr>
          <w:b/>
          <w:bCs/>
          <w:lang w:val="es-ES"/>
        </w:rPr>
        <w:t xml:space="preserve">compendios vivos en construcción</w:t>
      </w:r>
      <w:r>
        <w:rPr>
          <w:lang w:val="es-ES"/>
        </w:rPr>
        <w:t xml:space="preserve">,</w:t>
      </w:r>
      <w:r>
        <w:rPr>
          <w:lang w:val="es-ES"/>
        </w:rPr>
        <w:t xml:space="preserve"> </w:t>
      </w:r>
      <w:r>
        <w:rPr>
          <w:rStyle w:val="VerbatimChar"/>
          <w:lang w:val="es-ES"/>
        </w:rPr>
        <w:t xml:space="preserve">neuroaxiologia-compendio.md</w:t>
      </w:r>
      <w:r>
        <w:rPr>
          <w:lang w:val="es-ES"/>
        </w:rPr>
        <w:t xml:space="preserve"> </w:t>
      </w:r>
      <w:r>
        <w:rPr>
          <w:lang w:val="es-ES"/>
        </w:rPr>
        <w:t xml:space="preserve">y</w:t>
      </w:r>
      <w:r>
        <w:rPr>
          <w:lang w:val="es-ES"/>
        </w:rPr>
        <w:t xml:space="preserve"> </w:t>
      </w:r>
      <w:r>
        <w:rPr>
          <w:rStyle w:val="VerbatimChar"/>
          <w:lang w:val="es-ES"/>
        </w:rPr>
        <w:t xml:space="preserve">neuroepistemologia-compendio.md</w:t>
      </w:r>
      <w:r>
        <w:rPr>
          <w:lang w:val="es-ES"/>
        </w:rPr>
        <w:t xml:space="preserve">, que se nutren de los planes y programas del proyecto y se actualizan con los ciclos del Artículo 23. Los compendios se anexan en el Artículo 28. Sin cambios normativos ni de alcance; la decisión se registra bajo el Artículo 25.</w:t>
      </w:r>
    </w:p>
    <w:p>
      <w:pPr>
        <w:pStyle w:val="BodyText"/>
      </w:pPr>
      <w:r>
        <w:rPr>
          <w:b/>
          <w:bCs/>
          <w:lang w:val="es-ES"/>
        </w:rPr>
        <w:t xml:space="preserve">Constancia de la enmienda v0.5 (neurogestión y patrones).</w:t>
      </w:r>
      <w:r>
        <w:rPr>
          <w:lang w:val="es-ES"/>
        </w:rPr>
        <w:t xml:space="preserve"> </w:t>
      </w:r>
      <w:r>
        <w:rPr>
          <w:lang w:val="es-ES"/>
        </w:rPr>
        <w:t xml:space="preserve">Anexación al Artículo 28 del tercer compendio de la familia,</w:t>
      </w:r>
      <w:r>
        <w:rPr>
          <w:lang w:val="es-ES"/>
        </w:rPr>
        <w:t xml:space="preserve"> </w:t>
      </w:r>
      <w:r>
        <w:rPr>
          <w:rStyle w:val="VerbatimChar"/>
          <w:lang w:val="es-ES"/>
        </w:rPr>
        <w:t xml:space="preserve">neurogestion-patrones-y-antipatrones.md</w:t>
      </w:r>
      <w:r>
        <w:rPr>
          <w:lang w:val="es-ES"/>
        </w:rPr>
        <w:t xml:space="preserve">: análisis de la neurogestión (aula, equipo, proyecto), los antipatrones de enseñanza y de aprendizaje, los neuroantipatrones (con su costo cerebral), y los 16 patrones y neuropatrones ideales con su mapa de conversión para uso en CTE y formación. Sin cambios normativos, de pilares ni de alcance; se registra bajo el Artículo 25.</w:t>
      </w:r>
    </w:p>
    <w:p>
      <w:pPr>
        <w:pStyle w:val="BodyText"/>
      </w:pPr>
      <w:r>
        <w:rPr>
          <w:lang w:val="es-ES"/>
        </w:rPr>
        <w:t xml:space="preserve">Tres advertencias de honestidad que el propio Acta asume.</w:t>
      </w:r>
      <w:r>
        <w:rPr>
          <w:lang w:val="es-ES"/>
        </w:rPr>
        <w:t xml:space="preserve"> </w:t>
      </w:r>
      <w:r>
        <w:rPr>
          <w:b/>
          <w:bCs/>
          <w:lang w:val="es-ES"/>
        </w:rPr>
        <w:t xml:space="preserve">Primera</w:t>
      </w:r>
      <w:r>
        <w:rPr>
          <w:lang w:val="es-ES"/>
        </w:rPr>
        <w:t xml:space="preserve">: este es un instrumento de</w:t>
      </w:r>
      <w:r>
        <w:rPr>
          <w:lang w:val="es-ES"/>
        </w:rPr>
        <w:t xml:space="preserve"> </w:t>
      </w:r>
      <w:r>
        <w:rPr>
          <w:b/>
          <w:bCs/>
          <w:lang w:val="es-ES"/>
        </w:rPr>
        <w:t xml:space="preserve">gobernanza interna</w:t>
      </w:r>
      <w:r>
        <w:rPr>
          <w:lang w:val="es-ES"/>
        </w:rPr>
        <w:t xml:space="preserve"> </w:t>
      </w:r>
      <w:r>
        <w:rPr>
          <w:lang w:val="es-ES"/>
        </w:rPr>
        <w:t xml:space="preserve">del plantel y del proyecto;</w:t>
      </w:r>
      <w:r>
        <w:rPr>
          <w:lang w:val="es-ES"/>
        </w:rPr>
        <w:t xml:space="preserve"> </w:t>
      </w:r>
      <w:r>
        <w:rPr>
          <w:b/>
          <w:bCs/>
          <w:lang w:val="es-ES"/>
        </w:rPr>
        <w:t xml:space="preserve">no sustituye asesoría jurídica</w:t>
      </w:r>
      <w:r>
        <w:rPr>
          <w:lang w:val="es-ES"/>
        </w:rPr>
        <w:t xml:space="preserve"> </w:t>
      </w:r>
      <w:r>
        <w:rPr>
          <w:lang w:val="es-ES"/>
        </w:rPr>
        <w:t xml:space="preserve">—cualquier efecto legal externo (contratos, registros ante autoridad, uso de fondos) requiere revisión de asesoría.</w:t>
      </w:r>
      <w:r>
        <w:rPr>
          <w:lang w:val="es-ES"/>
        </w:rPr>
        <w:t xml:space="preserve"> </w:t>
      </w:r>
      <w:r>
        <w:rPr>
          <w:b/>
          <w:bCs/>
          <w:lang w:val="es-ES"/>
        </w:rPr>
        <w:t xml:space="preserve">Segunda</w:t>
      </w:r>
      <w:r>
        <w:rPr>
          <w:lang w:val="es-ES"/>
        </w:rPr>
        <w:t xml:space="preserve">: el proyecto</w:t>
      </w:r>
      <w:r>
        <w:rPr>
          <w:lang w:val="es-ES"/>
        </w:rPr>
        <w:t xml:space="preserve"> </w:t>
      </w:r>
      <w:r>
        <w:rPr>
          <w:b/>
          <w:bCs/>
          <w:lang w:val="es-ES"/>
        </w:rPr>
        <w:t xml:space="preserve">no es terapia, no es clínica y no diagnostica</w:t>
      </w:r>
      <w:r>
        <w:rPr>
          <w:lang w:val="es-ES"/>
        </w:rPr>
        <w:t xml:space="preserve">: deriva y acompaña.</w:t>
      </w:r>
      <w:r>
        <w:rPr>
          <w:lang w:val="es-ES"/>
        </w:rPr>
        <w:t xml:space="preserve"> </w:t>
      </w:r>
      <w:r>
        <w:rPr>
          <w:b/>
          <w:bCs/>
          <w:lang w:val="es-ES"/>
        </w:rPr>
        <w:t xml:space="preserve">Tercera</w:t>
      </w:r>
      <w:r>
        <w:rPr>
          <w:lang w:val="es-ES"/>
        </w:rPr>
        <w:t xml:space="preserve">: nada en este Acta puede estar por encima de la Constitución, la Convención sobre los Derechos del Niño ni la legislación federal vigente —si alguna cláusula colisiona,</w:t>
      </w:r>
      <w:r>
        <w:rPr>
          <w:lang w:val="es-ES"/>
        </w:rPr>
        <w:t xml:space="preserve"> </w:t>
      </w:r>
      <w:r>
        <w:rPr>
          <w:b/>
          <w:bCs/>
          <w:lang w:val="es-ES"/>
        </w:rPr>
        <w:t xml:space="preserve">prevalece la norma superior</w:t>
      </w:r>
      <w:r>
        <w:rPr>
          <w:lang w:val="es-ES"/>
        </w:rPr>
        <w:t xml:space="preserve"> </w:t>
      </w:r>
      <w:r>
        <w:rPr>
          <w:lang w:val="es-ES"/>
        </w:rPr>
        <w:t xml:space="preserve">y el Acta se enmienda (Artículo 25).</w:t>
      </w:r>
    </w:p>
    <w:p>
      <w:r>
        <w:pict>
          <v:rect style="width:0;height:1.5pt" o:hralign="center" o:hrstd="t" o:hr="t"/>
        </w:pict>
      </w:r>
    </w:p>
    <w:bookmarkEnd w:id="9"/>
    <w:bookmarkStart w:id="13" w:name="sección-a-fundamentos"/>
    <w:p>
      <w:pPr>
        <w:pStyle w:val="Heading2"/>
      </w:pPr>
      <w:r>
        <w:rPr>
          <w:lang w:val="es-ES"/>
        </w:rPr>
        <w:t xml:space="preserve">Sección A — Fundamentos</w:t>
      </w:r>
    </w:p>
    <w:bookmarkStart w:id="10" w:name="artículo-1.-axiomas-fundacionales"/>
    <w:p>
      <w:pPr>
        <w:pStyle w:val="Heading3"/>
      </w:pPr>
      <w:r>
        <w:rPr>
          <w:lang w:val="es-ES"/>
        </w:rPr>
        <w:t xml:space="preserve">Artículo 1. Axiomas fundacionales</w:t>
      </w:r>
    </w:p>
    <w:p>
      <w:pPr>
        <w:pStyle w:val="FirstParagraph"/>
      </w:pPr>
      <w:r>
        <w:rPr>
          <w:lang w:val="es-ES"/>
        </w:rPr>
        <w:t xml:space="preserve">El proyecto se apoya en tres axiomas, cuyo texto verbatim y guardas viven en</w:t>
      </w:r>
      <w:r>
        <w:rPr>
          <w:lang w:val="es-ES"/>
        </w:rPr>
        <w:t xml:space="preserve"> </w:t>
      </w:r>
      <w:r>
        <w:rPr>
          <w:rStyle w:val="VerbatimChar"/>
          <w:lang w:val="es-ES"/>
        </w:rPr>
        <w:t xml:space="preserve">fundamentos-axiomas-del-programa.md</w:t>
      </w:r>
      <w:r>
        <w:rPr>
          <w:lang w:val="es-ES"/>
        </w:rPr>
        <w:t xml:space="preserve"> </w:t>
      </w:r>
      <w:r>
        <w:rPr>
          <w:lang w:val="es-ES"/>
        </w:rPr>
        <w:t xml:space="preserve">(fuente original:</w:t>
      </w:r>
      <w:r>
        <w:rPr>
          <w:lang w:val="es-ES"/>
        </w:rPr>
        <w:t xml:space="preserve"> </w:t>
      </w:r>
      <w:r>
        <w:rPr>
          <w:rStyle w:val="VerbatimChar"/>
          <w:lang w:val="es-ES"/>
        </w:rPr>
        <w:t xml:space="preserve">Primera Tanda/basesconceptuales.md</w:t>
      </w:r>
      <w:r>
        <w:rPr>
          <w:lang w:val="es-ES"/>
        </w:rPr>
        <w:t xml:space="preserve">) y se resumen aquí:</w:t>
      </w:r>
      <w:r>
        <w:rPr>
          <w:lang w:val="es-ES"/>
        </w:rPr>
        <w:t xml:space="preserve"> </w:t>
      </w:r>
      <w:r>
        <w:rPr>
          <w:b/>
          <w:bCs/>
          <w:lang w:val="es-ES"/>
        </w:rPr>
        <w:t xml:space="preserve">AX-1</w:t>
      </w:r>
      <w:r>
        <w:rPr>
          <w:lang w:val="es-ES"/>
        </w:rPr>
        <w:t xml:space="preserve"> </w:t>
      </w:r>
      <w:r>
        <w:rPr>
          <w:lang w:val="es-ES"/>
        </w:rPr>
        <w:t xml:space="preserve">—toda información es útil; cometer errores da información; hacer da más información que no hacer— con su guarda de</w:t>
      </w:r>
      <w:r>
        <w:rPr>
          <w:lang w:val="es-ES"/>
        </w:rPr>
        <w:t xml:space="preserve"> </w:t>
      </w:r>
      <w:r>
        <w:rPr>
          <w:b/>
          <w:bCs/>
          <w:lang w:val="es-ES"/>
        </w:rPr>
        <w:t xml:space="preserve">no daño</w:t>
      </w:r>
      <w:r>
        <w:rPr>
          <w:lang w:val="es-ES"/>
        </w:rPr>
        <w:t xml:space="preserve"> </w:t>
      </w:r>
      <w:r>
        <w:rPr>
          <w:lang w:val="es-ES"/>
        </w:rPr>
        <w:t xml:space="preserve">(en contextos de seguridad, el</w:t>
      </w:r>
      <w:r>
        <w:rPr>
          <w:lang w:val="es-ES"/>
        </w:rPr>
        <w:t xml:space="preserve"> </w:t>
      </w:r>
      <w:r>
        <w:rPr>
          <w:lang w:val="es-ES"/>
        </w:rPr>
        <w:t xml:space="preserve">“no hacer”</w:t>
      </w:r>
      <w:r>
        <w:rPr>
          <w:lang w:val="es-ES"/>
        </w:rPr>
        <w:t xml:space="preserve"> </w:t>
      </w:r>
      <w:r>
        <w:rPr>
          <w:lang w:val="es-ES"/>
        </w:rPr>
        <w:t xml:space="preserve">correcto es no exponer; la información sensible se minimiza).</w:t>
      </w:r>
      <w:r>
        <w:rPr>
          <w:lang w:val="es-ES"/>
        </w:rPr>
        <w:t xml:space="preserve"> </w:t>
      </w:r>
      <w:r>
        <w:rPr>
          <w:b/>
          <w:bCs/>
          <w:lang w:val="es-ES"/>
        </w:rPr>
        <w:t xml:space="preserve">AX-2</w:t>
      </w:r>
      <w:r>
        <w:rPr>
          <w:lang w:val="es-ES"/>
        </w:rPr>
        <w:t xml:space="preserve"> </w:t>
      </w:r>
      <w:r>
        <w:rPr>
          <w:lang w:val="es-ES"/>
        </w:rPr>
        <w:t xml:space="preserve">—los niños son el resultado de los adultos y de la realidad material directa; el adulto es producto de su historia e infancia, no cambiable pero sí comprensible y resignificable— con su guarda de</w:t>
      </w:r>
      <w:r>
        <w:rPr>
          <w:lang w:val="es-ES"/>
        </w:rPr>
        <w:t xml:space="preserve"> </w:t>
      </w:r>
      <w:r>
        <w:rPr>
          <w:b/>
          <w:bCs/>
          <w:lang w:val="es-ES"/>
        </w:rPr>
        <w:t xml:space="preserve">no culpa ni determinismo</w:t>
      </w:r>
      <w:r>
        <w:rPr>
          <w:lang w:val="es-ES"/>
        </w:rPr>
        <w:t xml:space="preserve"> </w:t>
      </w:r>
      <w:r>
        <w:rPr>
          <w:lang w:val="es-ES"/>
        </w:rPr>
        <w:t xml:space="preserve">(el adulto no es culpable del pasado, es responsable del presente).</w:t>
      </w:r>
      <w:r>
        <w:rPr>
          <w:lang w:val="es-ES"/>
        </w:rPr>
        <w:t xml:space="preserve"> </w:t>
      </w:r>
      <w:r>
        <w:rPr>
          <w:b/>
          <w:bCs/>
          <w:lang w:val="es-ES"/>
        </w:rPr>
        <w:t xml:space="preserve">AX-3</w:t>
      </w:r>
      <w:r>
        <w:rPr>
          <w:lang w:val="es-ES"/>
        </w:rPr>
        <w:t xml:space="preserve"> </w:t>
      </w:r>
      <w:r>
        <w:rPr>
          <w:lang w:val="es-ES"/>
        </w:rPr>
        <w:t xml:space="preserve">—la resignificación es una de las labores más necesarias; ver los matices, no el rosa ni el negro ni el blanco; sus crisis, atravesadas con apertura, nutren al individuo y a su entorno— con su guarda de</w:t>
      </w:r>
      <w:r>
        <w:rPr>
          <w:lang w:val="es-ES"/>
        </w:rPr>
        <w:t xml:space="preserve"> </w:t>
      </w:r>
      <w:r>
        <w:rPr>
          <w:b/>
          <w:bCs/>
          <w:lang w:val="es-ES"/>
        </w:rPr>
        <w:t xml:space="preserve">no blanqueo ni provocación deliberada de crisis</w:t>
      </w:r>
      <w:r>
        <w:rPr>
          <w:lang w:val="es-ES"/>
        </w:rPr>
        <w:t xml:space="preserve">.</w:t>
      </w:r>
    </w:p>
    <w:bookmarkEnd w:id="10"/>
    <w:bookmarkStart w:id="11" w:name="artículo-2.-pilares-filosóficos"/>
    <w:p>
      <w:pPr>
        <w:pStyle w:val="Heading3"/>
      </w:pPr>
      <w:r>
        <w:rPr>
          <w:lang w:val="es-ES"/>
        </w:rPr>
        <w:t xml:space="preserve">Artículo 2. Pilares filosóficos</w:t>
      </w:r>
    </w:p>
    <w:p>
      <w:pPr>
        <w:pStyle w:val="FirstParagraph"/>
      </w:pPr>
      <w:r>
        <w:rPr>
          <w:lang w:val="es-ES"/>
        </w:rPr>
        <w:t xml:space="preserve">Sobre los axiomas se recuestan los pilares declarados en</w:t>
      </w:r>
      <w:r>
        <w:rPr>
          <w:lang w:val="es-ES"/>
        </w:rPr>
        <w:t xml:space="preserve"> </w:t>
      </w:r>
      <w:r>
        <w:rPr>
          <w:rStyle w:val="VerbatimChar"/>
          <w:lang w:val="es-ES"/>
        </w:rPr>
        <w:t xml:space="preserve">Pilares-filosoficos.md</w:t>
      </w:r>
      <w:r>
        <w:rPr>
          <w:lang w:val="es-ES"/>
        </w:rPr>
        <w:t xml:space="preserve">: el tríptico</w:t>
      </w:r>
      <w:r>
        <w:rPr>
          <w:lang w:val="es-ES"/>
        </w:rPr>
        <w:t xml:space="preserve"> </w:t>
      </w:r>
      <w:r>
        <w:rPr>
          <w:b/>
          <w:bCs/>
          <w:lang w:val="es-ES"/>
        </w:rPr>
        <w:t xml:space="preserve">LAIRE</w:t>
      </w:r>
      <w:r>
        <w:rPr>
          <w:lang w:val="es-ES"/>
        </w:rPr>
        <w:t xml:space="preserve"> </w:t>
      </w:r>
      <w:r>
        <w:rPr>
          <w:lang w:val="es-ES"/>
        </w:rPr>
        <w:t xml:space="preserve">(Legalidad, Ambientalidad, Individualidad, Relacionalidad y Ética); el eje de</w:t>
      </w:r>
      <w:r>
        <w:rPr>
          <w:lang w:val="es-ES"/>
        </w:rPr>
        <w:t xml:space="preserve"> </w:t>
      </w:r>
      <w:r>
        <w:rPr>
          <w:b/>
          <w:bCs/>
          <w:lang w:val="es-ES"/>
        </w:rPr>
        <w:t xml:space="preserve">Neurociencias</w:t>
      </w:r>
      <w:r>
        <w:rPr>
          <w:lang w:val="es-ES"/>
        </w:rPr>
        <w:t xml:space="preserve"> </w:t>
      </w:r>
      <w:r>
        <w:rPr>
          <w:lang w:val="es-ES"/>
        </w:rPr>
        <w:t xml:space="preserve">(neuroeducación, neuroandragogía, neuropaidagogía, neuropsicología, neurodesarrollo); la</w:t>
      </w:r>
      <w:r>
        <w:rPr>
          <w:lang w:val="es-ES"/>
        </w:rPr>
        <w:t xml:space="preserve"> </w:t>
      </w:r>
      <w:r>
        <w:rPr>
          <w:b/>
          <w:bCs/>
          <w:lang w:val="es-ES"/>
        </w:rPr>
        <w:t xml:space="preserve">Interseccionalidad</w:t>
      </w:r>
      <w:r>
        <w:rPr>
          <w:lang w:val="es-ES"/>
        </w:rPr>
        <w:t xml:space="preserve">; la</w:t>
      </w:r>
      <w:r>
        <w:rPr>
          <w:lang w:val="es-ES"/>
        </w:rPr>
        <w:t xml:space="preserve"> </w:t>
      </w:r>
      <w:r>
        <w:rPr>
          <w:b/>
          <w:bCs/>
          <w:lang w:val="es-ES"/>
        </w:rPr>
        <w:t xml:space="preserve">Antipsiquiatría</w:t>
      </w:r>
      <w:r>
        <w:rPr>
          <w:lang w:val="es-ES"/>
        </w:rPr>
        <w:t xml:space="preserve"> </w:t>
      </w:r>
      <w:r>
        <w:rPr>
          <w:lang w:val="es-ES"/>
        </w:rPr>
        <w:t xml:space="preserve">(crítica a la medicalización de la conducta infantil); la</w:t>
      </w:r>
      <w:r>
        <w:rPr>
          <w:lang w:val="es-ES"/>
        </w:rPr>
        <w:t xml:space="preserve"> </w:t>
      </w:r>
      <w:r>
        <w:rPr>
          <w:b/>
          <w:bCs/>
          <w:lang w:val="es-ES"/>
        </w:rPr>
        <w:t xml:space="preserve">Ideología y sus aparatos ideológicos</w:t>
      </w:r>
      <w:r>
        <w:rPr>
          <w:lang w:val="es-ES"/>
        </w:rPr>
        <w:t xml:space="preserve">; el</w:t>
      </w:r>
      <w:r>
        <w:rPr>
          <w:lang w:val="es-ES"/>
        </w:rPr>
        <w:t xml:space="preserve"> </w:t>
      </w:r>
      <w:r>
        <w:rPr>
          <w:b/>
          <w:bCs/>
          <w:lang w:val="es-ES"/>
        </w:rPr>
        <w:t xml:space="preserve">Materialismo histórico</w:t>
      </w:r>
      <w:r>
        <w:rPr>
          <w:lang w:val="es-ES"/>
        </w:rPr>
        <w:t xml:space="preserve">; la</w:t>
      </w:r>
      <w:r>
        <w:rPr>
          <w:lang w:val="es-ES"/>
        </w:rPr>
        <w:t xml:space="preserve"> </w:t>
      </w:r>
      <w:r>
        <w:rPr>
          <w:b/>
          <w:bCs/>
          <w:lang w:val="es-ES"/>
        </w:rPr>
        <w:t xml:space="preserve">Escuela Mexicana</w:t>
      </w:r>
      <w:r>
        <w:rPr>
          <w:lang w:val="es-ES"/>
        </w:rPr>
        <w:t xml:space="preserve">; y las</w:t>
      </w:r>
      <w:r>
        <w:rPr>
          <w:lang w:val="es-ES"/>
        </w:rPr>
        <w:t xml:space="preserve"> </w:t>
      </w:r>
      <w:r>
        <w:rPr>
          <w:b/>
          <w:bCs/>
          <w:lang w:val="es-ES"/>
        </w:rPr>
        <w:t xml:space="preserve">Convenciones de los Niños</w:t>
      </w:r>
      <w:r>
        <w:rPr>
          <w:lang w:val="es-ES"/>
        </w:rPr>
        <w:t xml:space="preserve">. Con la enmienda v0.2 se añaden tres pilares: la</w:t>
      </w:r>
      <w:r>
        <w:rPr>
          <w:lang w:val="es-ES"/>
        </w:rPr>
        <w:t xml:space="preserve"> </w:t>
      </w:r>
      <w:r>
        <w:rPr>
          <w:b/>
          <w:bCs/>
          <w:lang w:val="es-ES"/>
        </w:rPr>
        <w:t xml:space="preserve">Ley Mexicana</w:t>
      </w:r>
      <w:r>
        <w:rPr>
          <w:lang w:val="es-ES"/>
        </w:rPr>
        <w:t xml:space="preserve"> </w:t>
      </w:r>
      <w:r>
        <w:rPr>
          <w:lang w:val="es-ES"/>
        </w:rPr>
        <w:t xml:space="preserve">(el marco jurídico vigente como horizonte de sentido del proyecto), el</w:t>
      </w:r>
      <w:r>
        <w:rPr>
          <w:lang w:val="es-ES"/>
        </w:rPr>
        <w:t xml:space="preserve"> </w:t>
      </w:r>
      <w:r>
        <w:rPr>
          <w:b/>
          <w:bCs/>
          <w:lang w:val="es-ES"/>
        </w:rPr>
        <w:t xml:space="preserve">Conectivismo y el pensamiento en red</w:t>
      </w:r>
      <w:r>
        <w:rPr>
          <w:lang w:val="es-ES"/>
        </w:rPr>
        <w:t xml:space="preserve"> </w:t>
      </w:r>
      <w:r>
        <w:rPr>
          <w:lang w:val="es-ES"/>
        </w:rPr>
        <w:t xml:space="preserve">(el conocimiento se distribuye en nodos humanos, comunitarios y documentales) y el</w:t>
      </w:r>
      <w:r>
        <w:rPr>
          <w:lang w:val="es-ES"/>
        </w:rPr>
        <w:t xml:space="preserve"> </w:t>
      </w:r>
      <w:r>
        <w:rPr>
          <w:b/>
          <w:bCs/>
          <w:lang w:val="es-ES"/>
        </w:rPr>
        <w:t xml:space="preserve">Pluralismo epistemológico (híbrido Raíz–Red)</w:t>
      </w:r>
      <w:r>
        <w:rPr>
          <w:lang w:val="es-ES"/>
        </w:rPr>
        <w:t xml:space="preserve"> </w:t>
      </w:r>
      <w:r>
        <w:rPr>
          <w:lang w:val="es-ES"/>
        </w:rPr>
        <w:t xml:space="preserve">(orden secuencial y emergencia de la red, ambos necesarios; toda postura pedagógica es bienvenida al proyecto</w:t>
      </w:r>
      <w:r>
        <w:rPr>
          <w:lang w:val="es-ES"/>
        </w:rPr>
        <w:t xml:space="preserve"> </w:t>
      </w:r>
      <w:r>
        <w:rPr>
          <w:b/>
          <w:bCs/>
          <w:lang w:val="es-ES"/>
        </w:rPr>
        <w:t xml:space="preserve">si pasa los filtros de evidencia y de derechos</w:t>
      </w:r>
      <w:r>
        <w:rPr>
          <w:lang w:val="es-ES"/>
        </w:rPr>
        <w:t xml:space="preserve"> </w:t>
      </w:r>
      <w:r>
        <w:rPr>
          <w:lang w:val="es-ES"/>
        </w:rPr>
        <w:t xml:space="preserve">—el híbrido no es el punto medio entre dos ideas, es la arquitectura que las dos sostienen). Con la enmienda v0.4 se suman dos ramas del eje de Neurociencias: la</w:t>
      </w:r>
      <w:r>
        <w:rPr>
          <w:lang w:val="es-ES"/>
        </w:rPr>
        <w:t xml:space="preserve"> </w:t>
      </w:r>
      <w:r>
        <w:rPr>
          <w:b/>
          <w:bCs/>
          <w:lang w:val="es-ES"/>
        </w:rPr>
        <w:t xml:space="preserve">NeuroAxiología</w:t>
      </w:r>
      <w:r>
        <w:rPr>
          <w:lang w:val="es-ES"/>
        </w:rPr>
        <w:t xml:space="preserve"> </w:t>
      </w:r>
      <w:r>
        <w:rPr>
          <w:lang w:val="es-ES"/>
        </w:rPr>
        <w:t xml:space="preserve">—los</w:t>
      </w:r>
      <w:r>
        <w:rPr>
          <w:lang w:val="es-ES"/>
        </w:rPr>
        <w:t xml:space="preserve"> </w:t>
      </w:r>
      <w:r>
        <w:rPr>
          <w:b/>
          <w:bCs/>
          <w:lang w:val="es-ES"/>
        </w:rPr>
        <w:t xml:space="preserve">valores</w:t>
      </w:r>
      <w:r>
        <w:rPr>
          <w:lang w:val="es-ES"/>
        </w:rPr>
        <w:t xml:space="preserve"> </w:t>
      </w:r>
      <w:r>
        <w:rPr>
          <w:lang w:val="es-ES"/>
        </w:rPr>
        <w:t xml:space="preserve">del aprendizaje, qué es valioso para este cerebro y qué se rechaza, con jerarquía para resolver conflictos de valor— y la</w:t>
      </w:r>
      <w:r>
        <w:rPr>
          <w:lang w:val="es-ES"/>
        </w:rPr>
        <w:t xml:space="preserve"> </w:t>
      </w:r>
      <w:r>
        <w:rPr>
          <w:b/>
          <w:bCs/>
          <w:lang w:val="es-ES"/>
        </w:rPr>
        <w:t xml:space="preserve">NeuroEpistemología</w:t>
      </w:r>
      <w:r>
        <w:rPr>
          <w:lang w:val="es-ES"/>
        </w:rPr>
        <w:t xml:space="preserve"> </w:t>
      </w:r>
      <w:r>
        <w:rPr>
          <w:lang w:val="es-ES"/>
        </w:rPr>
        <w:t xml:space="preserve">—el</w:t>
      </w:r>
      <w:r>
        <w:rPr>
          <w:lang w:val="es-ES"/>
        </w:rPr>
        <w:t xml:space="preserve"> </w:t>
      </w:r>
      <w:r>
        <w:rPr>
          <w:b/>
          <w:bCs/>
          <w:lang w:val="es-ES"/>
        </w:rPr>
        <w:t xml:space="preserve">modo de conocer</w:t>
      </w:r>
      <w:r>
        <w:rPr>
          <w:lang w:val="es-ES"/>
        </w:rPr>
        <w:t xml:space="preserve"> </w:t>
      </w:r>
      <w:r>
        <w:rPr>
          <w:lang w:val="es-ES"/>
        </w:rPr>
        <w:t xml:space="preserve">del proyecto: fuentes, filtros y validación de lo que se afirma—. Ambas nacen con sus</w:t>
      </w:r>
      <w:r>
        <w:rPr>
          <w:lang w:val="es-ES"/>
        </w:rPr>
        <w:t xml:space="preserve"> </w:t>
      </w:r>
      <w:r>
        <w:rPr>
          <w:b/>
          <w:bCs/>
          <w:lang w:val="es-ES"/>
        </w:rPr>
        <w:t xml:space="preserve">compendios vivos</w:t>
      </w:r>
      <w:r>
        <w:rPr>
          <w:lang w:val="es-ES"/>
        </w:rPr>
        <w:t xml:space="preserve"> </w:t>
      </w:r>
      <w:r>
        <w:rPr>
          <w:lang w:val="es-ES"/>
        </w:rPr>
        <w:t xml:space="preserve">(</w:t>
      </w:r>
      <w:r>
        <w:rPr>
          <w:rStyle w:val="VerbatimChar"/>
          <w:lang w:val="es-ES"/>
        </w:rPr>
        <w:t xml:space="preserve">neuroaxiologia-compendio.md</w:t>
      </w:r>
      <w:r>
        <w:rPr>
          <w:lang w:val="es-ES"/>
        </w:rPr>
        <w:t xml:space="preserve"> </w:t>
      </w:r>
      <w:r>
        <w:rPr>
          <w:lang w:val="es-ES"/>
        </w:rPr>
        <w:t xml:space="preserve">y</w:t>
      </w:r>
      <w:r>
        <w:rPr>
          <w:lang w:val="es-ES"/>
        </w:rPr>
        <w:t xml:space="preserve"> </w:t>
      </w:r>
      <w:r>
        <w:rPr>
          <w:rStyle w:val="VerbatimChar"/>
          <w:lang w:val="es-ES"/>
        </w:rPr>
        <w:t xml:space="preserve">neuroepistemologia-compendio.md</w:t>
      </w:r>
      <w:r>
        <w:rPr>
          <w:lang w:val="es-ES"/>
        </w:rPr>
        <w:t xml:space="preserve">), que se construyen y crecen a partir de los planes y programas del proyecto. Cualquier decisión del proyecto que contradiga un pilar se revisa con trazabilidad (Artículo 25).</w:t>
      </w:r>
    </w:p>
    <w:bookmarkEnd w:id="11"/>
    <w:bookmarkStart w:id="12" w:name="Xc1c014ba8bd5e9bd69831070a545b07ecaf1ad7"/>
    <w:p>
      <w:pPr>
        <w:pStyle w:val="Heading3"/>
      </w:pPr>
      <w:r>
        <w:rPr>
          <w:lang w:val="es-ES"/>
        </w:rPr>
        <w:t xml:space="preserve">Artículo 3. Unidad de propósito: cuatro beneficiarios</w:t>
      </w:r>
    </w:p>
    <w:p>
      <w:pPr>
        <w:pStyle w:val="FirstParagraph"/>
      </w:pPr>
      <w:r>
        <w:rPr>
          <w:lang w:val="es-ES"/>
        </w:rPr>
        <w:t xml:space="preserve">El proyecto se declara exitoso</w:t>
      </w:r>
      <w:r>
        <w:rPr>
          <w:lang w:val="es-ES"/>
        </w:rPr>
        <w:t xml:space="preserve"> </w:t>
      </w:r>
      <w:r>
        <w:rPr>
          <w:b/>
          <w:bCs/>
          <w:lang w:val="es-ES"/>
        </w:rPr>
        <w:t xml:space="preserve">sólo si mejoran a la vez</w:t>
      </w:r>
      <w:r>
        <w:rPr>
          <w:lang w:val="es-ES"/>
        </w:rPr>
        <w:t xml:space="preserve"> </w:t>
      </w:r>
      <w:r>
        <w:rPr>
          <w:lang w:val="es-ES"/>
        </w:rPr>
        <w:t xml:space="preserve">los cuatro beneficiarios:</w:t>
      </w:r>
      <w:r>
        <w:rPr>
          <w:lang w:val="es-ES"/>
        </w:rPr>
        <w:t xml:space="preserve"> </w:t>
      </w:r>
      <w:r>
        <w:rPr>
          <w:b/>
          <w:bCs/>
          <w:lang w:val="es-ES"/>
        </w:rPr>
        <w:t xml:space="preserve">las niñas y los niños de 3 a 6 años</w:t>
      </w:r>
      <w:r>
        <w:rPr>
          <w:lang w:val="es-ES"/>
        </w:rPr>
        <w:t xml:space="preserve"> </w:t>
      </w:r>
      <w:r>
        <w:rPr>
          <w:lang w:val="es-ES"/>
        </w:rPr>
        <w:t xml:space="preserve">(progreso en los Procesos de desarrollo de aprendizaje y bienestar),</w:t>
      </w:r>
      <w:r>
        <w:rPr>
          <w:lang w:val="es-ES"/>
        </w:rPr>
        <w:t xml:space="preserve"> </w:t>
      </w:r>
      <w:r>
        <w:rPr>
          <w:b/>
          <w:bCs/>
          <w:lang w:val="es-ES"/>
        </w:rPr>
        <w:t xml:space="preserve">el personal docente y adulto</w:t>
      </w:r>
      <w:r>
        <w:rPr>
          <w:lang w:val="es-ES"/>
        </w:rPr>
        <w:t xml:space="preserve"> </w:t>
      </w:r>
      <w:r>
        <w:rPr>
          <w:lang w:val="es-ES"/>
        </w:rPr>
        <w:t xml:space="preserve">(competencia, clima y salud laboral),</w:t>
      </w:r>
      <w:r>
        <w:rPr>
          <w:lang w:val="es-ES"/>
        </w:rPr>
        <w:t xml:space="preserve"> </w:t>
      </w:r>
      <w:r>
        <w:rPr>
          <w:b/>
          <w:bCs/>
          <w:lang w:val="es-ES"/>
        </w:rPr>
        <w:t xml:space="preserve">las familias</w:t>
      </w:r>
      <w:r>
        <w:rPr>
          <w:lang w:val="es-ES"/>
        </w:rPr>
        <w:t xml:space="preserve"> </w:t>
      </w:r>
      <w:r>
        <w:rPr>
          <w:lang w:val="es-ES"/>
        </w:rPr>
        <w:t xml:space="preserve">(coherencia, participación y comprensión de lo que la escuela hace) y</w:t>
      </w:r>
      <w:r>
        <w:rPr>
          <w:lang w:val="es-ES"/>
        </w:rPr>
        <w:t xml:space="preserve"> </w:t>
      </w:r>
      <w:r>
        <w:rPr>
          <w:b/>
          <w:bCs/>
          <w:lang w:val="es-ES"/>
        </w:rPr>
        <w:t xml:space="preserve">el plantel</w:t>
      </w:r>
      <w:r>
        <w:rPr>
          <w:lang w:val="es-ES"/>
        </w:rPr>
        <w:t xml:space="preserve"> </w:t>
      </w:r>
      <w:r>
        <w:rPr>
          <w:lang w:val="es-ES"/>
        </w:rPr>
        <w:t xml:space="preserve">(sistema repetible, trazable y sostenible). Este equilibrio es la traducción operativa del axioma AX-2:</w:t>
      </w:r>
      <w:r>
        <w:rPr>
          <w:lang w:val="es-ES"/>
        </w:rPr>
        <w:t xml:space="preserve"> </w:t>
      </w:r>
      <w:r>
        <w:rPr>
          <w:b/>
          <w:bCs/>
          <w:lang w:val="es-ES"/>
        </w:rPr>
        <w:t xml:space="preserve">un proyecto que forma sólo a los niños no escala</w:t>
      </w:r>
      <w:r>
        <w:rPr>
          <w:lang w:val="es-ES"/>
        </w:rPr>
        <w:t xml:space="preserve">.</w:t>
      </w:r>
    </w:p>
    <w:p>
      <w:r>
        <w:pict>
          <v:rect style="width:0;height:1.5pt" o:hralign="center" o:hrstd="t" o:hr="t"/>
        </w:pict>
      </w:r>
    </w:p>
    <w:bookmarkEnd w:id="12"/>
    <w:bookmarkEnd w:id="13"/>
    <w:bookmarkStart w:id="22" w:name="Xe9db4786e84f17e25ff895df6d4d415fa041621"/>
    <w:p>
      <w:pPr>
        <w:pStyle w:val="Heading2"/>
      </w:pPr>
      <w:r>
        <w:rPr>
          <w:lang w:val="es-ES"/>
        </w:rPr>
        <w:t xml:space="preserve">Sección B — Marco jurídico y de derechos: cómo se lleva todo bajo la ley</w:t>
      </w:r>
    </w:p>
    <w:bookmarkStart w:id="14" w:name="X9228fe41b450de4151f6f190e2ef53282d08488"/>
    <w:p>
      <w:pPr>
        <w:pStyle w:val="Heading3"/>
      </w:pPr>
      <w:r>
        <w:rPr>
          <w:lang w:val="es-ES"/>
        </w:rPr>
        <w:t xml:space="preserve">Artículo 4. Jerarquía normativa aplicable</w:t>
      </w:r>
    </w:p>
    <w:p>
      <w:pPr>
        <w:pStyle w:val="FirstParagraph"/>
      </w:pPr>
      <w:r>
        <w:rPr>
          <w:lang w:val="es-ES"/>
        </w:rPr>
        <w:t xml:space="preserve">El proyecto obedece, en orden de preeminencia: la</w:t>
      </w:r>
      <w:r>
        <w:rPr>
          <w:lang w:val="es-ES"/>
        </w:rPr>
        <w:t xml:space="preserve"> </w:t>
      </w:r>
      <w:r>
        <w:rPr>
          <w:b/>
          <w:bCs/>
          <w:lang w:val="es-ES"/>
        </w:rPr>
        <w:t xml:space="preserve">Constitución Política de los Estados Unidos Mexicanos</w:t>
      </w:r>
      <w:r>
        <w:rPr>
          <w:lang w:val="es-ES"/>
        </w:rPr>
        <w:t xml:space="preserve"> </w:t>
      </w:r>
      <w:r>
        <w:rPr>
          <w:lang w:val="es-ES"/>
        </w:rPr>
        <w:t xml:space="preserve">(artículo 1, no discriminación; artículo 3, derecho a la educación, educación inicial como derecho de la niñez, educación pública, gratuita, laica, inclusiva y con enfoque de derechos humanos e igualdad sustantiva; artículo 4, interés superior de la niñez como principio rector de toda decisión y actuación del Estado; artículo 31, obligación escolar); la</w:t>
      </w:r>
      <w:r>
        <w:rPr>
          <w:lang w:val="es-ES"/>
        </w:rPr>
        <w:t xml:space="preserve"> </w:t>
      </w:r>
      <w:r>
        <w:rPr>
          <w:b/>
          <w:bCs/>
          <w:lang w:val="es-ES"/>
        </w:rPr>
        <w:t xml:space="preserve">Convención sobre los Derechos del Niño</w:t>
      </w:r>
      <w:r>
        <w:rPr>
          <w:lang w:val="es-ES"/>
        </w:rPr>
        <w:t xml:space="preserve"> </w:t>
      </w:r>
      <w:r>
        <w:rPr>
          <w:lang w:val="es-ES"/>
        </w:rPr>
        <w:t xml:space="preserve">y sus Protocolos Facultativos; las leyes federales —</w:t>
      </w:r>
      <w:r>
        <w:rPr>
          <w:b/>
          <w:bCs/>
          <w:lang w:val="es-ES"/>
        </w:rPr>
        <w:t xml:space="preserve">Ley General de los Derechos de Niñas, Niños y Adolescentes</w:t>
      </w:r>
      <w:r>
        <w:rPr>
          <w:lang w:val="es-ES"/>
        </w:rPr>
        <w:t xml:space="preserve"> </w:t>
      </w:r>
      <w:r>
        <w:rPr>
          <w:lang w:val="es-ES"/>
        </w:rPr>
        <w:t xml:space="preserve">(última reforma DOF 15-01-2026; artículo 101 Bis 3: derecho a un acceso a Internet libre de violencia, DOF 24-12-2024),</w:t>
      </w:r>
      <w:r>
        <w:rPr>
          <w:lang w:val="es-ES"/>
        </w:rPr>
        <w:t xml:space="preserve"> </w:t>
      </w:r>
      <w:r>
        <w:rPr>
          <w:b/>
          <w:bCs/>
          <w:lang w:val="es-ES"/>
        </w:rPr>
        <w:t xml:space="preserve">Ley General de Educación</w:t>
      </w:r>
      <w:r>
        <w:rPr>
          <w:lang w:val="es-ES"/>
        </w:rPr>
        <w:t xml:space="preserve"> </w:t>
      </w:r>
      <w:r>
        <w:rPr>
          <w:lang w:val="es-ES"/>
        </w:rPr>
        <w:t xml:space="preserve">(artículos 14, 29 y 30),</w:t>
      </w:r>
      <w:r>
        <w:rPr>
          <w:lang w:val="es-ES"/>
        </w:rPr>
        <w:t xml:space="preserve"> </w:t>
      </w:r>
      <w:r>
        <w:rPr>
          <w:b/>
          <w:bCs/>
          <w:lang w:val="es-ES"/>
        </w:rPr>
        <w:t xml:space="preserve">Ley General de los Derechos de las Personas con Discapacidad</w:t>
      </w:r>
      <w:r>
        <w:rPr>
          <w:lang w:val="es-ES"/>
        </w:rPr>
        <w:t xml:space="preserve">,</w:t>
      </w:r>
      <w:r>
        <w:rPr>
          <w:lang w:val="es-ES"/>
        </w:rPr>
        <w:t xml:space="preserve"> </w:t>
      </w:r>
      <w:r>
        <w:rPr>
          <w:b/>
          <w:bCs/>
          <w:lang w:val="es-ES"/>
        </w:rPr>
        <w:t xml:space="preserve">Ley General de Protección de Datos Personales en Posesión de Sujetos Obligados</w:t>
      </w:r>
      <w:r>
        <w:rPr>
          <w:lang w:val="es-ES"/>
        </w:rPr>
        <w:t xml:space="preserve"> </w:t>
      </w:r>
      <w:r>
        <w:rPr>
          <w:lang w:val="es-ES"/>
        </w:rPr>
        <w:t xml:space="preserve">y la</w:t>
      </w:r>
      <w:r>
        <w:rPr>
          <w:lang w:val="es-ES"/>
        </w:rPr>
        <w:t xml:space="preserve"> </w:t>
      </w:r>
      <w:r>
        <w:rPr>
          <w:b/>
          <w:bCs/>
          <w:lang w:val="es-ES"/>
        </w:rPr>
        <w:t xml:space="preserve">Ley Federal de Protección de Datos Personales en Posesión de los Particulares</w:t>
      </w:r>
      <w:r>
        <w:rPr>
          <w:lang w:val="es-ES"/>
        </w:rPr>
        <w:t xml:space="preserve">—; el</w:t>
      </w:r>
      <w:r>
        <w:rPr>
          <w:lang w:val="es-ES"/>
        </w:rPr>
        <w:t xml:space="preserve"> </w:t>
      </w:r>
      <w:r>
        <w:rPr>
          <w:b/>
          <w:bCs/>
          <w:lang w:val="es-ES"/>
        </w:rPr>
        <w:t xml:space="preserve">Plan de Estudio 2022</w:t>
      </w:r>
      <w:r>
        <w:rPr>
          <w:lang w:val="es-ES"/>
        </w:rPr>
        <w:t xml:space="preserve"> </w:t>
      </w:r>
      <w:r>
        <w:rPr>
          <w:lang w:val="es-ES"/>
        </w:rPr>
        <w:t xml:space="preserve">y el</w:t>
      </w:r>
      <w:r>
        <w:rPr>
          <w:lang w:val="es-ES"/>
        </w:rPr>
        <w:t xml:space="preserve"> </w:t>
      </w:r>
      <w:r>
        <w:rPr>
          <w:b/>
          <w:bCs/>
          <w:lang w:val="es-ES"/>
        </w:rPr>
        <w:t xml:space="preserve">Acuerdo que establece los Programas Sintéticos de las Fases 2 a 6 (DOF 15-08-2023)</w:t>
      </w:r>
      <w:r>
        <w:rPr>
          <w:lang w:val="es-ES"/>
        </w:rPr>
        <w:t xml:space="preserve">; y la normatividad de la autoridad educativa y sanitaria local aplicable al plantel.</w:t>
      </w:r>
    </w:p>
    <w:bookmarkEnd w:id="14"/>
    <w:bookmarkStart w:id="15" w:name="X76bea3009039c6e1cba383cafa546a810b761f1"/>
    <w:p>
      <w:pPr>
        <w:pStyle w:val="Heading3"/>
      </w:pPr>
      <w:r>
        <w:rPr>
          <w:lang w:val="es-ES"/>
        </w:rPr>
        <w:t xml:space="preserve">Artículo 5. Derechos del niño que el proyecto traduce a práctica</w:t>
      </w:r>
    </w:p>
    <w:p>
      <w:pPr>
        <w:pStyle w:val="FirstParagraph"/>
      </w:pPr>
      <w:r>
        <w:rPr>
          <w:lang w:val="es-ES"/>
        </w:rPr>
        <w:t xml:space="preserve">De la CDN se adoptan como operativos los cuatro principios generales:</w:t>
      </w:r>
      <w:r>
        <w:rPr>
          <w:lang w:val="es-ES"/>
        </w:rPr>
        <w:t xml:space="preserve"> </w:t>
      </w:r>
      <w:r>
        <w:rPr>
          <w:b/>
          <w:bCs/>
          <w:lang w:val="es-ES"/>
        </w:rPr>
        <w:t xml:space="preserve">no discriminación</w:t>
      </w:r>
      <w:r>
        <w:rPr>
          <w:lang w:val="es-ES"/>
        </w:rPr>
        <w:t xml:space="preserve"> </w:t>
      </w:r>
      <w:r>
        <w:rPr>
          <w:lang w:val="es-ES"/>
        </w:rPr>
        <w:t xml:space="preserve">(artículo 2),</w:t>
      </w:r>
      <w:r>
        <w:rPr>
          <w:lang w:val="es-ES"/>
        </w:rPr>
        <w:t xml:space="preserve"> </w:t>
      </w:r>
      <w:r>
        <w:rPr>
          <w:b/>
          <w:bCs/>
          <w:lang w:val="es-ES"/>
        </w:rPr>
        <w:t xml:space="preserve">interés superior</w:t>
      </w:r>
      <w:r>
        <w:rPr>
          <w:lang w:val="es-ES"/>
        </w:rPr>
        <w:t xml:space="preserve"> </w:t>
      </w:r>
      <w:r>
        <w:rPr>
          <w:lang w:val="es-ES"/>
        </w:rPr>
        <w:t xml:space="preserve">(artículo 3),</w:t>
      </w:r>
      <w:r>
        <w:rPr>
          <w:lang w:val="es-ES"/>
        </w:rPr>
        <w:t xml:space="preserve"> </w:t>
      </w:r>
      <w:r>
        <w:rPr>
          <w:b/>
          <w:bCs/>
          <w:lang w:val="es-ES"/>
        </w:rPr>
        <w:t xml:space="preserve">vida, supervivencia y desarrollo</w:t>
      </w:r>
      <w:r>
        <w:rPr>
          <w:lang w:val="es-ES"/>
        </w:rPr>
        <w:t xml:space="preserve"> </w:t>
      </w:r>
      <w:r>
        <w:rPr>
          <w:lang w:val="es-ES"/>
        </w:rPr>
        <w:t xml:space="preserve">(artículo 6) y</w:t>
      </w:r>
      <w:r>
        <w:rPr>
          <w:lang w:val="es-ES"/>
        </w:rPr>
        <w:t xml:space="preserve"> </w:t>
      </w:r>
      <w:r>
        <w:rPr>
          <w:b/>
          <w:bCs/>
          <w:lang w:val="es-ES"/>
        </w:rPr>
        <w:t xml:space="preserve">ser escuchado</w:t>
      </w:r>
      <w:r>
        <w:rPr>
          <w:lang w:val="es-ES"/>
        </w:rPr>
        <w:t xml:space="preserve"> </w:t>
      </w:r>
      <w:r>
        <w:rPr>
          <w:lang w:val="es-ES"/>
        </w:rPr>
        <w:t xml:space="preserve">(artículo 12); y los artículos</w:t>
      </w:r>
      <w:r>
        <w:rPr>
          <w:lang w:val="es-ES"/>
        </w:rPr>
        <w:t xml:space="preserve"> </w:t>
      </w:r>
      <w:r>
        <w:rPr>
          <w:b/>
          <w:bCs/>
          <w:lang w:val="es-ES"/>
        </w:rPr>
        <w:t xml:space="preserve">5</w:t>
      </w:r>
      <w:r>
        <w:rPr>
          <w:lang w:val="es-ES"/>
        </w:rPr>
        <w:t xml:space="preserve"> </w:t>
      </w:r>
      <w:r>
        <w:rPr>
          <w:lang w:val="es-ES"/>
        </w:rPr>
        <w:t xml:space="preserve">(capacidades evolutivas),</w:t>
      </w:r>
      <w:r>
        <w:rPr>
          <w:lang w:val="es-ES"/>
        </w:rPr>
        <w:t xml:space="preserve"> </w:t>
      </w:r>
      <w:r>
        <w:rPr>
          <w:b/>
          <w:bCs/>
          <w:lang w:val="es-ES"/>
        </w:rPr>
        <w:t xml:space="preserve">19</w:t>
      </w:r>
      <w:r>
        <w:rPr>
          <w:lang w:val="es-ES"/>
        </w:rPr>
        <w:t xml:space="preserve"> </w:t>
      </w:r>
      <w:r>
        <w:rPr>
          <w:lang w:val="es-ES"/>
        </w:rPr>
        <w:t xml:space="preserve">(protección contra toda violencia),</w:t>
      </w:r>
      <w:r>
        <w:rPr>
          <w:lang w:val="es-ES"/>
        </w:rPr>
        <w:t xml:space="preserve"> </w:t>
      </w:r>
      <w:r>
        <w:rPr>
          <w:b/>
          <w:bCs/>
          <w:lang w:val="es-ES"/>
        </w:rPr>
        <w:t xml:space="preserve">24</w:t>
      </w:r>
      <w:r>
        <w:rPr>
          <w:lang w:val="es-ES"/>
        </w:rPr>
        <w:t xml:space="preserve"> </w:t>
      </w:r>
      <w:r>
        <w:rPr>
          <w:lang w:val="es-ES"/>
        </w:rPr>
        <w:t xml:space="preserve">(salud),</w:t>
      </w:r>
      <w:r>
        <w:rPr>
          <w:lang w:val="es-ES"/>
        </w:rPr>
        <w:t xml:space="preserve"> </w:t>
      </w:r>
      <w:r>
        <w:rPr>
          <w:b/>
          <w:bCs/>
          <w:lang w:val="es-ES"/>
        </w:rPr>
        <w:t xml:space="preserve">28 y 29</w:t>
      </w:r>
      <w:r>
        <w:rPr>
          <w:lang w:val="es-ES"/>
        </w:rPr>
        <w:t xml:space="preserve"> </w:t>
      </w:r>
      <w:r>
        <w:rPr>
          <w:lang w:val="es-ES"/>
        </w:rPr>
        <w:t xml:space="preserve">(educación y fines de la educación), y</w:t>
      </w:r>
      <w:r>
        <w:rPr>
          <w:lang w:val="es-ES"/>
        </w:rPr>
        <w:t xml:space="preserve"> </w:t>
      </w:r>
      <w:r>
        <w:rPr>
          <w:b/>
          <w:bCs/>
          <w:lang w:val="es-ES"/>
        </w:rPr>
        <w:t xml:space="preserve">31</w:t>
      </w:r>
      <w:r>
        <w:rPr>
          <w:lang w:val="es-ES"/>
        </w:rPr>
        <w:t xml:space="preserve"> </w:t>
      </w:r>
      <w:r>
        <w:rPr>
          <w:lang w:val="es-ES"/>
        </w:rPr>
        <w:t xml:space="preserve">(descanso, juego y ocio). De sus interpretaciones vigentes se incorporan la</w:t>
      </w:r>
      <w:r>
        <w:rPr>
          <w:lang w:val="es-ES"/>
        </w:rPr>
        <w:t xml:space="preserve"> </w:t>
      </w:r>
      <w:r>
        <w:rPr>
          <w:b/>
          <w:bCs/>
          <w:lang w:val="es-ES"/>
        </w:rPr>
        <w:t xml:space="preserve">Observación General 7</w:t>
      </w:r>
      <w:r>
        <w:rPr>
          <w:lang w:val="es-ES"/>
        </w:rPr>
        <w:t xml:space="preserve"> </w:t>
      </w:r>
      <w:r>
        <w:rPr>
          <w:lang w:val="es-ES"/>
        </w:rPr>
        <w:t xml:space="preserve">(primera infancia),</w:t>
      </w:r>
      <w:r>
        <w:rPr>
          <w:lang w:val="es-ES"/>
        </w:rPr>
        <w:t xml:space="preserve"> </w:t>
      </w:r>
      <w:r>
        <w:rPr>
          <w:b/>
          <w:bCs/>
          <w:lang w:val="es-ES"/>
        </w:rPr>
        <w:t xml:space="preserve">12</w:t>
      </w:r>
      <w:r>
        <w:rPr>
          <w:lang w:val="es-ES"/>
        </w:rPr>
        <w:t xml:space="preserve"> </w:t>
      </w:r>
      <w:r>
        <w:rPr>
          <w:lang w:val="es-ES"/>
        </w:rPr>
        <w:t xml:space="preserve">(ser escuchado),</w:t>
      </w:r>
      <w:r>
        <w:rPr>
          <w:lang w:val="es-ES"/>
        </w:rPr>
        <w:t xml:space="preserve"> </w:t>
      </w:r>
      <w:r>
        <w:rPr>
          <w:b/>
          <w:bCs/>
          <w:lang w:val="es-ES"/>
        </w:rPr>
        <w:t xml:space="preserve">17</w:t>
      </w:r>
      <w:r>
        <w:rPr>
          <w:lang w:val="es-ES"/>
        </w:rPr>
        <w:t xml:space="preserve"> </w:t>
      </w:r>
      <w:r>
        <w:rPr>
          <w:lang w:val="es-ES"/>
        </w:rPr>
        <w:t xml:space="preserve">(juego),</w:t>
      </w:r>
      <w:r>
        <w:rPr>
          <w:lang w:val="es-ES"/>
        </w:rPr>
        <w:t xml:space="preserve"> </w:t>
      </w:r>
      <w:r>
        <w:rPr>
          <w:b/>
          <w:bCs/>
          <w:lang w:val="es-ES"/>
        </w:rPr>
        <w:t xml:space="preserve">20</w:t>
      </w:r>
      <w:r>
        <w:rPr>
          <w:lang w:val="es-ES"/>
        </w:rPr>
        <w:t xml:space="preserve"> </w:t>
      </w:r>
      <w:r>
        <w:rPr>
          <w:lang w:val="es-ES"/>
        </w:rPr>
        <w:t xml:space="preserve">(adolescencia y capacidades evolutivas),</w:t>
      </w:r>
      <w:r>
        <w:rPr>
          <w:lang w:val="es-ES"/>
        </w:rPr>
        <w:t xml:space="preserve"> </w:t>
      </w:r>
      <w:r>
        <w:rPr>
          <w:b/>
          <w:bCs/>
          <w:lang w:val="es-ES"/>
        </w:rPr>
        <w:t xml:space="preserve">25</w:t>
      </w:r>
      <w:r>
        <w:rPr>
          <w:lang w:val="es-ES"/>
        </w:rPr>
        <w:t xml:space="preserve"> </w:t>
      </w:r>
      <w:r>
        <w:rPr>
          <w:lang w:val="es-ES"/>
        </w:rPr>
        <w:t xml:space="preserve">(entorno digital: incluye inteligencia artificial, algoritmos y biometría) y</w:t>
      </w:r>
      <w:r>
        <w:rPr>
          <w:lang w:val="es-ES"/>
        </w:rPr>
        <w:t xml:space="preserve"> </w:t>
      </w:r>
      <w:r>
        <w:rPr>
          <w:b/>
          <w:bCs/>
          <w:lang w:val="es-ES"/>
        </w:rPr>
        <w:t xml:space="preserve">26</w:t>
      </w:r>
      <w:r>
        <w:rPr>
          <w:lang w:val="es-ES"/>
        </w:rPr>
        <w:t xml:space="preserve"> </w:t>
      </w:r>
      <w:r>
        <w:rPr>
          <w:lang w:val="es-ES"/>
        </w:rPr>
        <w:t xml:space="preserve">(ambiente limpio, sano y sostenible). Traducción concreta: los PDAs se trabajan</w:t>
      </w:r>
      <w:r>
        <w:rPr>
          <w:lang w:val="es-ES"/>
        </w:rPr>
        <w:t xml:space="preserve"> </w:t>
      </w:r>
      <w:r>
        <w:rPr>
          <w:b/>
          <w:bCs/>
          <w:lang w:val="es-ES"/>
        </w:rPr>
        <w:t xml:space="preserve">sin castigo ni humillación</w:t>
      </w:r>
      <w:r>
        <w:rPr>
          <w:lang w:val="es-ES"/>
        </w:rPr>
        <w:t xml:space="preserve">, el juego es</w:t>
      </w:r>
      <w:r>
        <w:rPr>
          <w:lang w:val="es-ES"/>
        </w:rPr>
        <w:t xml:space="preserve"> </w:t>
      </w:r>
      <w:r>
        <w:rPr>
          <w:b/>
          <w:bCs/>
          <w:lang w:val="es-ES"/>
        </w:rPr>
        <w:t xml:space="preserve">derecho</w:t>
      </w:r>
      <w:r>
        <w:rPr>
          <w:lang w:val="es-ES"/>
        </w:rPr>
        <w:t xml:space="preserve"> </w:t>
      </w:r>
      <w:r>
        <w:rPr>
          <w:lang w:val="es-ES"/>
        </w:rPr>
        <w:t xml:space="preserve">y no premio, y todo niño es escuchado con el peso que su edad y madurez le dan.</w:t>
      </w:r>
    </w:p>
    <w:bookmarkEnd w:id="15"/>
    <w:bookmarkStart w:id="16" w:name="artículo-6.-deberes-legales-del-proyecto"/>
    <w:p>
      <w:pPr>
        <w:pStyle w:val="Heading3"/>
      </w:pPr>
      <w:r>
        <w:rPr>
          <w:lang w:val="es-ES"/>
        </w:rPr>
        <w:t xml:space="preserve">Artículo 6. Deberes legales del proyecto</w:t>
      </w:r>
    </w:p>
    <w:p>
      <w:pPr>
        <w:pStyle w:val="FirstParagraph"/>
      </w:pPr>
      <w:r>
        <w:rPr>
          <w:b/>
          <w:bCs/>
          <w:lang w:val="es-ES"/>
        </w:rPr>
        <w:t xml:space="preserve">No discriminación</w:t>
      </w:r>
      <w:r>
        <w:rPr>
          <w:lang w:val="es-ES"/>
        </w:rPr>
        <w:t xml:space="preserve"> </w:t>
      </w:r>
      <w:r>
        <w:rPr>
          <w:lang w:val="es-ES"/>
        </w:rPr>
        <w:t xml:space="preserve">en admisión, trato, evaluación ni agrupamiento (artículo 1 CPEUM; artículo 2 CDN).</w:t>
      </w:r>
      <w:r>
        <w:rPr>
          <w:lang w:val="es-ES"/>
        </w:rPr>
        <w:t xml:space="preserve"> </w:t>
      </w:r>
      <w:r>
        <w:rPr>
          <w:b/>
          <w:bCs/>
          <w:lang w:val="es-ES"/>
        </w:rPr>
        <w:t xml:space="preserve">Interés superior</w:t>
      </w:r>
      <w:r>
        <w:rPr>
          <w:lang w:val="es-ES"/>
        </w:rPr>
        <w:t xml:space="preserve"> </w:t>
      </w:r>
      <w:r>
        <w:rPr>
          <w:lang w:val="es-ES"/>
        </w:rPr>
        <w:t xml:space="preserve">como criterio explícito de toda decisión registrada (artículo 4 CPEUM).</w:t>
      </w:r>
      <w:r>
        <w:rPr>
          <w:lang w:val="es-ES"/>
        </w:rPr>
        <w:t xml:space="preserve"> </w:t>
      </w:r>
      <w:r>
        <w:rPr>
          <w:b/>
          <w:bCs/>
          <w:lang w:val="es-ES"/>
        </w:rPr>
        <w:t xml:space="preserve">Cero tolerancia a la violencia física, psicológica o humillante</w:t>
      </w:r>
      <w:r>
        <w:rPr>
          <w:lang w:val="es-ES"/>
        </w:rPr>
        <w:t xml:space="preserve"> </w:t>
      </w:r>
      <w:r>
        <w:rPr>
          <w:lang w:val="es-ES"/>
        </w:rPr>
        <w:t xml:space="preserve">contra menores, en cualquier formato y por cualquier adulto del proyecto (artículo 19 CDN; LGDNNA).</w:t>
      </w:r>
      <w:r>
        <w:rPr>
          <w:lang w:val="es-ES"/>
        </w:rPr>
        <w:t xml:space="preserve"> </w:t>
      </w:r>
      <w:r>
        <w:rPr>
          <w:b/>
          <w:bCs/>
          <w:lang w:val="es-ES"/>
        </w:rPr>
        <w:t xml:space="preserve">Igualdad sustantiva y perspectiva de género</w:t>
      </w:r>
      <w:r>
        <w:rPr>
          <w:lang w:val="es-ES"/>
        </w:rPr>
        <w:t xml:space="preserve"> </w:t>
      </w:r>
      <w:r>
        <w:rPr>
          <w:lang w:val="es-ES"/>
        </w:rPr>
        <w:t xml:space="preserve">en lenguaje, materiales y expectativas (artículo 4 CPEUM, reforma DOF 15-11-2024).</w:t>
      </w:r>
      <w:r>
        <w:rPr>
          <w:lang w:val="es-ES"/>
        </w:rPr>
        <w:t xml:space="preserve"> </w:t>
      </w:r>
      <w:r>
        <w:rPr>
          <w:b/>
          <w:bCs/>
          <w:lang w:val="es-ES"/>
        </w:rPr>
        <w:t xml:space="preserve">Inclusión y accesibilidad</w:t>
      </w:r>
      <w:r>
        <w:rPr>
          <w:lang w:val="es-ES"/>
        </w:rPr>
        <w:t xml:space="preserve"> </w:t>
      </w:r>
      <w:r>
        <w:rPr>
          <w:lang w:val="es-ES"/>
        </w:rPr>
        <w:t xml:space="preserve">para personas con discapacidad, con ajustes razonables desde el diseño.</w:t>
      </w:r>
      <w:r>
        <w:rPr>
          <w:lang w:val="es-ES"/>
        </w:rPr>
        <w:t xml:space="preserve"> </w:t>
      </w:r>
      <w:r>
        <w:rPr>
          <w:b/>
          <w:bCs/>
          <w:lang w:val="es-ES"/>
        </w:rPr>
        <w:t xml:space="preserve">Ruta de protección y reporte</w:t>
      </w:r>
      <w:r>
        <w:rPr>
          <w:lang w:val="es-ES"/>
        </w:rPr>
        <w:t xml:space="preserve">: cuando cualquier adulto del proyecto tenga conocimiento de una situación de violencia, abandono o riesgo contra un niño,</w:t>
      </w:r>
      <w:r>
        <w:rPr>
          <w:lang w:val="es-ES"/>
        </w:rPr>
        <w:t xml:space="preserve"> </w:t>
      </w:r>
      <w:r>
        <w:rPr>
          <w:b/>
          <w:bCs/>
          <w:lang w:val="es-ES"/>
        </w:rPr>
        <w:t xml:space="preserve">debe activar la ruta de protección con la autoridad competente conforme al marco federal y local aplicable</w:t>
      </w:r>
      <w:r>
        <w:rPr>
          <w:lang w:val="es-ES"/>
        </w:rPr>
        <w:t xml:space="preserve"> </w:t>
      </w:r>
      <w:r>
        <w:rPr>
          <w:lang w:val="es-ES"/>
        </w:rPr>
        <w:t xml:space="preserve">—la escuela observa y reporta, nunca calla ni investiga por su cuenta.</w:t>
      </w:r>
    </w:p>
    <w:bookmarkEnd w:id="16"/>
    <w:bookmarkStart w:id="17" w:name="X9eb8c250f94b47240884a054bd1b31a568044d1"/>
    <w:p>
      <w:pPr>
        <w:pStyle w:val="Heading3"/>
      </w:pPr>
      <w:r>
        <w:rPr>
          <w:lang w:val="es-ES"/>
        </w:rPr>
        <w:t xml:space="preserve">Artículo 7. Datos personales, imagen y voz de menores</w:t>
      </w:r>
    </w:p>
    <w:p>
      <w:pPr>
        <w:pStyle w:val="FirstParagraph"/>
      </w:pPr>
      <w:r>
        <w:rPr>
          <w:lang w:val="es-ES"/>
        </w:rPr>
        <w:t xml:space="preserve">El proyecto trata los datos de niñas, niños y familias con el principio de</w:t>
      </w:r>
      <w:r>
        <w:rPr>
          <w:lang w:val="es-ES"/>
        </w:rPr>
        <w:t xml:space="preserve"> </w:t>
      </w:r>
      <w:r>
        <w:rPr>
          <w:b/>
          <w:bCs/>
          <w:lang w:val="es-ES"/>
        </w:rPr>
        <w:t xml:space="preserve">minimización</w:t>
      </w:r>
      <w:r>
        <w:rPr>
          <w:lang w:val="es-ES"/>
        </w:rPr>
        <w:t xml:space="preserve">: sólo lo necesario para el propósito educativo declarado, con finalidad conocida, consentimiento informado de quien ejerce la patria potestad y ejercicio de los derechos ARCO que la norma reconoce. Se</w:t>
      </w:r>
      <w:r>
        <w:rPr>
          <w:lang w:val="es-ES"/>
        </w:rPr>
        <w:t xml:space="preserve"> </w:t>
      </w:r>
      <w:r>
        <w:rPr>
          <w:b/>
          <w:bCs/>
          <w:lang w:val="es-ES"/>
        </w:rPr>
        <w:t xml:space="preserve">prohíben</w:t>
      </w:r>
      <w:r>
        <w:rPr>
          <w:lang w:val="es-ES"/>
        </w:rPr>
        <w:t xml:space="preserve"> </w:t>
      </w:r>
      <w:r>
        <w:rPr>
          <w:lang w:val="es-ES"/>
        </w:rPr>
        <w:t xml:space="preserve">por política interna: vigilancia biométrica o emocional sobre menores, clasificación o perfilado de niños por sistemas de inteligencia artificial, y el envío de datos personales de menores a servicios externos sin consentimiento ni anonimización efectiva —lo alineamos con la</w:t>
      </w:r>
      <w:r>
        <w:rPr>
          <w:lang w:val="es-ES"/>
        </w:rPr>
        <w:t xml:space="preserve"> </w:t>
      </w:r>
      <w:r>
        <w:rPr>
          <w:b/>
          <w:bCs/>
          <w:lang w:val="es-ES"/>
        </w:rPr>
        <w:t xml:space="preserve">OG 25</w:t>
      </w:r>
      <w:r>
        <w:rPr>
          <w:lang w:val="es-ES"/>
        </w:rPr>
        <w:t xml:space="preserve"> </w:t>
      </w:r>
      <w:r>
        <w:rPr>
          <w:lang w:val="es-ES"/>
        </w:rPr>
        <w:t xml:space="preserve">de la CDN y con el</w:t>
      </w:r>
      <w:r>
        <w:rPr>
          <w:lang w:val="es-ES"/>
        </w:rPr>
        <w:t xml:space="preserve"> </w:t>
      </w:r>
      <w:r>
        <w:rPr>
          <w:b/>
          <w:bCs/>
          <w:lang w:val="es-ES"/>
        </w:rPr>
        <w:t xml:space="preserve">artículo 101 Bis 3 de la LGDNNA</w:t>
      </w:r>
      <w:r>
        <w:rPr>
          <w:lang w:val="es-ES"/>
        </w:rPr>
        <w:t xml:space="preserve">. Sobre imagen y voz: la captura de fotografías, video o audio de un niño exige</w:t>
      </w:r>
      <w:r>
        <w:rPr>
          <w:lang w:val="es-ES"/>
        </w:rPr>
        <w:t xml:space="preserve"> </w:t>
      </w:r>
      <w:r>
        <w:rPr>
          <w:b/>
          <w:bCs/>
          <w:lang w:val="es-ES"/>
        </w:rPr>
        <w:t xml:space="preserve">consentimiento específico, informado, por escrito y revocable</w:t>
      </w:r>
      <w:r>
        <w:rPr>
          <w:lang w:val="es-ES"/>
        </w:rPr>
        <w:t xml:space="preserve"> </w:t>
      </w:r>
      <w:r>
        <w:rPr>
          <w:lang w:val="es-ES"/>
        </w:rPr>
        <w:t xml:space="preserve">de la familia, con finalidad declarada (uso interno del proyecto; cualquier difusión externa requiere autorización adicional expresa). Los materiales de este proyecto contienen registros sin nombres completos cuando el registro no lo exige; los documentos con nombres reales (fichas, actas) se custodian con acceso restringido.</w:t>
      </w:r>
      <w:r>
        <w:rPr>
          <w:lang w:val="es-ES"/>
        </w:rPr>
        <w:t xml:space="preserve"> </w:t>
      </w:r>
      <w:r>
        <w:rPr>
          <w:b/>
          <w:bCs/>
          <w:lang w:val="es-ES"/>
        </w:rPr>
        <w:t xml:space="preserve">Nota crítica</w:t>
      </w:r>
      <w:r>
        <w:rPr>
          <w:lang w:val="es-ES"/>
        </w:rPr>
        <w:t xml:space="preserve">: el marco de datos e IA en México está en construcción (iniciativas legislativas desde 2023 y 2026); la política interna se revisa en cada ciclo semestral (Artículo 23).</w:t>
      </w:r>
    </w:p>
    <w:bookmarkEnd w:id="17"/>
    <w:bookmarkStart w:id="18" w:name="artículo-8.-salud-seguridad-y-derivación"/>
    <w:p>
      <w:pPr>
        <w:pStyle w:val="Heading3"/>
      </w:pPr>
      <w:r>
        <w:rPr>
          <w:lang w:val="es-ES"/>
        </w:rPr>
        <w:t xml:space="preserve">Artículo 8. Salud, seguridad y derivación</w:t>
      </w:r>
    </w:p>
    <w:p>
      <w:pPr>
        <w:pStyle w:val="FirstParagraph"/>
      </w:pPr>
      <w:r>
        <w:rPr>
          <w:lang w:val="es-ES"/>
        </w:rPr>
        <w:t xml:space="preserve">El proyecto se ejecuta con</w:t>
      </w:r>
      <w:r>
        <w:rPr>
          <w:lang w:val="es-ES"/>
        </w:rPr>
        <w:t xml:space="preserve"> </w:t>
      </w:r>
      <w:r>
        <w:rPr>
          <w:b/>
          <w:bCs/>
          <w:lang w:val="es-ES"/>
        </w:rPr>
        <w:t xml:space="preserve">normatividad sanitaria escolar vigente</w:t>
      </w:r>
      <w:r>
        <w:rPr>
          <w:lang w:val="es-ES"/>
        </w:rPr>
        <w:t xml:space="preserve"> </w:t>
      </w:r>
      <w:r>
        <w:rPr>
          <w:lang w:val="es-ES"/>
        </w:rPr>
        <w:t xml:space="preserve">de la autoridad local: higiene, alimentación, prevención de accidentes y protocolos de emergencia practicados con simulacros (entrenamiento conductual: instrucción, demostración, ensayo y repetición). Se prohíbe sustituir atención sanitaria o psicológica:</w:t>
      </w:r>
      <w:r>
        <w:rPr>
          <w:lang w:val="es-ES"/>
        </w:rPr>
        <w:t xml:space="preserve"> </w:t>
      </w:r>
      <w:r>
        <w:rPr>
          <w:b/>
          <w:bCs/>
          <w:lang w:val="es-ES"/>
        </w:rPr>
        <w:t xml:space="preserve">la escuela observa, acompaña, deriva y reporta; nunca diagnostica</w:t>
      </w:r>
      <w:r>
        <w:rPr>
          <w:lang w:val="es-ES"/>
        </w:rPr>
        <w:t xml:space="preserve"> </w:t>
      </w:r>
      <w:r>
        <w:rPr>
          <w:lang w:val="es-ES"/>
        </w:rPr>
        <w:t xml:space="preserve">(criterios de señales de alerta:</w:t>
      </w:r>
      <w:r>
        <w:rPr>
          <w:lang w:val="es-ES"/>
        </w:rPr>
        <w:t xml:space="preserve"> </w:t>
      </w:r>
      <w:r>
        <w:rPr>
          <w:rStyle w:val="VerbatimChar"/>
          <w:lang w:val="es-ES"/>
        </w:rPr>
        <w:t xml:space="preserve">neuroeducacion-preescolar-3-6-informe.md</w:t>
      </w:r>
      <w:r>
        <w:rPr>
          <w:lang w:val="es-ES"/>
        </w:rPr>
        <w:t xml:space="preserve">, sección 7). La salud mental del adulto también es alcance del proyecto: se monitorea la carga docente y se actúa sobre ella (AX-2).</w:t>
      </w:r>
    </w:p>
    <w:bookmarkEnd w:id="18"/>
    <w:bookmarkStart w:id="19" w:name="X2ddd7e03c81d6b4493250cc838d1371bec09732"/>
    <w:p>
      <w:pPr>
        <w:pStyle w:val="Heading3"/>
      </w:pPr>
      <w:r>
        <w:rPr>
          <w:lang w:val="es-ES"/>
        </w:rPr>
        <w:t xml:space="preserve">Artículo 9. Marco adulto: docentes, familias y comunidad</w:t>
      </w:r>
    </w:p>
    <w:p>
      <w:pPr>
        <w:pStyle w:val="FirstParagraph"/>
      </w:pPr>
      <w:r>
        <w:rPr>
          <w:lang w:val="es-ES"/>
        </w:rPr>
        <w:t xml:space="preserve">Toda persona adulta que intervenga con niños del proyecto cumple</w:t>
      </w:r>
      <w:r>
        <w:rPr>
          <w:lang w:val="es-ES"/>
        </w:rPr>
        <w:t xml:space="preserve"> </w:t>
      </w:r>
      <w:r>
        <w:rPr>
          <w:b/>
          <w:bCs/>
          <w:lang w:val="es-ES"/>
        </w:rPr>
        <w:t xml:space="preserve">dos obligaciones de base</w:t>
      </w:r>
      <w:r>
        <w:rPr>
          <w:lang w:val="es-ES"/>
        </w:rPr>
        <w:t xml:space="preserve">: (a) completar la formación del curso M1–M8 o su equivalente acreditado</w:t>
      </w:r>
      <w:r>
        <w:rPr>
          <w:lang w:val="es-ES"/>
        </w:rPr>
        <w:t xml:space="preserve"> </w:t>
      </w:r>
      <w:r>
        <w:rPr>
          <w:b/>
          <w:bCs/>
          <w:lang w:val="es-ES"/>
        </w:rPr>
        <w:t xml:space="preserve">antes de su primera intervención</w:t>
      </w:r>
      <w:r>
        <w:rPr>
          <w:lang w:val="es-ES"/>
        </w:rPr>
        <w:t xml:space="preserve"> </w:t>
      </w:r>
      <w:r>
        <w:rPr>
          <w:lang w:val="es-ES"/>
        </w:rPr>
        <w:t xml:space="preserve">con niños —base andragógica de este Acta—; (b) suscribir este Acta con su adherencia. Las familias participan de forma</w:t>
      </w:r>
      <w:r>
        <w:rPr>
          <w:lang w:val="es-ES"/>
        </w:rPr>
        <w:t xml:space="preserve"> </w:t>
      </w:r>
      <w:r>
        <w:rPr>
          <w:b/>
          <w:bCs/>
          <w:lang w:val="es-ES"/>
        </w:rPr>
        <w:t xml:space="preserve">voluntaria, informada y bidireccional</w:t>
      </w:r>
      <w:r>
        <w:rPr>
          <w:lang w:val="es-ES"/>
        </w:rPr>
        <w:t xml:space="preserve">: reciben orientación clara sobre qué hace la escuela y por qué, y sus saberes y su lengua entran al aula como contenido (Saberes familiares y comunitarios). La participación de la comunidad y de visitantes se rige por el Artículo 17 y por controles de acceso escolar. La formación docente se organiza en</w:t>
      </w:r>
      <w:r>
        <w:rPr>
          <w:lang w:val="es-ES"/>
        </w:rPr>
        <w:t xml:space="preserve"> </w:t>
      </w:r>
      <w:r>
        <w:rPr>
          <w:b/>
          <w:bCs/>
          <w:lang w:val="es-ES"/>
        </w:rPr>
        <w:t xml:space="preserve">espacios y tiempos conforme a la normatividad laboral y educativa aplicable</w:t>
      </w:r>
      <w:r>
        <w:rPr>
          <w:lang w:val="es-ES"/>
        </w:rPr>
        <w:t xml:space="preserve">, sin que la participación en el proyecto implique carga no reconocida.</w:t>
      </w:r>
    </w:p>
    <w:bookmarkEnd w:id="19"/>
    <w:bookmarkStart w:id="20" w:name="X1448401cb08569a964c6f08755dcff066905984"/>
    <w:p>
      <w:pPr>
        <w:pStyle w:val="Heading3"/>
      </w:pPr>
      <w:r>
        <w:rPr>
          <w:lang w:val="es-ES"/>
        </w:rPr>
        <w:t xml:space="preserve">Artículo 10. Materiales, autoría y propiedad intelectual</w:t>
      </w:r>
    </w:p>
    <w:p>
      <w:pPr>
        <w:pStyle w:val="FirstParagraph"/>
      </w:pPr>
      <w:r>
        <w:rPr>
          <w:lang w:val="es-ES"/>
        </w:rPr>
        <w:t xml:space="preserve">Los</w:t>
      </w:r>
      <w:r>
        <w:rPr>
          <w:lang w:val="es-ES"/>
        </w:rPr>
        <w:t xml:space="preserve"> </w:t>
      </w:r>
      <w:r>
        <w:rPr>
          <w:b/>
          <w:bCs/>
          <w:lang w:val="es-ES"/>
        </w:rPr>
        <w:t xml:space="preserve">Programas y Planes de Estudio oficiales (SEP)</w:t>
      </w:r>
      <w:r>
        <w:rPr>
          <w:lang w:val="es-ES"/>
        </w:rPr>
        <w:t xml:space="preserve"> </w:t>
      </w:r>
      <w:r>
        <w:rPr>
          <w:lang w:val="es-ES"/>
        </w:rPr>
        <w:t xml:space="preserve">se utilizan en el marco del Acuerdo que los establece y para los fines del sistema educativo. La serie documental del proyecto (informes, glosarios, ADR, FODA/SOACH, plan de estudios, planes por grado) es</w:t>
      </w:r>
      <w:r>
        <w:rPr>
          <w:lang w:val="es-ES"/>
        </w:rPr>
        <w:t xml:space="preserve"> </w:t>
      </w:r>
      <w:r>
        <w:rPr>
          <w:b/>
          <w:bCs/>
          <w:lang w:val="es-ES"/>
        </w:rPr>
        <w:t xml:space="preserve">producción propia del proyecto</w:t>
      </w:r>
      <w:r>
        <w:rPr>
          <w:lang w:val="es-ES"/>
        </w:rPr>
        <w:t xml:space="preserve">, con autoría atribuible a sus participantes y citada como fuente interna; su difusión fuera del plantel requiere decisión registrada del sponsor. Los aportes de terceros (artículos, guías, estándares) se citan con su fuente; el uso de textos con derechos de autor se limita a cita y uso educativo conforme a la normativa aplicable.</w:t>
      </w:r>
    </w:p>
    <w:bookmarkEnd w:id="20"/>
    <w:bookmarkStart w:id="21" w:name="Xdc09e78a26bd35cbfa0c9e57a4f4c9e5c018415"/>
    <w:p>
      <w:pPr>
        <w:pStyle w:val="Heading3"/>
      </w:pPr>
      <w:r>
        <w:rPr>
          <w:lang w:val="es-ES"/>
        </w:rPr>
        <w:t xml:space="preserve">Artículo 11. Auditoría crítica: qué está cumplido y qué queda pendiente</w:t>
      </w:r>
    </w:p>
    <w:p>
      <w:pPr>
        <w:pStyle w:val="FirstParagraph"/>
      </w:pPr>
      <w:r>
        <w:rPr>
          <w:lang w:val="es-ES"/>
        </w:rPr>
        <w:t xml:space="preserve">Honestidad obligatoria del Acta, alineada con AX-1.</w:t>
      </w:r>
      <w:r>
        <w:rPr>
          <w:lang w:val="es-ES"/>
        </w:rPr>
        <w:t xml:space="preserve"> </w:t>
      </w:r>
      <w:r>
        <w:rPr>
          <w:b/>
          <w:bCs/>
          <w:lang w:val="es-ES"/>
        </w:rPr>
        <w:t xml:space="preserve">Cumplido en la documentación</w:t>
      </w:r>
      <w:r>
        <w:rPr>
          <w:lang w:val="es-ES"/>
        </w:rPr>
        <w:t xml:space="preserve">: alineación normativa (CPEUM, CDN, LGDNNA, Plan 2022) verificada y trazada; fundamentos científicos citados; política de IA y anti-neuromitos escritas; protocolos de crisis y seguridad practicables; sistema de métricas con línea base definido; glosario y planes filtrados por los 34 Contenidos;</w:t>
      </w:r>
      <w:r>
        <w:rPr>
          <w:lang w:val="es-ES"/>
        </w:rPr>
        <w:t xml:space="preserve"> </w:t>
      </w:r>
      <w:r>
        <w:rPr>
          <w:b/>
          <w:bCs/>
          <w:lang w:val="es-ES"/>
        </w:rPr>
        <w:t xml:space="preserve">capa epistémica declarada y documentada</w:t>
      </w:r>
      <w:r>
        <w:rPr>
          <w:lang w:val="es-ES"/>
        </w:rPr>
        <w:t xml:space="preserve"> </w:t>
      </w:r>
      <w:r>
        <w:rPr>
          <w:lang w:val="es-ES"/>
        </w:rPr>
        <w:t xml:space="preserve">(modelo híbrido Raíz–Red, pilares de Conectivismo, Ley Mexicana y Pluralismo epistemológico, con sus contraposturas referenciadas en</w:t>
      </w:r>
      <w:r>
        <w:rPr>
          <w:lang w:val="es-ES"/>
        </w:rPr>
        <w:t xml:space="preserve"> </w:t>
      </w:r>
      <w:r>
        <w:rPr>
          <w:rStyle w:val="VerbatimChar"/>
          <w:lang w:val="es-ES"/>
        </w:rPr>
        <w:t xml:space="preserve">propuesta-hibrida-de-posturas.md</w:t>
      </w:r>
      <w:r>
        <w:rPr>
          <w:lang w:val="es-ES"/>
        </w:rPr>
        <w:t xml:space="preserve"> </w:t>
      </w:r>
      <w:r>
        <w:rPr>
          <w:lang w:val="es-ES"/>
        </w:rPr>
        <w:t xml:space="preserve">y en los materiales de apoyo).</w:t>
      </w:r>
      <w:r>
        <w:rPr>
          <w:lang w:val="es-ES"/>
        </w:rPr>
        <w:t xml:space="preserve"> </w:t>
      </w:r>
      <w:r>
        <w:rPr>
          <w:b/>
          <w:bCs/>
          <w:lang w:val="es-ES"/>
        </w:rPr>
        <w:t xml:space="preserve">Pendiente al momento de firmar</w:t>
      </w:r>
      <w:r>
        <w:rPr>
          <w:lang w:val="es-ES"/>
        </w:rPr>
        <w:t xml:space="preserve"> </w:t>
      </w:r>
      <w:r>
        <w:rPr>
          <w:lang w:val="es-ES"/>
        </w:rPr>
        <w:t xml:space="preserve">(condiciones de entrada en vigor, Artículo 27): revisión humana del paquete (DoD de G1), piloto de M1 con equipo real, ficha del plantel llena (roles y datos reales), formatos de</w:t>
      </w:r>
      <w:r>
        <w:rPr>
          <w:lang w:val="es-ES"/>
        </w:rPr>
        <w:t xml:space="preserve"> </w:t>
      </w:r>
      <w:r>
        <w:rPr>
          <w:b/>
          <w:bCs/>
          <w:lang w:val="es-ES"/>
        </w:rPr>
        <w:t xml:space="preserve">consentimiento informado de imagen/datos</w:t>
      </w:r>
      <w:r>
        <w:rPr>
          <w:lang w:val="es-ES"/>
        </w:rPr>
        <w:t xml:space="preserve"> </w:t>
      </w:r>
      <w:r>
        <w:rPr>
          <w:lang w:val="es-ES"/>
        </w:rPr>
        <w:t xml:space="preserve">y de resguardo de la información, revisión externa del material por un par (debilidad D4 del FODA), y</w:t>
      </w:r>
      <w:r>
        <w:rPr>
          <w:lang w:val="es-ES"/>
        </w:rPr>
        <w:t xml:space="preserve"> </w:t>
      </w:r>
      <w:r>
        <w:rPr>
          <w:b/>
          <w:bCs/>
          <w:lang w:val="es-ES"/>
        </w:rPr>
        <w:t xml:space="preserve">revisión de asesoría jurídica</w:t>
      </w:r>
      <w:r>
        <w:rPr>
          <w:lang w:val="es-ES"/>
        </w:rPr>
        <w:t xml:space="preserve"> </w:t>
      </w:r>
      <w:r>
        <w:rPr>
          <w:lang w:val="es-ES"/>
        </w:rPr>
        <w:t xml:space="preserve">cuando el Acta tenga efectos externos.</w:t>
      </w:r>
      <w:r>
        <w:rPr>
          <w:lang w:val="es-ES"/>
        </w:rPr>
        <w:t xml:space="preserve"> </w:t>
      </w:r>
      <w:r>
        <w:rPr>
          <w:b/>
          <w:bCs/>
          <w:lang w:val="es-ES"/>
        </w:rPr>
        <w:t xml:space="preserve">Fuera de alcance declarado</w:t>
      </w:r>
      <w:r>
        <w:rPr>
          <w:lang w:val="es-ES"/>
        </w:rPr>
        <w:t xml:space="preserve">: financiamiento y montos, contrataciones, y la ejecución misma del curso —estas pendencias se gestionan con el roadmap de la década (Artículo 23).</w:t>
      </w:r>
    </w:p>
    <w:p>
      <w:r>
        <w:pict>
          <v:rect style="width:0;height:1.5pt" o:hralign="center" o:hrstd="t" o:hr="t"/>
        </w:pict>
      </w:r>
    </w:p>
    <w:bookmarkEnd w:id="21"/>
    <w:bookmarkEnd w:id="22"/>
    <w:bookmarkStart w:id="26" w:name="sección-c-alcance-y-gobernanza"/>
    <w:p>
      <w:pPr>
        <w:pStyle w:val="Heading2"/>
      </w:pPr>
      <w:r>
        <w:rPr>
          <w:lang w:val="es-ES"/>
        </w:rPr>
        <w:t xml:space="preserve">Sección C — Alcance y gobernanza</w:t>
      </w:r>
    </w:p>
    <w:bookmarkStart w:id="23" w:name="artículo-12.-alcance"/>
    <w:p>
      <w:pPr>
        <w:pStyle w:val="Heading3"/>
      </w:pPr>
      <w:r>
        <w:rPr>
          <w:lang w:val="es-ES"/>
        </w:rPr>
        <w:t xml:space="preserve">Artículo 12. Alcance</w:t>
      </w:r>
    </w:p>
    <w:p>
      <w:pPr>
        <w:pStyle w:val="FirstParagraph"/>
      </w:pPr>
      <w:r>
        <w:rPr>
          <w:b/>
          <w:bCs/>
          <w:lang w:val="es-ES"/>
        </w:rPr>
        <w:t xml:space="preserve">Dentro de alcance</w:t>
      </w:r>
      <w:r>
        <w:rPr>
          <w:lang w:val="es-ES"/>
        </w:rPr>
        <w:t xml:space="preserve">: piloto en</w:t>
      </w:r>
      <w:r>
        <w:rPr>
          <w:lang w:val="es-ES"/>
        </w:rPr>
        <w:t xml:space="preserve"> </w:t>
      </w:r>
      <w:r>
        <w:rPr>
          <w:b/>
          <w:bCs/>
          <w:lang w:val="es-ES"/>
        </w:rPr>
        <w:t xml:space="preserve">un plantel</w:t>
      </w:r>
      <w:r>
        <w:rPr>
          <w:lang w:val="es-ES"/>
        </w:rPr>
        <w:t xml:space="preserve">, un grado por ciclo, con los cuatro Campos formativos del Programa Sintético Fase 2 y sus 34 Contenidos; el método de la serie documental (integración de axiomas, filtro neuroeducativo, ayudas por neurodivergencia, inclusión NT–ND, dinámicas intergeneracionales); la formación de los adultos (curso M1–M8); y la producción y mantenimiento del</w:t>
      </w:r>
      <w:r>
        <w:rPr>
          <w:lang w:val="es-ES"/>
        </w:rPr>
        <w:t xml:space="preserve"> </w:t>
      </w:r>
      <w:r>
        <w:rPr>
          <w:b/>
          <w:bCs/>
          <w:lang w:val="es-ES"/>
        </w:rPr>
        <w:t xml:space="preserve">Programa Analítico</w:t>
      </w:r>
      <w:r>
        <w:rPr>
          <w:lang w:val="es-ES"/>
        </w:rPr>
        <w:t xml:space="preserve"> </w:t>
      </w:r>
      <w:r>
        <w:rPr>
          <w:lang w:val="es-ES"/>
        </w:rPr>
        <w:t xml:space="preserve">del grado (tres planos: lectura de la realidad, contextualización con contenidos nuevos, formulación con secuenciación y KPIs).</w:t>
      </w:r>
      <w:r>
        <w:rPr>
          <w:lang w:val="es-ES"/>
        </w:rPr>
        <w:t xml:space="preserve"> </w:t>
      </w:r>
      <w:r>
        <w:rPr>
          <w:b/>
          <w:bCs/>
          <w:lang w:val="es-ES"/>
        </w:rPr>
        <w:t xml:space="preserve">Fuera de alcance</w:t>
      </w:r>
      <w:r>
        <w:rPr>
          <w:lang w:val="es-ES"/>
        </w:rPr>
        <w:t xml:space="preserve">: sustituir el Plan de Estudio 2022 o el Programa Sintético; diagnóstico clínico; intervención terapéutica; promesas de resultados; escalamiento automático fuera de los criterios del roadmap (Artículo 23).</w:t>
      </w:r>
    </w:p>
    <w:bookmarkEnd w:id="23"/>
    <w:bookmarkStart w:id="24" w:name="artículo-13.-gobernanza"/>
    <w:p>
      <w:pPr>
        <w:pStyle w:val="Heading3"/>
      </w:pPr>
      <w:r>
        <w:rPr>
          <w:lang w:val="es-ES"/>
        </w:rPr>
        <w:t xml:space="preserve">Artículo 13. Gobernanza</w:t>
      </w:r>
    </w:p>
    <w:p>
      <w:pPr>
        <w:pStyle w:val="FirstParagraph"/>
      </w:pPr>
      <w:r>
        <w:rPr>
          <w:b/>
          <w:bCs/>
          <w:lang w:val="es-ES"/>
        </w:rPr>
        <w:t xml:space="preserve">Sponsor</w:t>
      </w:r>
      <w:r>
        <w:rPr>
          <w:lang w:val="es-ES"/>
        </w:rPr>
        <w:t xml:space="preserve"> </w:t>
      </w:r>
      <w:r>
        <w:rPr>
          <w:lang w:val="es-ES"/>
        </w:rPr>
        <w:t xml:space="preserve">(dirección del plantel o quien designe): aprueba fases, protege el tiempo del CTE, moviliza recursos y responde ante la comunidad — rol de</w:t>
      </w:r>
      <w:r>
        <w:rPr>
          <w:lang w:val="es-ES"/>
        </w:rPr>
        <w:t xml:space="preserve"> </w:t>
      </w:r>
      <w:r>
        <w:rPr>
          <w:b/>
          <w:bCs/>
          <w:lang w:val="es-ES"/>
        </w:rPr>
        <w:t xml:space="preserve">aprobación</w:t>
      </w:r>
      <w:r>
        <w:rPr>
          <w:lang w:val="es-ES"/>
        </w:rPr>
        <w:t xml:space="preserve"> </w:t>
      </w:r>
      <w:r>
        <w:rPr>
          <w:lang w:val="es-ES"/>
        </w:rPr>
        <w:t xml:space="preserve">en la matriz RACI (ADR, AD-6).</w:t>
      </w:r>
      <w:r>
        <w:rPr>
          <w:lang w:val="es-ES"/>
        </w:rPr>
        <w:t xml:space="preserve"> </w:t>
      </w:r>
      <w:r>
        <w:rPr>
          <w:b/>
          <w:bCs/>
          <w:lang w:val="es-ES"/>
        </w:rPr>
        <w:t xml:space="preserve">Coordinador del proyecto</w:t>
      </w:r>
      <w:r>
        <w:rPr>
          <w:lang w:val="es-ES"/>
        </w:rPr>
        <w:t xml:space="preserve">: ejecuta, mantiene la trazabilidad, convoca y documenta — rol de</w:t>
      </w:r>
      <w:r>
        <w:rPr>
          <w:lang w:val="es-ES"/>
        </w:rPr>
        <w:t xml:space="preserve"> </w:t>
      </w:r>
      <w:r>
        <w:rPr>
          <w:b/>
          <w:bCs/>
          <w:lang w:val="es-ES"/>
        </w:rPr>
        <w:t xml:space="preserve">ejecución</w:t>
      </w:r>
      <w:r>
        <w:rPr>
          <w:lang w:val="es-ES"/>
        </w:rPr>
        <w:t xml:space="preserve">.</w:t>
      </w:r>
      <w:r>
        <w:rPr>
          <w:lang w:val="es-ES"/>
        </w:rPr>
        <w:t xml:space="preserve"> </w:t>
      </w:r>
      <w:r>
        <w:rPr>
          <w:b/>
          <w:bCs/>
          <w:lang w:val="es-ES"/>
        </w:rPr>
        <w:t xml:space="preserve">Consejo Técnico Escolar (CTE)</w:t>
      </w:r>
      <w:r>
        <w:rPr>
          <w:lang w:val="es-ES"/>
        </w:rPr>
        <w:t xml:space="preserve">: codiseña, valida y aprende; cadencia quincenal durante la formación y semanal en la fase de codiseño del Analítico — rol de</w:t>
      </w:r>
      <w:r>
        <w:rPr>
          <w:lang w:val="es-ES"/>
        </w:rPr>
        <w:t xml:space="preserve"> </w:t>
      </w:r>
      <w:r>
        <w:rPr>
          <w:b/>
          <w:bCs/>
          <w:lang w:val="es-ES"/>
        </w:rPr>
        <w:t xml:space="preserve">corresponsabilidad</w:t>
      </w:r>
      <w:r>
        <w:rPr>
          <w:lang w:val="es-ES"/>
        </w:rPr>
        <w:t xml:space="preserve">.</w:t>
      </w:r>
      <w:r>
        <w:rPr>
          <w:lang w:val="es-ES"/>
        </w:rPr>
        <w:t xml:space="preserve"> </w:t>
      </w:r>
      <w:r>
        <w:rPr>
          <w:b/>
          <w:bCs/>
          <w:lang w:val="es-ES"/>
        </w:rPr>
        <w:t xml:space="preserve">Equipo docente</w:t>
      </w:r>
      <w:r>
        <w:rPr>
          <w:lang w:val="es-ES"/>
        </w:rPr>
        <w:t xml:space="preserve">: ejecuta en el aula y registra.</w:t>
      </w:r>
      <w:r>
        <w:rPr>
          <w:lang w:val="es-ES"/>
        </w:rPr>
        <w:t xml:space="preserve"> </w:t>
      </w:r>
      <w:r>
        <w:rPr>
          <w:b/>
          <w:bCs/>
          <w:lang w:val="es-ES"/>
        </w:rPr>
        <w:t xml:space="preserve">Familias y comunidad</w:t>
      </w:r>
      <w:r>
        <w:rPr>
          <w:lang w:val="es-ES"/>
        </w:rPr>
        <w:t xml:space="preserve">: consultadas en la lectura de la realidad e informadas de las decisiones. Toda decisión relevante se registra con fecha relativa, responsable y motivo; sin registro no ocurrió.</w:t>
      </w:r>
    </w:p>
    <w:bookmarkEnd w:id="24"/>
    <w:bookmarkStart w:id="25" w:name="artículo-14.-control-de-cambios"/>
    <w:p>
      <w:pPr>
        <w:pStyle w:val="Heading3"/>
      </w:pPr>
      <w:r>
        <w:rPr>
          <w:lang w:val="es-ES"/>
        </w:rPr>
        <w:t xml:space="preserve">Artículo 14. Control de cambios</w:t>
      </w:r>
    </w:p>
    <w:p>
      <w:pPr>
        <w:pStyle w:val="FirstParagraph"/>
      </w:pPr>
      <w:r>
        <w:rPr>
          <w:lang w:val="es-ES"/>
        </w:rPr>
        <w:t xml:space="preserve">Toda modificación de este Acta, del ADR, del Programa Analítico aprobado o del paquete documental pasa por</w:t>
      </w:r>
      <w:r>
        <w:rPr>
          <w:lang w:val="es-ES"/>
        </w:rPr>
        <w:t xml:space="preserve"> </w:t>
      </w:r>
      <w:r>
        <w:rPr>
          <w:b/>
          <w:bCs/>
          <w:lang w:val="es-ES"/>
        </w:rPr>
        <w:t xml:space="preserve">registro en CTE</w:t>
      </w:r>
      <w:r>
        <w:rPr>
          <w:lang w:val="es-ES"/>
        </w:rPr>
        <w:t xml:space="preserve"> </w:t>
      </w:r>
      <w:r>
        <w:rPr>
          <w:lang w:val="es-ES"/>
        </w:rPr>
        <w:t xml:space="preserve">con estado, motivo y responsable (ADR, AD-6). Los cambios menores (redacción, ejemplos) los aprueba el coordinador; los cambios de alcance, de política o de axiomas, el sponsor con el CTE. El control de cambios es la aplicación institucional de AX-3:</w:t>
      </w:r>
      <w:r>
        <w:rPr>
          <w:lang w:val="es-ES"/>
        </w:rPr>
        <w:t xml:space="preserve"> </w:t>
      </w:r>
      <w:r>
        <w:rPr>
          <w:b/>
          <w:bCs/>
          <w:lang w:val="es-ES"/>
        </w:rPr>
        <w:t xml:space="preserve">revisar con matices, no romper por capricho</w:t>
      </w:r>
      <w:r>
        <w:rPr>
          <w:lang w:val="es-ES"/>
        </w:rPr>
        <w:t xml:space="preserve">.</w:t>
      </w:r>
    </w:p>
    <w:p>
      <w:r>
        <w:pict>
          <v:rect style="width:0;height:1.5pt" o:hralign="center" o:hrstd="t" o:hr="t"/>
        </w:pict>
      </w:r>
    </w:p>
    <w:bookmarkEnd w:id="25"/>
    <w:bookmarkEnd w:id="26"/>
    <w:bookmarkStart w:id="30" w:name="X84c8c51ebe19528936b3f8dfdf1c24fb73a6d6e"/>
    <w:p>
      <w:pPr>
        <w:pStyle w:val="Heading2"/>
      </w:pPr>
      <w:r>
        <w:rPr>
          <w:lang w:val="es-ES"/>
        </w:rPr>
        <w:t xml:space="preserve">Sección D — Pedagogía y andragogía: los dos métodos del proyecto</w:t>
      </w:r>
    </w:p>
    <w:bookmarkStart w:id="27" w:name="X25d64fb053fb5fe417ab7365ae7bd83aaf5c7f4"/>
    <w:p>
      <w:pPr>
        <w:pStyle w:val="Heading3"/>
      </w:pPr>
      <w:r>
        <w:rPr>
          <w:lang w:val="es-ES"/>
        </w:rPr>
        <w:t xml:space="preserve">Artículo 15. Método paidagógico (con las niñas y los niños)</w:t>
      </w:r>
    </w:p>
    <w:p>
      <w:pPr>
        <w:pStyle w:val="FirstParagraph"/>
      </w:pPr>
      <w:r>
        <w:rPr>
          <w:lang w:val="es-ES"/>
        </w:rPr>
        <w:t xml:space="preserve">Se enseña</w:t>
      </w:r>
      <w:r>
        <w:rPr>
          <w:lang w:val="es-ES"/>
        </w:rPr>
        <w:t xml:space="preserve"> </w:t>
      </w:r>
      <w:r>
        <w:rPr>
          <w:b/>
          <w:bCs/>
          <w:lang w:val="es-ES"/>
        </w:rPr>
        <w:t xml:space="preserve">como aprende el cerebro de 3 a 6 años</w:t>
      </w:r>
      <w:r>
        <w:rPr>
          <w:lang w:val="es-ES"/>
        </w:rPr>
        <w:t xml:space="preserve">: por juego como vía principal (juego libre, pretendido y de reglas), dentro de la zona de desarrollo próximo con andamiaje que se retira, con co-regulación adulta antes que exigencia, con ambiente predecible y ordenado, y con evaluación</w:t>
      </w:r>
      <w:r>
        <w:rPr>
          <w:lang w:val="es-ES"/>
        </w:rPr>
        <w:t xml:space="preserve"> </w:t>
      </w:r>
      <w:r>
        <w:rPr>
          <w:b/>
          <w:bCs/>
          <w:lang w:val="es-ES"/>
        </w:rPr>
        <w:t xml:space="preserve">formativa</w:t>
      </w:r>
      <w:r>
        <w:rPr>
          <w:lang w:val="es-ES"/>
        </w:rPr>
        <w:t xml:space="preserve"> </w:t>
      </w:r>
      <w:r>
        <w:rPr>
          <w:lang w:val="es-ES"/>
        </w:rPr>
        <w:t xml:space="preserve">—observación, rúbrica de tres niveles (emergente / con apoyo / solo), registro breve—,</w:t>
      </w:r>
      <w:r>
        <w:rPr>
          <w:lang w:val="es-ES"/>
        </w:rPr>
        <w:t xml:space="preserve"> </w:t>
      </w:r>
      <w:r>
        <w:rPr>
          <w:b/>
          <w:bCs/>
          <w:lang w:val="es-ES"/>
        </w:rPr>
        <w:t xml:space="preserve">nunca</w:t>
      </w:r>
      <w:r>
        <w:rPr>
          <w:lang w:val="es-ES"/>
        </w:rPr>
        <w:t xml:space="preserve"> </w:t>
      </w:r>
      <w:r>
        <w:rPr>
          <w:lang w:val="es-ES"/>
        </w:rPr>
        <w:t xml:space="preserve">con exámenes, calificaciones comparativas ni castigos. La inclusión es de</w:t>
      </w:r>
      <w:r>
        <w:rPr>
          <w:lang w:val="es-ES"/>
        </w:rPr>
        <w:t xml:space="preserve"> </w:t>
      </w:r>
      <w:r>
        <w:rPr>
          <w:b/>
          <w:bCs/>
          <w:lang w:val="es-ES"/>
        </w:rPr>
        <w:t xml:space="preserve">diseño</w:t>
      </w:r>
      <w:r>
        <w:rPr>
          <w:lang w:val="es-ES"/>
        </w:rPr>
        <w:t xml:space="preserve">: apoyos universales primero, ayudas por perfil observado (autismo, TDAH, TDL, sensoriales) sin segregación, y ajustes razonables como derecho. Los protocolos de seguridad se practican con entrenamiento conductual; el error es información (AX-1); el trato es de alta exigencia y alta calidez.</w:t>
      </w:r>
    </w:p>
    <w:p>
      <w:pPr>
        <w:pStyle w:val="BodyText"/>
      </w:pPr>
      <w:r>
        <w:rPr>
          <w:b/>
          <w:bCs/>
          <w:lang w:val="es-ES"/>
        </w:rPr>
        <w:t xml:space="preserve">Regla Raíz–Red (enmienda v0.2).</w:t>
      </w:r>
      <w:r>
        <w:rPr>
          <w:lang w:val="es-ES"/>
        </w:rPr>
        <w:t xml:space="preserve"> </w:t>
      </w:r>
      <w:r>
        <w:rPr>
          <w:lang w:val="es-ES"/>
        </w:rPr>
        <w:t xml:space="preserve">En el aula, la</w:t>
      </w:r>
      <w:r>
        <w:rPr>
          <w:lang w:val="es-ES"/>
        </w:rPr>
        <w:t xml:space="preserve"> </w:t>
      </w:r>
      <w:r>
        <w:rPr>
          <w:b/>
          <w:bCs/>
          <w:lang w:val="es-ES"/>
        </w:rPr>
        <w:t xml:space="preserve">raíz</w:t>
      </w:r>
      <w:r>
        <w:rPr>
          <w:lang w:val="es-ES"/>
        </w:rPr>
        <w:t xml:space="preserve"> </w:t>
      </w:r>
      <w:r>
        <w:rPr>
          <w:lang w:val="es-ES"/>
        </w:rPr>
        <w:t xml:space="preserve">es lo que no se negocia: seguridad practicada, derechos, cimientos neuro (funciones ejecutivas, lenguaje, regulación) y los PDA oficiales del Programa Sintético. La</w:t>
      </w:r>
      <w:r>
        <w:rPr>
          <w:lang w:val="es-ES"/>
        </w:rPr>
        <w:t xml:space="preserve"> </w:t>
      </w:r>
      <w:r>
        <w:rPr>
          <w:b/>
          <w:bCs/>
          <w:lang w:val="es-ES"/>
        </w:rPr>
        <w:t xml:space="preserve">red</w:t>
      </w:r>
      <w:r>
        <w:rPr>
          <w:lang w:val="es-ES"/>
        </w:rPr>
        <w:t xml:space="preserve"> </w:t>
      </w:r>
      <w:r>
        <w:rPr>
          <w:lang w:val="es-ES"/>
        </w:rPr>
        <w:t xml:space="preserve">es lo que el grupo construye: preguntas, proyectos, nodos de contexto y saberes de la comunidad —</w:t>
      </w:r>
      <w:r>
        <w:rPr>
          <w:b/>
          <w:bCs/>
          <w:lang w:val="es-ES"/>
        </w:rPr>
        <w:t xml:space="preserve">misma raíz, distinta red</w:t>
      </w:r>
      <w:r>
        <w:rPr>
          <w:lang w:val="es-ES"/>
        </w:rPr>
        <w:t xml:space="preserve"> </w:t>
      </w:r>
      <w:r>
        <w:rPr>
          <w:lang w:val="es-ES"/>
        </w:rPr>
        <w:t xml:space="preserve">para cada grupo. El docente ejerce como</w:t>
      </w:r>
      <w:r>
        <w:rPr>
          <w:lang w:val="es-ES"/>
        </w:rPr>
        <w:t xml:space="preserve"> </w:t>
      </w:r>
      <w:r>
        <w:rPr>
          <w:b/>
          <w:bCs/>
          <w:lang w:val="es-ES"/>
        </w:rPr>
        <w:t xml:space="preserve">curador-conector</w:t>
      </w:r>
      <w:r>
        <w:rPr>
          <w:lang w:val="es-ES"/>
        </w:rPr>
        <w:t xml:space="preserve">: ni fuente única ni facilitador pasivo; secuencia, selecciona y conecta. Toda conexión emergente se filtra por evidencia y anti-neuromitos (Regla 6 de</w:t>
      </w:r>
      <w:r>
        <w:rPr>
          <w:lang w:val="es-ES"/>
        </w:rPr>
        <w:t xml:space="preserve"> </w:t>
      </w:r>
      <w:r>
        <w:rPr>
          <w:rStyle w:val="VerbatimChar"/>
          <w:lang w:val="es-ES"/>
        </w:rPr>
        <w:t xml:space="preserve">propuesta-hibrida-de-posturas.md</w:t>
      </w:r>
      <w:r>
        <w:rPr>
          <w:lang w:val="es-ES"/>
        </w:rPr>
        <w:t xml:space="preserve">).</w:t>
      </w:r>
    </w:p>
    <w:bookmarkEnd w:id="27"/>
    <w:bookmarkStart w:id="28" w:name="Xdce550aef2a7cf26e6386ba45985f2b4ad44818"/>
    <w:p>
      <w:pPr>
        <w:pStyle w:val="Heading3"/>
      </w:pPr>
      <w:r>
        <w:rPr>
          <w:lang w:val="es-ES"/>
        </w:rPr>
        <w:t xml:space="preserve">Artículo 16. Método andragógico (con los adultos)</w:t>
      </w:r>
    </w:p>
    <w:p>
      <w:pPr>
        <w:pStyle w:val="FirstParagraph"/>
      </w:pPr>
      <w:r>
        <w:rPr>
          <w:lang w:val="es-ES"/>
        </w:rPr>
        <w:t xml:space="preserve">Quienes enseñan, financian, acompañan o deciden</w:t>
      </w:r>
      <w:r>
        <w:rPr>
          <w:lang w:val="es-ES"/>
        </w:rPr>
        <w:t xml:space="preserve"> </w:t>
      </w:r>
      <w:r>
        <w:rPr>
          <w:b/>
          <w:bCs/>
          <w:lang w:val="es-ES"/>
        </w:rPr>
        <w:t xml:space="preserve">aprenden con método de adulto</w:t>
      </w:r>
      <w:r>
        <w:rPr>
          <w:lang w:val="es-ES"/>
        </w:rPr>
        <w:t xml:space="preserve">: el curso M1–M8 aplica los seis principios de Knowles (primer el</w:t>
      </w:r>
      <w:r>
        <w:rPr>
          <w:lang w:val="es-ES"/>
        </w:rPr>
        <w:t xml:space="preserve"> </w:t>
      </w:r>
      <w:r>
        <w:rPr>
          <w:b/>
          <w:bCs/>
          <w:lang w:val="es-ES"/>
        </w:rPr>
        <w:t xml:space="preserve">porqué</w:t>
      </w:r>
      <w:r>
        <w:rPr>
          <w:lang w:val="es-ES"/>
        </w:rPr>
        <w:t xml:space="preserve">, autonomía, experiencia como material, rol nuevo, problema real, motivación interna), usa aprendizaje experiencial y doble bucle, y se evalúa con evidencias y producto integrador, no con examen. La formación es</w:t>
      </w:r>
      <w:r>
        <w:rPr>
          <w:lang w:val="es-ES"/>
        </w:rPr>
        <w:t xml:space="preserve"> </w:t>
      </w:r>
      <w:r>
        <w:rPr>
          <w:b/>
          <w:bCs/>
          <w:lang w:val="es-ES"/>
        </w:rPr>
        <w:t xml:space="preserve">obligatoria para intervenir</w:t>
      </w:r>
      <w:r>
        <w:rPr>
          <w:lang w:val="es-ES"/>
        </w:rPr>
        <w:t xml:space="preserve"> </w:t>
      </w:r>
      <w:r>
        <w:rPr>
          <w:lang w:val="es-ES"/>
        </w:rPr>
        <w:t xml:space="preserve">(Artículo 9) y se renueva con cada revalidación (Artículo 23). El CTE funciona como</w:t>
      </w:r>
      <w:r>
        <w:rPr>
          <w:lang w:val="es-ES"/>
        </w:rPr>
        <w:t xml:space="preserve"> </w:t>
      </w:r>
      <w:r>
        <w:rPr>
          <w:b/>
          <w:bCs/>
          <w:lang w:val="es-ES"/>
        </w:rPr>
        <w:t xml:space="preserve">comunidad de práctica</w:t>
      </w:r>
      <w:r>
        <w:rPr>
          <w:lang w:val="es-ES"/>
        </w:rPr>
        <w:t xml:space="preserve"> </w:t>
      </w:r>
      <w:r>
        <w:rPr>
          <w:lang w:val="es-ES"/>
        </w:rPr>
        <w:t xml:space="preserve">con seguridad psicológica: sin ella, nadie reporta lo que falló y el proyecto no aprende. La pedagogía se aplica a los niños y la andragogía a los adultos: usar el método equivocado produce resistencia (compatibilidad pedagógico-andragógica, glosario G26).</w:t>
      </w:r>
    </w:p>
    <w:p>
      <w:pPr>
        <w:pStyle w:val="BodyText"/>
      </w:pPr>
      <w:r>
        <w:rPr>
          <w:b/>
          <w:bCs/>
          <w:lang w:val="es-ES"/>
        </w:rPr>
        <w:t xml:space="preserve">Red de aprendizaje de adultos (enmienda v0.2).</w:t>
      </w:r>
      <w:r>
        <w:rPr>
          <w:lang w:val="es-ES"/>
        </w:rPr>
        <w:t xml:space="preserve"> </w:t>
      </w:r>
      <w:r>
        <w:rPr>
          <w:lang w:val="es-ES"/>
        </w:rPr>
        <w:t xml:space="preserve">Para los adultos, el híbrido Raíz–Red se vive como</w:t>
      </w:r>
      <w:r>
        <w:rPr>
          <w:lang w:val="es-ES"/>
        </w:rPr>
        <w:t xml:space="preserve"> </w:t>
      </w:r>
      <w:r>
        <w:rPr>
          <w:b/>
          <w:bCs/>
          <w:lang w:val="es-ES"/>
        </w:rPr>
        <w:t xml:space="preserve">red</w:t>
      </w:r>
      <w:r>
        <w:rPr>
          <w:lang w:val="es-ES"/>
        </w:rPr>
        <w:t xml:space="preserve">: el CTE es un nodo de una red que incluye a familias, comunidad, jóvenes y otros planteles; la secuencia M1–M8 es la raíz de la formación y la construcción colectiva de los materiales que cada grupo necesita es su red. El adulto del proyecto aprende</w:t>
      </w:r>
      <w:r>
        <w:rPr>
          <w:lang w:val="es-ES"/>
        </w:rPr>
        <w:t xml:space="preserve"> </w:t>
      </w:r>
      <w:r>
        <w:rPr>
          <w:b/>
          <w:bCs/>
          <w:lang w:val="es-ES"/>
        </w:rPr>
        <w:t xml:space="preserve">con</w:t>
      </w:r>
      <w:r>
        <w:rPr>
          <w:lang w:val="es-ES"/>
        </w:rPr>
        <w:t xml:space="preserve"> </w:t>
      </w:r>
      <w:r>
        <w:rPr>
          <w:lang w:val="es-ES"/>
        </w:rPr>
        <w:t xml:space="preserve">y</w:t>
      </w:r>
      <w:r>
        <w:rPr>
          <w:lang w:val="es-ES"/>
        </w:rPr>
        <w:t xml:space="preserve"> </w:t>
      </w:r>
      <w:r>
        <w:rPr>
          <w:b/>
          <w:bCs/>
          <w:lang w:val="es-ES"/>
        </w:rPr>
        <w:t xml:space="preserve">desde</w:t>
      </w:r>
      <w:r>
        <w:rPr>
          <w:lang w:val="es-ES"/>
        </w:rPr>
        <w:t xml:space="preserve"> </w:t>
      </w:r>
      <w:r>
        <w:rPr>
          <w:lang w:val="es-ES"/>
        </w:rPr>
        <w:t xml:space="preserve">la red —documentada, no espontánea— y su criterio maduro reemplaza al estándar recibido: valida su práctica con evidencia y con proceso, no con la aprobación externa que normaliza (contra la crítica del estándar validatorio documentada en el debate).</w:t>
      </w:r>
    </w:p>
    <w:bookmarkEnd w:id="28"/>
    <w:bookmarkStart w:id="29" w:name="X64669753174c83b6751d1f2887cc04d83082329"/>
    <w:p>
      <w:pPr>
        <w:pStyle w:val="Heading3"/>
      </w:pPr>
      <w:r>
        <w:rPr>
          <w:lang w:val="es-ES"/>
        </w:rPr>
        <w:t xml:space="preserve">Artículo 17. Reglas de la convivencia intergeneracional</w:t>
      </w:r>
    </w:p>
    <w:p>
      <w:pPr>
        <w:pStyle w:val="FirstParagraph"/>
      </w:pPr>
      <w:r>
        <w:rPr>
          <w:lang w:val="es-ES"/>
        </w:rPr>
        <w:t xml:space="preserve">Las dinámicas con bebés, personas infantes mayores, jóvenes y adultos se rigen por sus reglas de oro: el menor de 3 años siempre con su adulto responsable presente; los niños de 3 a 6</w:t>
      </w:r>
      <w:r>
        <w:rPr>
          <w:lang w:val="es-ES"/>
        </w:rPr>
        <w:t xml:space="preserve"> </w:t>
      </w:r>
      <w:r>
        <w:rPr>
          <w:b/>
          <w:bCs/>
          <w:lang w:val="es-ES"/>
        </w:rPr>
        <w:t xml:space="preserve">nunca como cuidadores</w:t>
      </w:r>
      <w:r>
        <w:rPr>
          <w:lang w:val="es-ES"/>
        </w:rPr>
        <w:t xml:space="preserve"> </w:t>
      </w:r>
      <w:r>
        <w:rPr>
          <w:lang w:val="es-ES"/>
        </w:rPr>
        <w:t xml:space="preserve">de bebés; interacciones cortas (8–15 minutos); roles asimétricos claros (el mayor acompaña, no examina; el visitante enseña su saber, no dirige la escuela); preparación previa de todo visitante; y participación</w:t>
      </w:r>
      <w:r>
        <w:rPr>
          <w:lang w:val="es-ES"/>
        </w:rPr>
        <w:t xml:space="preserve"> </w:t>
      </w:r>
      <w:r>
        <w:rPr>
          <w:b/>
          <w:bCs/>
          <w:lang w:val="es-ES"/>
        </w:rPr>
        <w:t xml:space="preserve">nunca obligada</w:t>
      </w:r>
      <w:r>
        <w:rPr>
          <w:lang w:val="es-ES"/>
        </w:rPr>
        <w:t xml:space="preserve"> </w:t>
      </w:r>
      <w:r>
        <w:rPr>
          <w:lang w:val="es-ES"/>
        </w:rPr>
        <w:t xml:space="preserve">—la observación también es participación.</w:t>
      </w:r>
    </w:p>
    <w:p>
      <w:r>
        <w:pict>
          <v:rect style="width:0;height:1.5pt" o:hralign="center" o:hrstd="t" o:hr="t"/>
        </w:pict>
      </w:r>
    </w:p>
    <w:bookmarkEnd w:id="29"/>
    <w:bookmarkEnd w:id="30"/>
    <w:bookmarkStart w:id="35" w:name="X64076524b37c85a1272c5c1dd1591f7e23a1109"/>
    <w:p>
      <w:pPr>
        <w:pStyle w:val="Heading2"/>
      </w:pPr>
      <w:r>
        <w:rPr>
          <w:lang w:val="es-ES"/>
        </w:rPr>
        <w:t xml:space="preserve">Sección E — Métricas: el Acta como instrumento de medida</w:t>
      </w:r>
    </w:p>
    <w:bookmarkStart w:id="31" w:name="artículo-18.-línea-base"/>
    <w:p>
      <w:pPr>
        <w:pStyle w:val="Heading3"/>
      </w:pPr>
      <w:r>
        <w:rPr>
          <w:lang w:val="es-ES"/>
        </w:rPr>
        <w:t xml:space="preserve">Artículo 18. Línea base</w:t>
      </w:r>
    </w:p>
    <w:p>
      <w:pPr>
        <w:pStyle w:val="FirstParagraph"/>
      </w:pPr>
      <w:r>
        <w:rPr>
          <w:lang w:val="es-ES"/>
        </w:rPr>
        <w:t xml:space="preserve">Ninguna fase se declara iniciada sin</w:t>
      </w:r>
      <w:r>
        <w:rPr>
          <w:lang w:val="es-ES"/>
        </w:rPr>
        <w:t xml:space="preserve"> </w:t>
      </w:r>
      <w:r>
        <w:rPr>
          <w:b/>
          <w:bCs/>
          <w:lang w:val="es-ES"/>
        </w:rPr>
        <w:t xml:space="preserve">línea base</w:t>
      </w:r>
      <w:r>
        <w:rPr>
          <w:lang w:val="es-ES"/>
        </w:rPr>
        <w:t xml:space="preserve">: medición del punto de partida en los cuatro beneficiarios (prácticas docentes y conocimiento de axiomas, percepción de clima, PDA por niño, participación de familias, incidencias). Sin línea base no hay control de proyecto: sólo hay opinión (AX-1).</w:t>
      </w:r>
    </w:p>
    <w:bookmarkEnd w:id="31"/>
    <w:bookmarkStart w:id="32" w:name="X5a65d972e48a777e47f262bf9494b5c831e81d4"/>
    <w:p>
      <w:pPr>
        <w:pStyle w:val="Heading3"/>
      </w:pPr>
      <w:r>
        <w:rPr>
          <w:lang w:val="es-ES"/>
        </w:rPr>
        <w:t xml:space="preserve">Artículo 19. Indicadores por beneficiario</w:t>
      </w:r>
    </w:p>
    <w:p>
      <w:pPr>
        <w:pStyle w:val="FirstParagraph"/>
      </w:pPr>
      <w:r>
        <w:rPr>
          <w:b/>
          <w:bCs/>
          <w:lang w:val="es-ES"/>
        </w:rPr>
        <w:t xml:space="preserve">Niñas y niños</w:t>
      </w:r>
      <w:r>
        <w:rPr>
          <w:lang w:val="es-ES"/>
        </w:rPr>
        <w:t xml:space="preserve">: porcentaje de jornada en juego libre (meta ≥30%); PDA del grado por niño en tres niveles (emergente / con apoyo / solo), comparado consigo mismo; protocolos de seguridad practicados y ejecutados en situación (100% antes del cierre del ciclo); crisis por semana registradas (línea base → descuento ≥40% al cierre); señales de alerta detectadas y derivadas a tiempo (100% de los casos).</w:t>
      </w:r>
    </w:p>
    <w:p>
      <w:pPr>
        <w:pStyle w:val="BodyText"/>
      </w:pPr>
      <w:r>
        <w:rPr>
          <w:b/>
          <w:bCs/>
          <w:lang w:val="es-ES"/>
        </w:rPr>
        <w:t xml:space="preserve">Personal docente y adulto</w:t>
      </w:r>
      <w:r>
        <w:rPr>
          <w:lang w:val="es-ES"/>
        </w:rPr>
        <w:t xml:space="preserve">: completitud de M1–M8 (≥80% de asistencia del equipo clave y entregables al día); adherencia al protocolo de crisis observada (≥80%); clima del CTE medido por percepción (≥7/10); incidencias de prácticas sin respaldo neuromitos detectadas y corregidas (filtro del bloque J).</w:t>
      </w:r>
    </w:p>
    <w:p>
      <w:pPr>
        <w:pStyle w:val="BodyText"/>
      </w:pPr>
      <w:r>
        <w:rPr>
          <w:b/>
          <w:bCs/>
          <w:lang w:val="es-ES"/>
        </w:rPr>
        <w:t xml:space="preserve">Familias</w:t>
      </w:r>
      <w:r>
        <w:rPr>
          <w:lang w:val="es-ES"/>
        </w:rPr>
        <w:t xml:space="preserve">: participación en espacios de diálogo (≥70% de convocatorias); percepción de coherencia escuela-casa (mejora vs. línea base); quejas por incomprensión del método resueltas con registro (100% atendidas).</w:t>
      </w:r>
    </w:p>
    <w:p>
      <w:pPr>
        <w:pStyle w:val="BodyText"/>
      </w:pPr>
      <w:r>
        <w:rPr>
          <w:b/>
          <w:bCs/>
          <w:lang w:val="es-ES"/>
        </w:rPr>
        <w:t xml:space="preserve">Plantel</w:t>
      </w:r>
      <w:r>
        <w:rPr>
          <w:lang w:val="es-ES"/>
        </w:rPr>
        <w:t xml:space="preserve">: Programa Analítico codiseñado, aprobado y vivo (100% de grados del piloto); cero usos de IA que violen la política de datos (meta: 0 incidentes; cualquier incidente es evento rojo); materiales auditados antes de usar (100%); actualizaciones legales y científicas aplicadas en plazo (Artículo 23).</w:t>
      </w:r>
    </w:p>
    <w:p>
      <w:pPr>
        <w:pStyle w:val="BodyText"/>
      </w:pPr>
      <w:r>
        <w:rPr>
          <w:b/>
          <w:bCs/>
          <w:lang w:val="es-ES"/>
        </w:rPr>
        <w:t xml:space="preserve">Validación por proceso (enmienda v0.2).</w:t>
      </w:r>
      <w:r>
        <w:rPr>
          <w:lang w:val="es-ES"/>
        </w:rPr>
        <w:t xml:space="preserve"> </w:t>
      </w:r>
      <w:r>
        <w:rPr>
          <w:lang w:val="es-ES"/>
        </w:rPr>
        <w:t xml:space="preserve">El proyecto mide</w:t>
      </w:r>
      <w:r>
        <w:rPr>
          <w:lang w:val="es-ES"/>
        </w:rPr>
        <w:t xml:space="preserve"> </w:t>
      </w:r>
      <w:r>
        <w:rPr>
          <w:b/>
          <w:bCs/>
          <w:lang w:val="es-ES"/>
        </w:rPr>
        <w:t xml:space="preserve">muestras de proceso</w:t>
      </w:r>
      <w:r>
        <w:rPr>
          <w:lang w:val="es-ES"/>
        </w:rPr>
        <w:t xml:space="preserve"> </w:t>
      </w:r>
      <w:r>
        <w:rPr>
          <w:lang w:val="es-ES"/>
        </w:rPr>
        <w:t xml:space="preserve">—registros de observación, portafolios, evidencias de desempeño en situación— y no sólo el alcance de un estándar externo validador. Los referentes por grado (PDA, hitos)</w:t>
      </w:r>
      <w:r>
        <w:rPr>
          <w:lang w:val="es-ES"/>
        </w:rPr>
        <w:t xml:space="preserve"> </w:t>
      </w:r>
      <w:r>
        <w:rPr>
          <w:b/>
          <w:bCs/>
          <w:lang w:val="es-ES"/>
        </w:rPr>
        <w:t xml:space="preserve">orientan la mirada, nunca clasifican al niño ni al docente</w:t>
      </w:r>
      <w:r>
        <w:rPr>
          <w:lang w:val="es-ES"/>
        </w:rPr>
        <w:t xml:space="preserve">: la validación es por proceso y por muestra, con rúbrica de tres niveles comparada siempre consigo mismo (AX-1: la información del proceso es la única que mejora el sistema).</w:t>
      </w:r>
    </w:p>
    <w:bookmarkEnd w:id="32"/>
    <w:bookmarkStart w:id="33" w:name="X0d377482a986d3f71ed4028212e4335278e1b17"/>
    <w:p>
      <w:pPr>
        <w:pStyle w:val="Heading3"/>
      </w:pPr>
      <w:r>
        <w:rPr>
          <w:lang w:val="es-ES"/>
        </w:rPr>
        <w:t xml:space="preserve">Artículo 20. Semáforo de salud del proyecto</w:t>
      </w:r>
    </w:p>
    <w:p>
      <w:pPr>
        <w:pStyle w:val="FirstParagraph"/>
      </w:pPr>
      <w:r>
        <w:rPr>
          <w:lang w:val="es-ES"/>
        </w:rPr>
        <w:t xml:space="preserve">Cada revisión de ciclo clasifica cada indicador en tres estados y exige respuesta.</w:t>
      </w:r>
      <w:r>
        <w:rPr>
          <w:lang w:val="es-ES"/>
        </w:rPr>
        <w:t xml:space="preserve"> </w:t>
      </w:r>
      <w:r>
        <w:rPr>
          <w:b/>
          <w:bCs/>
          <w:lang w:val="es-ES"/>
        </w:rPr>
        <w:t xml:space="preserve">Verde</w:t>
      </w:r>
      <w:r>
        <w:rPr>
          <w:lang w:val="es-ES"/>
        </w:rPr>
        <w:t xml:space="preserve">: dentro de meta → se sostiene y se documenta.</w:t>
      </w:r>
      <w:r>
        <w:rPr>
          <w:lang w:val="es-ES"/>
        </w:rPr>
        <w:t xml:space="preserve"> </w:t>
      </w:r>
      <w:r>
        <w:rPr>
          <w:b/>
          <w:bCs/>
          <w:lang w:val="es-ES"/>
        </w:rPr>
        <w:t xml:space="preserve">Ámbar</w:t>
      </w:r>
      <w:r>
        <w:rPr>
          <w:lang w:val="es-ES"/>
        </w:rPr>
        <w:t xml:space="preserve">: por debajo de meta en una revisión → acción correctiva con responsable y fecha relativa en el registro de cambios.</w:t>
      </w:r>
      <w:r>
        <w:rPr>
          <w:lang w:val="es-ES"/>
        </w:rPr>
        <w:t xml:space="preserve"> </w:t>
      </w:r>
      <w:r>
        <w:rPr>
          <w:b/>
          <w:bCs/>
          <w:lang w:val="es-ES"/>
        </w:rPr>
        <w:t xml:space="preserve">Rojo</w:t>
      </w:r>
      <w:r>
        <w:rPr>
          <w:lang w:val="es-ES"/>
        </w:rPr>
        <w:t xml:space="preserve">: por debajo en dos revisiones consecutivas, o cualquier incidente de violencia contra un niño, o incumplimiento de la política de datos →</w:t>
      </w:r>
      <w:r>
        <w:rPr>
          <w:lang w:val="es-ES"/>
        </w:rPr>
        <w:t xml:space="preserve"> </w:t>
      </w:r>
      <w:r>
        <w:rPr>
          <w:b/>
          <w:bCs/>
          <w:lang w:val="es-ES"/>
        </w:rPr>
        <w:t xml:space="preserve">escalamiento inmediato al sponsor con plan correctivo formal y revisión externa</w:t>
      </w:r>
      <w:r>
        <w:rPr>
          <w:lang w:val="es-ES"/>
        </w:rPr>
        <w:t xml:space="preserve">. El semáforo es la lectura ejecutiva del proyecto: un vistazo, cuatro estados de salud.</w:t>
      </w:r>
    </w:p>
    <w:bookmarkEnd w:id="33"/>
    <w:bookmarkStart w:id="34" w:name="artículo-21.-evidencia-de-cumplimiento"/>
    <w:p>
      <w:pPr>
        <w:pStyle w:val="Heading3"/>
      </w:pPr>
      <w:r>
        <w:rPr>
          <w:lang w:val="es-ES"/>
        </w:rPr>
        <w:t xml:space="preserve">Artículo 21. Evidencia de cumplimiento</w:t>
      </w:r>
    </w:p>
    <w:p>
      <w:pPr>
        <w:pStyle w:val="FirstParagraph"/>
      </w:pPr>
      <w:r>
        <w:rPr>
          <w:lang w:val="es-ES"/>
        </w:rPr>
        <w:t xml:space="preserve">El proyecto guarda, como prueba de cumplimiento: el registro de decisiones (ADR y sus enmiendas), el Programa Analítico con fecha y firma del CTE, los consentimientos informados de las familias, los registros de observación formativa (sin exposición de datos innecesarios), los actas de las sesiones de formación, los reportes de los ciclos de actualización (Artículo 23) y las retrospectivas por fase.</w:t>
      </w:r>
      <w:r>
        <w:rPr>
          <w:lang w:val="es-ES"/>
        </w:rPr>
        <w:t xml:space="preserve"> </w:t>
      </w:r>
      <w:r>
        <w:rPr>
          <w:b/>
          <w:bCs/>
          <w:lang w:val="es-ES"/>
        </w:rPr>
        <w:t xml:space="preserve">Trazabilidad</w:t>
      </w:r>
      <w:r>
        <w:rPr>
          <w:lang w:val="es-ES"/>
        </w:rPr>
        <w:t xml:space="preserve">: toda decisión debe poder rastrearse hasta su fuente —norma, evidencia científica o axioma— en una sola búsqueda (glosario I15).</w:t>
      </w:r>
    </w:p>
    <w:p>
      <w:r>
        <w:pict>
          <v:rect style="width:0;height:1.5pt" o:hralign="center" o:hrstd="t" o:hr="t"/>
        </w:pict>
      </w:r>
    </w:p>
    <w:bookmarkEnd w:id="34"/>
    <w:bookmarkEnd w:id="35"/>
    <w:bookmarkStart w:id="40" w:name="Xf8d77b2044822aafe0cf393d94c0ce73efbec79"/>
    <w:p>
      <w:pPr>
        <w:pStyle w:val="Heading2"/>
      </w:pPr>
      <w:r>
        <w:rPr>
          <w:lang w:val="es-ES"/>
        </w:rPr>
        <w:t xml:space="preserve">Sección F — Vigencia decenal y actualización</w:t>
      </w:r>
    </w:p>
    <w:bookmarkStart w:id="36" w:name="artículo-22.-vigencia"/>
    <w:p>
      <w:pPr>
        <w:pStyle w:val="Heading3"/>
      </w:pPr>
      <w:r>
        <w:rPr>
          <w:lang w:val="es-ES"/>
        </w:rPr>
        <w:t xml:space="preserve">Artículo 22. Vigencia</w:t>
      </w:r>
    </w:p>
    <w:p>
      <w:pPr>
        <w:pStyle w:val="FirstParagraph"/>
      </w:pPr>
      <w:r>
        <w:rPr>
          <w:lang w:val="es-ES"/>
        </w:rPr>
        <w:t xml:space="preserve">Este Acta es válido por</w:t>
      </w:r>
      <w:r>
        <w:rPr>
          <w:lang w:val="es-ES"/>
        </w:rPr>
        <w:t xml:space="preserve"> </w:t>
      </w:r>
      <w:r>
        <w:rPr>
          <w:b/>
          <w:bCs/>
          <w:lang w:val="es-ES"/>
        </w:rPr>
        <w:t xml:space="preserve">diez años</w:t>
      </w:r>
      <w:r>
        <w:rPr>
          <w:lang w:val="es-ES"/>
        </w:rPr>
        <w:t xml:space="preserve"> </w:t>
      </w:r>
      <w:r>
        <w:rPr>
          <w:lang w:val="es-ES"/>
        </w:rPr>
        <w:t xml:space="preserve">desde su firma (Artículo 27), con</w:t>
      </w:r>
      <w:r>
        <w:rPr>
          <w:lang w:val="es-ES"/>
        </w:rPr>
        <w:t xml:space="preserve"> </w:t>
      </w:r>
      <w:r>
        <w:rPr>
          <w:b/>
          <w:bCs/>
          <w:lang w:val="es-ES"/>
        </w:rPr>
        <w:t xml:space="preserve">revalidaciones obligatorias</w:t>
      </w:r>
      <w:r>
        <w:rPr>
          <w:lang w:val="es-ES"/>
        </w:rPr>
        <w:t xml:space="preserve"> </w:t>
      </w:r>
      <w:r>
        <w:rPr>
          <w:lang w:val="es-ES"/>
        </w:rPr>
        <w:t xml:space="preserve">en su interior: una</w:t>
      </w:r>
      <w:r>
        <w:rPr>
          <w:lang w:val="es-ES"/>
        </w:rPr>
        <w:t xml:space="preserve"> </w:t>
      </w:r>
      <w:r>
        <w:rPr>
          <w:b/>
          <w:bCs/>
          <w:lang w:val="es-ES"/>
        </w:rPr>
        <w:t xml:space="preserve">revisión científica anual</w:t>
      </w:r>
      <w:r>
        <w:rPr>
          <w:lang w:val="es-ES"/>
        </w:rPr>
        <w:t xml:space="preserve">, una</w:t>
      </w:r>
      <w:r>
        <w:rPr>
          <w:lang w:val="es-ES"/>
        </w:rPr>
        <w:t xml:space="preserve"> </w:t>
      </w:r>
      <w:r>
        <w:rPr>
          <w:b/>
          <w:bCs/>
          <w:lang w:val="es-ES"/>
        </w:rPr>
        <w:t xml:space="preserve">revisión legal semestral</w:t>
      </w:r>
      <w:r>
        <w:rPr>
          <w:lang w:val="es-ES"/>
        </w:rPr>
        <w:t xml:space="preserve"> </w:t>
      </w:r>
      <w:r>
        <w:rPr>
          <w:lang w:val="es-ES"/>
        </w:rPr>
        <w:t xml:space="preserve">y una</w:t>
      </w:r>
      <w:r>
        <w:rPr>
          <w:lang w:val="es-ES"/>
        </w:rPr>
        <w:t xml:space="preserve"> </w:t>
      </w:r>
      <w:r>
        <w:rPr>
          <w:b/>
          <w:bCs/>
          <w:lang w:val="es-ES"/>
        </w:rPr>
        <w:t xml:space="preserve">revisión mayor de profundidad cada tres años</w:t>
      </w:r>
      <w:r>
        <w:rPr>
          <w:lang w:val="es-ES"/>
        </w:rPr>
        <w:t xml:space="preserve"> </w:t>
      </w:r>
      <w:r>
        <w:rPr>
          <w:lang w:val="es-ES"/>
        </w:rPr>
        <w:t xml:space="preserve">que culmina con una nueva Tanda documental y la enmienda formal del Acta si corresponde. Al vencimiento de la década, el Acta</w:t>
      </w:r>
      <w:r>
        <w:rPr>
          <w:lang w:val="es-ES"/>
        </w:rPr>
        <w:t xml:space="preserve"> </w:t>
      </w:r>
      <w:r>
        <w:rPr>
          <w:b/>
          <w:bCs/>
          <w:lang w:val="es-ES"/>
        </w:rPr>
        <w:t xml:space="preserve">no se prorroga tácitamente</w:t>
      </w:r>
      <w:r>
        <w:rPr>
          <w:lang w:val="es-ES"/>
        </w:rPr>
        <w:t xml:space="preserve">: se reevalúa y se firma una nueva edición. La longevidad no se sostiene con buena voluntad sino con ciclos escritos.</w:t>
      </w:r>
    </w:p>
    <w:bookmarkEnd w:id="36"/>
    <w:bookmarkStart w:id="37" w:name="X66a64b0ea6fd881494189506c6559fb0f5f75fd"/>
    <w:p>
      <w:pPr>
        <w:pStyle w:val="Heading3"/>
      </w:pPr>
      <w:r>
        <w:rPr>
          <w:lang w:val="es-ES"/>
        </w:rPr>
        <w:t xml:space="preserve">Artículo 23. Ciclos y disparadores de actualización</w:t>
      </w:r>
    </w:p>
    <w:p>
      <w:pPr>
        <w:pStyle w:val="FirstParagraph"/>
      </w:pPr>
      <w:r>
        <w:rPr>
          <w:b/>
          <w:bCs/>
          <w:lang w:val="es-ES"/>
        </w:rPr>
        <w:t xml:space="preserve">Ciclo legal semestral</w:t>
      </w:r>
      <w:r>
        <w:rPr>
          <w:lang w:val="es-ES"/>
        </w:rPr>
        <w:t xml:space="preserve">: el coordinador revisa DOF y legislación federal/local aplicable, nuevas Observaciones Generales de la CDN y el estado de la normativa de datos e IA; produce un informe de impacto que señala</w:t>
      </w:r>
      <w:r>
        <w:rPr>
          <w:lang w:val="es-ES"/>
        </w:rPr>
        <w:t xml:space="preserve"> </w:t>
      </w:r>
      <w:r>
        <w:rPr>
          <w:b/>
          <w:bCs/>
          <w:lang w:val="es-ES"/>
        </w:rPr>
        <w:t xml:space="preserve">qué documento de la serie se afecta</w:t>
      </w:r>
      <w:r>
        <w:rPr>
          <w:lang w:val="es-ES"/>
        </w:rPr>
        <w:t xml:space="preserve"> </w:t>
      </w:r>
      <w:r>
        <w:rPr>
          <w:lang w:val="es-ES"/>
        </w:rPr>
        <w:t xml:space="preserve">y qué cambio exige.</w:t>
      </w:r>
      <w:r>
        <w:rPr>
          <w:lang w:val="es-ES"/>
        </w:rPr>
        <w:t xml:space="preserve"> </w:t>
      </w:r>
      <w:r>
        <w:rPr>
          <w:b/>
          <w:bCs/>
          <w:lang w:val="es-ES"/>
        </w:rPr>
        <w:t xml:space="preserve">Ciclo científico anual</w:t>
      </w:r>
      <w:r>
        <w:rPr>
          <w:lang w:val="es-ES"/>
        </w:rPr>
        <w:t xml:space="preserve">: se revisan las guías y estándares de referencia (NAEYC, AAP, CDC de hitos, OCDE) y la literatura relevante del año; todo aporte nuevo pasa por el filtro de práctica basada en evidencia y por el anti-neuromitos; el resultado son enmiendas menores registradas.</w:t>
      </w:r>
      <w:r>
        <w:rPr>
          <w:lang w:val="es-ES"/>
        </w:rPr>
        <w:t xml:space="preserve"> </w:t>
      </w:r>
      <w:r>
        <w:rPr>
          <w:b/>
          <w:bCs/>
          <w:lang w:val="es-ES"/>
        </w:rPr>
        <w:t xml:space="preserve">Revisión mayor trienal</w:t>
      </w:r>
      <w:r>
        <w:rPr>
          <w:lang w:val="es-ES"/>
        </w:rPr>
        <w:t xml:space="preserve">: auditoría externa completa del corpus con pares ajenos al proyecto (cierra la debilidad de validación externa), actualización del termómetro conceptual de los glosarios y de los KPI, y</w:t>
      </w:r>
      <w:r>
        <w:rPr>
          <w:lang w:val="es-ES"/>
        </w:rPr>
        <w:t xml:space="preserve"> </w:t>
      </w:r>
      <w:r>
        <w:rPr>
          <w:b/>
          <w:bCs/>
          <w:lang w:val="es-ES"/>
        </w:rPr>
        <w:t xml:space="preserve">nueva Tanda documental</w:t>
      </w:r>
      <w:r>
        <w:rPr>
          <w:lang w:val="es-ES"/>
        </w:rPr>
        <w:t xml:space="preserve"> </w:t>
      </w:r>
      <w:r>
        <w:rPr>
          <w:lang w:val="es-ES"/>
        </w:rPr>
        <w:t xml:space="preserve">(el sistema de carpetas se renueva: cada revisión mayor deja el estado previo inmutable).</w:t>
      </w:r>
      <w:r>
        <w:rPr>
          <w:lang w:val="es-ES"/>
        </w:rPr>
        <w:t xml:space="preserve"> </w:t>
      </w:r>
      <w:r>
        <w:rPr>
          <w:b/>
          <w:bCs/>
          <w:lang w:val="es-ES"/>
        </w:rPr>
        <w:t xml:space="preserve">Disparadores extraordinarios</w:t>
      </w:r>
      <w:r>
        <w:rPr>
          <w:lang w:val="es-ES"/>
        </w:rPr>
        <w:t xml:space="preserve"> </w:t>
      </w:r>
      <w:r>
        <w:rPr>
          <w:lang w:val="es-ES"/>
        </w:rPr>
        <w:t xml:space="preserve">que fuerzan la revisión fuera de ciclo: reforma constitucional o legal relevante (educación, niñez, datos, IA); nueva Observación General de la CDN; aprobación de la ley federal de IA;</w:t>
      </w:r>
      <w:r>
        <w:rPr>
          <w:lang w:val="es-ES"/>
        </w:rPr>
        <w:t xml:space="preserve"> </w:t>
      </w:r>
      <w:r>
        <w:rPr>
          <w:b/>
          <w:bCs/>
          <w:lang w:val="es-ES"/>
        </w:rPr>
        <w:t xml:space="preserve">cambio del Plan de Estudio o de los Programas Sintético</w:t>
      </w:r>
      <w:r>
        <w:rPr>
          <w:lang w:val="es-ES"/>
        </w:rPr>
        <w:t xml:space="preserve"> </w:t>
      </w:r>
      <w:r>
        <w:rPr>
          <w:lang w:val="es-ES"/>
        </w:rPr>
        <w:t xml:space="preserve">por la SEP (el insumo normativo del proyecto se renueva); hallazgo científico que invalide una práctica en uso; incidente grave con menores; solicitud motivada del sponsor.</w:t>
      </w:r>
    </w:p>
    <w:bookmarkEnd w:id="37"/>
    <w:bookmarkStart w:id="38" w:name="X5e24e8208499b5c42c7d8fa789aa0d1f87d55b8"/>
    <w:p>
      <w:pPr>
        <w:pStyle w:val="Heading3"/>
      </w:pPr>
      <w:r>
        <w:rPr>
          <w:lang w:val="es-ES"/>
        </w:rPr>
        <w:t xml:space="preserve">Artículo 24. Sistema de versiones para una década</w:t>
      </w:r>
    </w:p>
    <w:p>
      <w:pPr>
        <w:pStyle w:val="FirstParagraph"/>
      </w:pPr>
      <w:r>
        <w:rPr>
          <w:lang w:val="es-ES"/>
        </w:rPr>
        <w:t xml:space="preserve">El archivo se organiza en</w:t>
      </w:r>
      <w:r>
        <w:rPr>
          <w:lang w:val="es-ES"/>
        </w:rPr>
        <w:t xml:space="preserve"> </w:t>
      </w:r>
      <w:r>
        <w:rPr>
          <w:b/>
          <w:bCs/>
          <w:lang w:val="es-ES"/>
        </w:rPr>
        <w:t xml:space="preserve">Tandas</w:t>
      </w:r>
      <w:r>
        <w:rPr>
          <w:lang w:val="es-ES"/>
        </w:rPr>
        <w:t xml:space="preserve">: Primera (inmutable, base conceptual), Segunda (trabajo intelectual), Tercera (edición visual) y las que abran las revisiones trienales —con la regla ya probada de que</w:t>
      </w:r>
      <w:r>
        <w:rPr>
          <w:lang w:val="es-ES"/>
        </w:rPr>
        <w:t xml:space="preserve"> </w:t>
      </w:r>
      <w:r>
        <w:rPr>
          <w:b/>
          <w:bCs/>
          <w:lang w:val="es-ES"/>
        </w:rPr>
        <w:t xml:space="preserve">toda capa mayor se archiva antes de empezar la siguiente</w:t>
      </w:r>
      <w:r>
        <w:rPr>
          <w:lang w:val="es-ES"/>
        </w:rPr>
        <w:t xml:space="preserve">, de modo que en la década se conservará cada estado del proyecto. La nomenclatura interna de versiones es</w:t>
      </w:r>
      <w:r>
        <w:rPr>
          <w:lang w:val="es-ES"/>
        </w:rPr>
        <w:t xml:space="preserve"> </w:t>
      </w:r>
      <w:r>
        <w:rPr>
          <w:rStyle w:val="VerbatimChar"/>
          <w:lang w:val="es-ES"/>
        </w:rPr>
        <w:t xml:space="preserve">Año-N · Tanda-N · vN.x</w:t>
      </w:r>
      <w:r>
        <w:rPr>
          <w:lang w:val="es-ES"/>
        </w:rPr>
        <w:t xml:space="preserve"> </w:t>
      </w:r>
      <w:r>
        <w:rPr>
          <w:lang w:val="es-ES"/>
        </w:rPr>
        <w:t xml:space="preserve">para todo documento. Los DOCX son la</w:t>
      </w:r>
      <w:r>
        <w:rPr>
          <w:lang w:val="es-ES"/>
        </w:rPr>
        <w:t xml:space="preserve"> </w:t>
      </w:r>
      <w:r>
        <w:rPr>
          <w:b/>
          <w:bCs/>
          <w:lang w:val="es-ES"/>
        </w:rPr>
        <w:t xml:space="preserve">entrega de lectura</w:t>
      </w:r>
      <w:r>
        <w:rPr>
          <w:lang w:val="es-ES"/>
        </w:rPr>
        <w:t xml:space="preserve">; los Markdown, la</w:t>
      </w:r>
      <w:r>
        <w:rPr>
          <w:lang w:val="es-ES"/>
        </w:rPr>
        <w:t xml:space="preserve"> </w:t>
      </w:r>
      <w:r>
        <w:rPr>
          <w:b/>
          <w:bCs/>
          <w:lang w:val="es-ES"/>
        </w:rPr>
        <w:t xml:space="preserve">fuente viva</w:t>
      </w:r>
      <w:r>
        <w:rPr>
          <w:lang w:val="es-ES"/>
        </w:rPr>
        <w:t xml:space="preserve">; el pipeline de generación (portada, índice, foliado) se conserva como herramienta de reproducción. Todo documento vigente se identifica con su versión y su fecha relativa en la portada.</w:t>
      </w:r>
    </w:p>
    <w:bookmarkEnd w:id="38"/>
    <w:bookmarkStart w:id="39" w:name="artículo-25.-enmiendas-y-derogaciones"/>
    <w:p>
      <w:pPr>
        <w:pStyle w:val="Heading3"/>
      </w:pPr>
      <w:r>
        <w:rPr>
          <w:lang w:val="es-ES"/>
        </w:rPr>
        <w:t xml:space="preserve">Artículo 25. Enmiendas y derogaciones</w:t>
      </w:r>
    </w:p>
    <w:p>
      <w:pPr>
        <w:pStyle w:val="FirstParagraph"/>
      </w:pPr>
      <w:r>
        <w:rPr>
          <w:lang w:val="es-ES"/>
        </w:rPr>
        <w:t xml:space="preserve">Las enmiendas se proponen por cualquiera de los roles del CTE, se discuten andragógicamente (con el porqué primero) y se aprueban con la firma del sponsor y el coordinador, dejando constancia de la versión anterior. Las enmiendas a la Sección B (marco jurídico)</w:t>
      </w:r>
      <w:r>
        <w:rPr>
          <w:lang w:val="es-ES"/>
        </w:rPr>
        <w:t xml:space="preserve"> </w:t>
      </w:r>
      <w:r>
        <w:rPr>
          <w:b/>
          <w:bCs/>
          <w:lang w:val="es-ES"/>
        </w:rPr>
        <w:t xml:space="preserve">se disparan automáticamente</w:t>
      </w:r>
      <w:r>
        <w:rPr>
          <w:lang w:val="es-ES"/>
        </w:rPr>
        <w:t xml:space="preserve"> </w:t>
      </w:r>
      <w:r>
        <w:rPr>
          <w:lang w:val="es-ES"/>
        </w:rPr>
        <w:t xml:space="preserve">con cualquier cambio legal relevante detectado en el ciclo semestral: la norma siempre va primero (Preámbulo). La derogación total exige una asamblea del CTE con las familias informadas.</w:t>
      </w:r>
    </w:p>
    <w:p>
      <w:r>
        <w:pict>
          <v:rect style="width:0;height:1.5pt" o:hralign="center" o:hrstd="t" o:hr="t"/>
        </w:pict>
      </w:r>
    </w:p>
    <w:bookmarkEnd w:id="39"/>
    <w:bookmarkEnd w:id="40"/>
    <w:bookmarkStart w:id="45" w:name="sección-g-adherencia"/>
    <w:p>
      <w:pPr>
        <w:pStyle w:val="Heading2"/>
      </w:pPr>
      <w:r>
        <w:rPr>
          <w:lang w:val="es-ES"/>
        </w:rPr>
        <w:t xml:space="preserve">Sección G — Adherencia</w:t>
      </w:r>
    </w:p>
    <w:bookmarkStart w:id="41" w:name="artículo-26.-adhesión"/>
    <w:p>
      <w:pPr>
        <w:pStyle w:val="Heading3"/>
      </w:pPr>
      <w:r>
        <w:rPr>
          <w:lang w:val="es-ES"/>
        </w:rPr>
        <w:t xml:space="preserve">Artículo 26. Adhesión</w:t>
      </w:r>
    </w:p>
    <w:p>
      <w:pPr>
        <w:pStyle w:val="FirstParagraph"/>
      </w:pPr>
      <w:r>
        <w:rPr>
          <w:lang w:val="es-ES"/>
        </w:rPr>
        <w:t xml:space="preserve">Se adhieren al presente Acta el sponsor, el coordinador, el equipo docente que intervenga con los niños, y las familias que son informadas y dan su consentimiento específico para los usos de datos e imagen (Artículo 7). La adhesión de las familias es</w:t>
      </w:r>
      <w:r>
        <w:rPr>
          <w:lang w:val="es-ES"/>
        </w:rPr>
        <w:t xml:space="preserve"> </w:t>
      </w:r>
      <w:r>
        <w:rPr>
          <w:b/>
          <w:bCs/>
          <w:lang w:val="es-ES"/>
        </w:rPr>
        <w:t xml:space="preserve">informada y libre</w:t>
      </w:r>
      <w:r>
        <w:rPr>
          <w:lang w:val="es-ES"/>
        </w:rPr>
        <w:t xml:space="preserve">: se explica en su lenguaje qué se firma, para qué sirve y qué derechos conserva (ARCO, revocabilidad del consentimiento, derecho a no participar sin perjuicio).</w:t>
      </w:r>
    </w:p>
    <w:bookmarkEnd w:id="41"/>
    <w:bookmarkStart w:id="42" w:name="artículo-27.-entrada-en-vigor"/>
    <w:p>
      <w:pPr>
        <w:pStyle w:val="Heading3"/>
      </w:pPr>
      <w:r>
        <w:rPr>
          <w:lang w:val="es-ES"/>
        </w:rPr>
        <w:t xml:space="preserve">Artículo 27. Entrada en vigor</w:t>
      </w:r>
    </w:p>
    <w:p>
      <w:pPr>
        <w:pStyle w:val="FirstParagraph"/>
      </w:pPr>
      <w:r>
        <w:rPr>
          <w:lang w:val="es-ES"/>
        </w:rPr>
        <w:t xml:space="preserve">Este Acta entra en vigor el día en que se cumpla el</w:t>
      </w:r>
      <w:r>
        <w:rPr>
          <w:lang w:val="es-ES"/>
        </w:rPr>
        <w:t xml:space="preserve"> </w:t>
      </w:r>
      <w:r>
        <w:rPr>
          <w:b/>
          <w:bCs/>
          <w:lang w:val="es-ES"/>
        </w:rPr>
        <w:t xml:space="preserve">DoD de la Puerta G1</w:t>
      </w:r>
      <w:r>
        <w:rPr>
          <w:lang w:val="es-ES"/>
        </w:rPr>
        <w:t xml:space="preserve"> </w:t>
      </w:r>
      <w:r>
        <w:rPr>
          <w:lang w:val="es-ES"/>
        </w:rPr>
        <w:t xml:space="preserve">(revisión humana del paquete, piloto de M1 con ≥3 participantes y comprensión ≥3.5/5 de los axiomas, ficha del plantel completa, cero observaciones de severidad alta abiertas) y se firme el acta de aprobación de G1 por revisor, sponsor y coordinador. Hasta entonces, este documento es</w:t>
      </w:r>
      <w:r>
        <w:rPr>
          <w:lang w:val="es-ES"/>
        </w:rPr>
        <w:t xml:space="preserve"> </w:t>
      </w:r>
      <w:r>
        <w:rPr>
          <w:b/>
          <w:bCs/>
          <w:lang w:val="es-ES"/>
        </w:rPr>
        <w:t xml:space="preserve">borrador v0.5</w:t>
      </w:r>
      <w:r>
        <w:rPr>
          <w:lang w:val="es-ES"/>
        </w:rPr>
        <w:t xml:space="preserve">.</w:t>
      </w:r>
    </w:p>
    <w:bookmarkEnd w:id="42"/>
    <w:bookmarkStart w:id="43" w:name="Xf2a4d80fc436fb62534a25537ce49d15104b395"/>
    <w:p>
      <w:pPr>
        <w:pStyle w:val="Heading3"/>
      </w:pPr>
      <w:r>
        <w:rPr>
          <w:lang w:val="es-ES"/>
        </w:rPr>
        <w:t xml:space="preserve">Artículo 28. Anexos referenciados (no se copian, se citan)</w:t>
      </w:r>
    </w:p>
    <w:p>
      <w:pPr>
        <w:pStyle w:val="FirstParagraph"/>
      </w:pPr>
      <w:r>
        <w:rPr>
          <w:rStyle w:val="VerbatimChar"/>
          <w:lang w:val="es-ES"/>
        </w:rPr>
        <w:t xml:space="preserve">propuesta-hibrida-de-posturas.md</w:t>
      </w:r>
      <w:r>
        <w:rPr>
          <w:lang w:val="es-ES"/>
        </w:rPr>
        <w:t xml:space="preserve"> </w:t>
      </w:r>
      <w:r>
        <w:rPr>
          <w:lang w:val="es-ES"/>
        </w:rPr>
        <w:t xml:space="preserve">(fundamento epistemológico: modelo Raíz–Red, contraposturas integrables — anexo de la enmienda v0.2) ·</w:t>
      </w:r>
      <w:r>
        <w:rPr>
          <w:lang w:val="es-ES"/>
        </w:rPr>
        <w:t xml:space="preserve"> </w:t>
      </w:r>
      <w:r>
        <w:rPr>
          <w:rStyle w:val="VerbatimChar"/>
          <w:lang w:val="es-ES"/>
        </w:rPr>
        <w:t xml:space="preserve">neuroaxiologia-compendio.md</w:t>
      </w:r>
      <w:r>
        <w:rPr>
          <w:lang w:val="es-ES"/>
        </w:rPr>
        <w:t xml:space="preserve"> </w:t>
      </w:r>
      <w:r>
        <w:rPr>
          <w:lang w:val="es-ES"/>
        </w:rPr>
        <w:t xml:space="preserve">y</w:t>
      </w:r>
      <w:r>
        <w:rPr>
          <w:lang w:val="es-ES"/>
        </w:rPr>
        <w:t xml:space="preserve"> </w:t>
      </w:r>
      <w:r>
        <w:rPr>
          <w:rStyle w:val="VerbatimChar"/>
          <w:lang w:val="es-ES"/>
        </w:rPr>
        <w:t xml:space="preserve">neuroepistemologia-compendio.md</w:t>
      </w:r>
      <w:r>
        <w:rPr>
          <w:lang w:val="es-ES"/>
        </w:rPr>
        <w:t xml:space="preserve"> </w:t>
      </w:r>
      <w:r>
        <w:rPr>
          <w:lang w:val="es-ES"/>
        </w:rPr>
        <w:t xml:space="preserve">(compendios vivos de los pilares neuroaxiológico y neuroepistemológico — anexos de la enmienda v0.4, en construcción desde los planes y programas) ·</w:t>
      </w:r>
      <w:r>
        <w:rPr>
          <w:lang w:val="es-ES"/>
        </w:rPr>
        <w:t xml:space="preserve"> </w:t>
      </w:r>
      <w:r>
        <w:rPr>
          <w:rStyle w:val="VerbatimChar"/>
          <w:lang w:val="es-ES"/>
        </w:rPr>
        <w:t xml:space="preserve">neurogestion-patrones-y-antipatrones.md</w:t>
      </w:r>
      <w:r>
        <w:rPr>
          <w:lang w:val="es-ES"/>
        </w:rPr>
        <w:t xml:space="preserve"> </w:t>
      </w:r>
      <w:r>
        <w:rPr>
          <w:lang w:val="es-ES"/>
        </w:rPr>
        <w:t xml:space="preserve">(neurogestión, antipatrones de enseñanza y aprendizaje, neuroantipatrones, patrones y neuropatrones ideales — anexo de la enmienda v0.5) ·</w:t>
      </w:r>
      <w:r>
        <w:rPr>
          <w:lang w:val="es-ES"/>
        </w:rPr>
        <w:t xml:space="preserve"> </w:t>
      </w:r>
      <w:r>
        <w:rPr>
          <w:rStyle w:val="VerbatimChar"/>
          <w:lang w:val="es-ES"/>
        </w:rPr>
        <w:t xml:space="preserve">Pilares-filosoficos.md</w:t>
      </w:r>
      <w:r>
        <w:rPr>
          <w:lang w:val="es-ES"/>
        </w:rPr>
        <w:t xml:space="preserve"> </w:t>
      </w:r>
      <w:r>
        <w:rPr>
          <w:lang w:val="es-ES"/>
        </w:rPr>
        <w:t xml:space="preserve">(fuente raíz de los pilares del Artículo 2) ·</w:t>
      </w:r>
      <w:r>
        <w:rPr>
          <w:lang w:val="es-ES"/>
        </w:rPr>
        <w:t xml:space="preserve"> </w:t>
      </w:r>
      <w:r>
        <w:rPr>
          <w:rStyle w:val="VerbatimChar"/>
          <w:lang w:val="es-ES"/>
        </w:rPr>
        <w:t xml:space="preserve">debateformasyalcances.md</w:t>
      </w:r>
      <w:r>
        <w:rPr>
          <w:lang w:val="es-ES"/>
        </w:rPr>
        <w:t xml:space="preserve"> </w:t>
      </w:r>
      <w:r>
        <w:rPr>
          <w:lang w:val="es-ES"/>
        </w:rPr>
        <w:t xml:space="preserve">(fuente del debate que originó la capa epistemológica) ·</w:t>
      </w:r>
      <w:r>
        <w:rPr>
          <w:lang w:val="es-ES"/>
        </w:rPr>
        <w:t xml:space="preserve"> </w:t>
      </w:r>
      <w:r>
        <w:rPr>
          <w:rStyle w:val="VerbatimChar"/>
          <w:lang w:val="es-ES"/>
        </w:rPr>
        <w:t xml:space="preserve">tabla1.md</w:t>
      </w:r>
      <w:r>
        <w:rPr>
          <w:lang w:val="es-ES"/>
        </w:rPr>
        <w:t xml:space="preserve">–</w:t>
      </w:r>
      <w:r>
        <w:rPr>
          <w:rStyle w:val="VerbatimChar"/>
          <w:lang w:val="es-ES"/>
        </w:rPr>
        <w:t xml:space="preserve">tabla5.md</w:t>
      </w:r>
      <w:r>
        <w:rPr>
          <w:lang w:val="es-ES"/>
        </w:rPr>
        <w:t xml:space="preserve"> </w:t>
      </w:r>
      <w:r>
        <w:rPr>
          <w:lang w:val="es-ES"/>
        </w:rPr>
        <w:t xml:space="preserve">(Contenidos y PDA oficiales de los cuatro Campos: insumo normativo del Programa Analítico) ·</w:t>
      </w:r>
      <w:r>
        <w:rPr>
          <w:lang w:val="es-ES"/>
        </w:rPr>
        <w:t xml:space="preserve"> </w:t>
      </w:r>
      <w:r>
        <w:rPr>
          <w:rStyle w:val="VerbatimChar"/>
          <w:lang w:val="es-ES"/>
        </w:rPr>
        <w:t xml:space="preserve">materialesdeapoyoyreferencias.md</w:t>
      </w:r>
      <w:r>
        <w:rPr>
          <w:lang w:val="es-ES"/>
        </w:rPr>
        <w:t xml:space="preserve"> </w:t>
      </w:r>
      <w:r>
        <w:rPr>
          <w:lang w:val="es-ES"/>
        </w:rPr>
        <w:t xml:space="preserve">(bibliografía oficial SEP + sección</w:t>
      </w:r>
      <w:r>
        <w:rPr>
          <w:lang w:val="es-ES"/>
        </w:rPr>
        <w:t xml:space="preserve"> </w:t>
      </w:r>
      <w:r>
        <w:rPr>
          <w:i/>
          <w:iCs/>
          <w:lang w:val="es-ES"/>
        </w:rPr>
        <w:t xml:space="preserve">Aporte del proyecto: contraposturas y lecturas complementarias</w:t>
      </w:r>
      <w:r>
        <w:rPr>
          <w:lang w:val="es-ES"/>
        </w:rPr>
        <w:t xml:space="preserve">) ·</w:t>
      </w:r>
      <w:r>
        <w:rPr>
          <w:lang w:val="es-ES"/>
        </w:rPr>
        <w:t xml:space="preserve"> </w:t>
      </w:r>
      <w:r>
        <w:rPr>
          <w:rStyle w:val="VerbatimChar"/>
          <w:lang w:val="es-ES"/>
        </w:rPr>
        <w:t xml:space="preserve">fundamentos-axiomas-del-programa.md</w:t>
      </w:r>
      <w:r>
        <w:rPr>
          <w:lang w:val="es-ES"/>
        </w:rPr>
        <w:t xml:space="preserve"> </w:t>
      </w:r>
      <w:r>
        <w:rPr>
          <w:lang w:val="es-ES"/>
        </w:rPr>
        <w:t xml:space="preserve">(axiomas, pilares, mapa de principios) ·</w:t>
      </w:r>
      <w:r>
        <w:rPr>
          <w:lang w:val="es-ES"/>
        </w:rPr>
        <w:t xml:space="preserve"> </w:t>
      </w:r>
      <w:r>
        <w:rPr>
          <w:rStyle w:val="VerbatimChar"/>
          <w:lang w:val="es-ES"/>
        </w:rPr>
        <w:t xml:space="preserve">adr-modelo-construccion-programa-analitico-curso.md</w:t>
      </w:r>
      <w:r>
        <w:rPr>
          <w:lang w:val="es-ES"/>
        </w:rPr>
        <w:t xml:space="preserve"> </w:t>
      </w:r>
      <w:r>
        <w:rPr>
          <w:lang w:val="es-ES"/>
        </w:rPr>
        <w:t xml:space="preserve">(AD-0 a AD-6, RACI, política de IA) ·</w:t>
      </w:r>
      <w:r>
        <w:rPr>
          <w:lang w:val="es-ES"/>
        </w:rPr>
        <w:t xml:space="preserve"> </w:t>
      </w:r>
      <w:r>
        <w:rPr>
          <w:rStyle w:val="VerbatimChar"/>
          <w:lang w:val="es-ES"/>
        </w:rPr>
        <w:t xml:space="preserve">roadmap-cronograma-proyecto.md</w:t>
      </w:r>
      <w:r>
        <w:rPr>
          <w:lang w:val="es-ES"/>
        </w:rPr>
        <w:t xml:space="preserve"> </w:t>
      </w:r>
      <w:r>
        <w:rPr>
          <w:lang w:val="es-ES"/>
        </w:rPr>
        <w:t xml:space="preserve">(fases F0–F3, hitos, riesgos) ·</w:t>
      </w:r>
      <w:r>
        <w:rPr>
          <w:lang w:val="es-ES"/>
        </w:rPr>
        <w:t xml:space="preserve"> </w:t>
      </w:r>
      <w:r>
        <w:rPr>
          <w:rStyle w:val="VerbatimChar"/>
          <w:lang w:val="es-ES"/>
        </w:rPr>
        <w:t xml:space="preserve">foda-programa-neuroeducacion-preescolar.md</w:t>
      </w:r>
      <w:r>
        <w:rPr>
          <w:lang w:val="es-ES"/>
        </w:rPr>
        <w:t xml:space="preserve"> </w:t>
      </w:r>
      <w:r>
        <w:rPr>
          <w:lang w:val="es-ES"/>
        </w:rPr>
        <w:t xml:space="preserve">y</w:t>
      </w:r>
      <w:r>
        <w:rPr>
          <w:lang w:val="es-ES"/>
        </w:rPr>
        <w:t xml:space="preserve"> </w:t>
      </w:r>
      <w:r>
        <w:rPr>
          <w:rStyle w:val="VerbatimChar"/>
          <w:lang w:val="es-ES"/>
        </w:rPr>
        <w:t xml:space="preserve">soach-estrategias-programa-neuroeducacion.md</w:t>
      </w:r>
      <w:r>
        <w:rPr>
          <w:lang w:val="es-ES"/>
        </w:rPr>
        <w:t xml:space="preserve"> </w:t>
      </w:r>
      <w:r>
        <w:rPr>
          <w:lang w:val="es-ES"/>
        </w:rPr>
        <w:t xml:space="preserve">·</w:t>
      </w:r>
      <w:r>
        <w:rPr>
          <w:lang w:val="es-ES"/>
        </w:rPr>
        <w:t xml:space="preserve"> </w:t>
      </w:r>
      <w:r>
        <w:rPr>
          <w:rStyle w:val="VerbatimChar"/>
          <w:lang w:val="es-ES"/>
        </w:rPr>
        <w:t xml:space="preserve">plan-de-estudios-curso-andragogia-neuroeducacion.md</w:t>
      </w:r>
      <w:r>
        <w:rPr>
          <w:lang w:val="es-ES"/>
        </w:rPr>
        <w:t xml:space="preserve"> </w:t>
      </w:r>
      <w:r>
        <w:rPr>
          <w:lang w:val="es-ES"/>
        </w:rPr>
        <w:t xml:space="preserve">(curso M1–M8) ·</w:t>
      </w:r>
      <w:r>
        <w:rPr>
          <w:lang w:val="es-ES"/>
        </w:rPr>
        <w:t xml:space="preserve"> </w:t>
      </w:r>
      <w:r>
        <w:rPr>
          <w:rStyle w:val="VerbatimChar"/>
          <w:lang w:val="es-ES"/>
        </w:rPr>
        <w:t xml:space="preserve">planes-por-grado-inclusion-y-ayudas.md</w:t>
      </w:r>
      <w:r>
        <w:rPr>
          <w:lang w:val="es-ES"/>
        </w:rPr>
        <w:t xml:space="preserve"> </w:t>
      </w:r>
      <w:r>
        <w:rPr>
          <w:lang w:val="es-ES"/>
        </w:rPr>
        <w:t xml:space="preserve">y</w:t>
      </w:r>
      <w:r>
        <w:rPr>
          <w:lang w:val="es-ES"/>
        </w:rPr>
        <w:t xml:space="preserve"> </w:t>
      </w:r>
      <w:r>
        <w:rPr>
          <w:rStyle w:val="VerbatimChar"/>
          <w:lang w:val="es-ES"/>
        </w:rPr>
        <w:t xml:space="preserve">actividades-2do-y-3ro-de-jardin.md</w:t>
      </w:r>
      <w:r>
        <w:rPr>
          <w:lang w:val="es-ES"/>
        </w:rPr>
        <w:t xml:space="preserve"> </w:t>
      </w:r>
      <w:r>
        <w:rPr>
          <w:lang w:val="es-ES"/>
        </w:rPr>
        <w:t xml:space="preserve">(ejecución por grado y filtro de los 34 Contenidos) ·</w:t>
      </w:r>
      <w:r>
        <w:rPr>
          <w:lang w:val="es-ES"/>
        </w:rPr>
        <w:t xml:space="preserve"> </w:t>
      </w:r>
      <w:r>
        <w:rPr>
          <w:rStyle w:val="VerbatimChar"/>
          <w:lang w:val="es-ES"/>
        </w:rPr>
        <w:t xml:space="preserve">puerta-G1-revision-y-aprobacion.md</w:t>
      </w:r>
      <w:r>
        <w:rPr>
          <w:lang w:val="es-ES"/>
        </w:rPr>
        <w:t xml:space="preserve"> </w:t>
      </w:r>
      <w:r>
        <w:rPr>
          <w:lang w:val="es-ES"/>
        </w:rPr>
        <w:t xml:space="preserve">(condición de entrada en vigor) ·</w:t>
      </w:r>
      <w:r>
        <w:rPr>
          <w:lang w:val="es-ES"/>
        </w:rPr>
        <w:t xml:space="preserve"> </w:t>
      </w:r>
      <w:r>
        <w:rPr>
          <w:rStyle w:val="VerbatimChar"/>
          <w:lang w:val="es-ES"/>
        </w:rPr>
        <w:t xml:space="preserve">Roadmap-deca-10-anios-actualizaciones.md</w:t>
      </w:r>
      <w:r>
        <w:rPr>
          <w:lang w:val="es-ES"/>
        </w:rPr>
        <w:t xml:space="preserve"> </w:t>
      </w:r>
      <w:r>
        <w:rPr>
          <w:lang w:val="es-ES"/>
        </w:rPr>
        <w:t xml:space="preserve">(esta misma carpeta: el ciclo de los diez años) · la serie completa de Primera, Segunda y Tercera Tanda · y las fuentes jurídicas y científicas citadas en los documentos de la serie.</w:t>
      </w:r>
    </w:p>
    <w:bookmarkEnd w:id="43"/>
    <w:bookmarkStart w:id="44" w:name="artículo-29.-firmas"/>
    <w:p>
      <w:pPr>
        <w:pStyle w:val="Heading3"/>
      </w:pPr>
      <w:r>
        <w:rPr>
          <w:lang w:val="es-ES"/>
        </w:rPr>
        <w:t xml:space="preserve">Artículo 29. Firmas</w:t>
      </w:r>
    </w:p>
    <w:p>
      <w:pPr>
        <w:pStyle w:val="FirstParagraph"/>
      </w:pPr>
      <w:r>
        <w:rPr>
          <w:i/>
          <w:iCs/>
          <w:lang w:val="es-ES"/>
        </w:rPr>
        <w:t xml:space="preserve">Firmas en señal de conformidad con lo aquí estipulado, con fecha relativa al proceso de firma.</w:t>
      </w:r>
    </w:p>
    <w:p>
      <w:pPr>
        <w:pStyle w:val="BodyText"/>
      </w:pPr>
      <w:r>
        <w:rPr>
          <w:b/>
          <w:bCs/>
          <w:lang w:val="es-ES"/>
        </w:rPr>
        <w:t xml:space="preserve">Sponsor</w:t>
      </w:r>
      <w:r>
        <w:rPr>
          <w:lang w:val="es-ES"/>
        </w:rPr>
        <w:t xml:space="preserve"> </w:t>
      </w:r>
      <w:r>
        <w:rPr>
          <w:lang w:val="es-ES"/>
        </w:rPr>
        <w:t xml:space="preserve">— Nombre: ______________________ Firma: ______________________</w:t>
      </w:r>
    </w:p>
    <w:p>
      <w:pPr>
        <w:pStyle w:val="BodyText"/>
      </w:pPr>
      <w:r>
        <w:rPr>
          <w:b/>
          <w:bCs/>
          <w:lang w:val="es-ES"/>
        </w:rPr>
        <w:t xml:space="preserve">Coordinador/a del proyecto</w:t>
      </w:r>
      <w:r>
        <w:rPr>
          <w:lang w:val="es-ES"/>
        </w:rPr>
        <w:t xml:space="preserve"> </w:t>
      </w:r>
      <w:r>
        <w:rPr>
          <w:lang w:val="es-ES"/>
        </w:rPr>
        <w:t xml:space="preserve">— Nombre: ______________________ Firma: ______________________</w:t>
      </w:r>
    </w:p>
    <w:p>
      <w:pPr>
        <w:pStyle w:val="BodyText"/>
      </w:pPr>
      <w:r>
        <w:rPr>
          <w:b/>
          <w:bCs/>
          <w:lang w:val="es-ES"/>
        </w:rPr>
        <w:t xml:space="preserve">Equipo docente</w:t>
      </w:r>
      <w:r>
        <w:rPr>
          <w:lang w:val="es-ES"/>
        </w:rPr>
        <w:t xml:space="preserve"> </w:t>
      </w:r>
      <w:r>
        <w:rPr>
          <w:lang w:val="es-ES"/>
        </w:rPr>
        <w:t xml:space="preserve">(nombre y firma por persona) — 1. ______________________ 2. ______________________ 3. ______________________</w:t>
      </w:r>
    </w:p>
    <w:p>
      <w:pPr>
        <w:pStyle w:val="BodyText"/>
      </w:pPr>
      <w:r>
        <w:rPr>
          <w:b/>
          <w:bCs/>
          <w:lang w:val="es-ES"/>
        </w:rPr>
        <w:t xml:space="preserve">Revisor/a de la Puerta G1</w:t>
      </w:r>
      <w:r>
        <w:rPr>
          <w:lang w:val="es-ES"/>
        </w:rPr>
        <w:t xml:space="preserve"> </w:t>
      </w:r>
      <w:r>
        <w:rPr>
          <w:lang w:val="es-ES"/>
        </w:rPr>
        <w:t xml:space="preserve">— Nombre: ______________________ Firma: ______________________</w:t>
      </w:r>
    </w:p>
    <w:p>
      <w:pPr>
        <w:pStyle w:val="BodyText"/>
      </w:pPr>
      <w:r>
        <w:rPr>
          <w:i/>
          <w:iCs/>
          <w:lang w:val="es-ES"/>
        </w:rPr>
        <w:t xml:space="preserve">Estado al firmar: Acta Constitutiva v1.0 — vigente (Artículo 27 cumplido).</w:t>
      </w:r>
    </w:p>
    <w:p>
      <w:r>
        <w:pict>
          <v:rect style="width:0;height:1.5pt" o:hralign="center" o:hrstd="t" o:hr="t"/>
        </w:pict>
      </w:r>
    </w:p>
    <w:p>
      <w:pPr>
        <w:pStyle w:val="FirstParagraph"/>
      </w:pPr>
      <w:r>
        <w:rPr>
          <w:i/>
          <w:iCs/>
          <w:lang w:val="es-ES"/>
        </w:rPr>
        <w:t xml:space="preserve">Documento fundacional · Gobernanza del proyecto · Mantenimiento por CTE · Enmiendas según Artículo 25 · Generado con el pipeline visual de la serie (portada, índice, foliado).</w:t>
      </w:r>
    </w:p>
    <w:bookmarkEnd w:id="44"/>
    <w:bookmarkEnd w:id="45"/>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Constitutiva del Proyecto de Neuroeducación Preescolar (3–6 años)</dc:title>
  <dc:creator>Acta Constitutiva · Proyecto Programa Sintético</dc:creator>
  <dc:language>es-ES</dc:language>
  <cp:keywords/>
  <dcterms:created xsi:type="dcterms:W3CDTF">2026-09-28T01:39:06Z</dcterms:created>
  <dcterms:modified xsi:type="dcterms:W3CDTF">2026-09-28T01:39:06Z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Fase 4 · borrador v0.5 · 28 de septiembre de 2026</vt:lpwstr>
  </property>
  <property fmtid="{D5CDD505-2E9C-101B-9397-08002B2CF9AE}" pid="3" name="subtitle">
    <vt:lpwstr>Guía y métrica del proyecto · Borrador v0.5 para aprobación (enmiendas v0.2–v0.5 incorporadas)</vt:lpwstr>
  </property>
</Properties>
</file>