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Índice de la capa: Ingeniería de la Educación</w:t>
      </w:r>
    </w:p>
    <w:p>
      <w:pPr>
        <w:pStyle w:val="Subtitle"/>
      </w:pPr>
      <w:r>
        <w:rPr>
          <w:lang w:val="es-ES"/>
        </w:rPr>
        <w:t xml:space="preserve">Arquitectura de los cuatro niveles y ruta de capacitación</w:t>
      </w:r>
    </w:p>
    <w:p>
      <w:pPr>
        <w:pStyle w:val="Author"/>
      </w:pPr>
      <w:r>
        <w:rPr>
          <w:lang w:val="es-ES"/>
        </w:rPr>
        <w:t xml:space="preserve">Capa Ingeniería de la Educación · Proyecto Programa Sintético</w:t>
      </w:r>
    </w:p>
    <w:p>
      <w:pPr>
        <w:pStyle w:val="Date"/>
      </w:pPr>
      <w:r>
        <w:rPr>
          <w:lang w:val="es-ES"/>
        </w:rPr>
        <w:t xml:space="preserve">Niveles 1–4 · v0.1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Documento de navegación · Capa Ingeniería de la Educación · v0.1 · 28 de septiembre de 2026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Serie de Neuroeducación · Proyecto Programa Sintético · Fuente de requerimientos: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Requisitos.md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(esta carpeta)</w:t>
      </w:r>
    </w:p>
    <w:p>
      <w:r>
        <w:pict>
          <v:rect style="width:0;height:1.5pt" o:hralign="center" o:hrstd="t" o:hr="t"/>
        </w:pict>
      </w:r>
    </w:p>
    <w:bookmarkStart w:id="9" w:name="qué-es-esta-carpeta"/>
    <w:p>
      <w:pPr>
        <w:pStyle w:val="Heading2"/>
      </w:pPr>
      <w:r>
        <w:rPr>
          <w:lang w:val="es-ES"/>
        </w:rPr>
        <w:t xml:space="preserve">0. Qué es esta carpeta</w:t>
      </w:r>
    </w:p>
    <w:p>
      <w:pPr>
        <w:pStyle w:val="FirstParagraph"/>
      </w:pPr>
      <w:r>
        <w:rPr>
          <w:lang w:val="es-ES"/>
        </w:rPr>
        <w:t xml:space="preserve">Es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capa de ingeniería</w:t>
      </w:r>
      <w:r>
        <w:rPr>
          <w:lang w:val="es-ES"/>
        </w:rPr>
        <w:t xml:space="preserve"> </w:t>
      </w:r>
      <w:r>
        <w:rPr>
          <w:lang w:val="es-ES"/>
        </w:rPr>
        <w:t xml:space="preserve">del proyecto: el lugar donde las disciplinas de diseño, construcción y verificación de sistemas se hacen explícitas para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estar capacitados</w:t>
      </w:r>
      <w:r>
        <w:rPr>
          <w:lang w:val="es-ES"/>
        </w:rPr>
        <w:t xml:space="preserve"> </w:t>
      </w:r>
      <w:r>
        <w:rPr>
          <w:lang w:val="es-ES"/>
        </w:rPr>
        <w:t xml:space="preserve">—no sólo para aplicar de memoria—. Los Requisitos piden cuatro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pares distintos</w:t>
      </w:r>
      <w:r>
        <w:rPr>
          <w:lang w:val="es-ES"/>
        </w:rPr>
        <w:t xml:space="preserve"> </w:t>
      </w:r>
      <w:r>
        <w:rPr>
          <w:lang w:val="es-ES"/>
        </w:rPr>
        <w:t xml:space="preserve">(un compendio + un glosario por nivel); este índice explica qué es cada nivel, por qué se separan y en qué orden se estudian.</w:t>
      </w:r>
    </w:p>
    <w:p>
      <w:pPr>
        <w:pStyle w:val="BodyText"/>
      </w:pPr>
      <w:r>
        <w:rPr>
          <w:lang w:val="es-ES"/>
        </w:rPr>
        <w:t xml:space="preserve">La regla de la separación: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cada nivel tiene objeto propio</w:t>
      </w:r>
      <w:r>
        <w:rPr>
          <w:lang w:val="es-ES"/>
        </w:rPr>
        <w:t xml:space="preserve">. Confundirlos es el error típico: hablar de</w:t>
      </w:r>
      <w:r>
        <w:rPr>
          <w:lang w:val="es-ES"/>
        </w:rPr>
        <w:t xml:space="preserve"> </w:t>
      </w:r>
      <w:r>
        <w:rPr>
          <w:lang w:val="es-ES"/>
        </w:rPr>
        <w:t xml:space="preserve">“ingeniería”</w:t>
      </w:r>
      <w:r>
        <w:rPr>
          <w:lang w:val="es-ES"/>
        </w:rPr>
        <w:t xml:space="preserve"> </w:t>
      </w:r>
      <w:r>
        <w:rPr>
          <w:lang w:val="es-ES"/>
        </w:rPr>
        <w:t xml:space="preserve">sin decir de cuál, o vender neuroingeniería cuando sólo se está diseñando un entorno. Cada par responde a tres preguntas —</w:t>
      </w:r>
      <w:r>
        <w:rPr>
          <w:b/>
          <w:bCs/>
          <w:lang w:val="es-ES"/>
        </w:rPr>
        <w:t xml:space="preserve">qué es, qué se necesita saber para ejercerla, y cómo se practica aquí</w:t>
      </w:r>
      <w:r>
        <w:rPr>
          <w:lang w:val="es-ES"/>
        </w:rPr>
        <w:t xml:space="preserve">— y su glosario da el vocabulario mínimo para no improvisar el lenguaje en una discusión técnica.</w:t>
      </w:r>
    </w:p>
    <w:p>
      <w:r>
        <w:pict>
          <v:rect style="width:0;height:1.5pt" o:hralign="center" o:hrstd="t" o:hr="t"/>
        </w:pict>
      </w:r>
    </w:p>
    <w:bookmarkEnd w:id="9"/>
    <w:bookmarkStart w:id="10" w:name="los-cuatro-niveles"/>
    <w:p>
      <w:pPr>
        <w:pStyle w:val="Heading2"/>
      </w:pPr>
      <w:r>
        <w:rPr>
          <w:lang w:val="es-ES"/>
        </w:rPr>
        <w:t xml:space="preserve">1. Los cuatro niveles</w:t>
      </w:r>
    </w:p>
    <w:p>
      <w:pPr>
        <w:pStyle w:val="FirstParagraph"/>
      </w:pPr>
      <w:r>
        <w:rPr>
          <w:b/>
          <w:bCs/>
          <w:lang w:val="es-ES"/>
        </w:rPr>
        <w:t xml:space="preserve">Nivel 1 — Ingeniería (General).</w:t>
      </w:r>
      <w:r>
        <w:rPr>
          <w:lang w:val="es-ES"/>
        </w:rPr>
        <w:t xml:space="preserve"> </w:t>
      </w:r>
      <w:r>
        <w:rPr>
          <w:lang w:val="es-ES"/>
        </w:rPr>
        <w:t xml:space="preserve">La disciplina madre: diseño, construcción y operación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sistemas</w:t>
      </w:r>
      <w:r>
        <w:rPr>
          <w:lang w:val="es-ES"/>
        </w:rPr>
        <w:t xml:space="preserve"> </w:t>
      </w:r>
      <w:r>
        <w:rPr>
          <w:lang w:val="es-ES"/>
        </w:rPr>
        <w:t xml:space="preserve">que resuelven problemas reales bajo restricciones, con ciclo de vida, requisitos, verificación y mejora. Su objeto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 artificial en general</w:t>
      </w:r>
      <w:r>
        <w:rPr>
          <w:lang w:val="es-ES"/>
        </w:rPr>
        <w:t xml:space="preserve"> </w:t>
      </w:r>
      <w:r>
        <w:rPr>
          <w:lang w:val="es-ES"/>
        </w:rPr>
        <w:t xml:space="preserve">(Simon). No habla de educación todavía.</w:t>
      </w:r>
    </w:p>
    <w:p>
      <w:pPr>
        <w:pStyle w:val="BodyText"/>
      </w:pPr>
      <w:r>
        <w:rPr>
          <w:b/>
          <w:bCs/>
          <w:lang w:val="es-ES"/>
        </w:rPr>
        <w:t xml:space="preserve">Nivel 2 — Ingeniería Aplicada a la Educación (General).</w:t>
      </w:r>
      <w:r>
        <w:rPr>
          <w:lang w:val="es-ES"/>
        </w:rPr>
        <w:t xml:space="preserve"> </w:t>
      </w:r>
      <w:r>
        <w:rPr>
          <w:lang w:val="es-ES"/>
        </w:rPr>
        <w:t xml:space="preserve">La misma disciplina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trasladada a contextos educativos de cualquier nivel y país</w:t>
      </w:r>
      <w:r>
        <w:rPr>
          <w:lang w:val="es-ES"/>
        </w:rPr>
        <w:t xml:space="preserve">: diseño instruccional, ingeniería del aprendizaje (learning engineering), especificaciones de curso, calidad de servicios formativos (ISO 21001, ISO/IEC 29990), tecnología educativa. Su objeto: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diseño de experiencias y sistemas de aprendizaje en abstracto</w:t>
      </w:r>
      <w:r>
        <w:rPr>
          <w:lang w:val="es-ES"/>
        </w:rPr>
        <w:t xml:space="preserve"> </w:t>
      </w:r>
      <w:r>
        <w:rPr>
          <w:lang w:val="es-ES"/>
        </w:rPr>
        <w:t xml:space="preserve">—funciona igual en una universidad alemán que en un taller mexicano.</w:t>
      </w:r>
    </w:p>
    <w:p>
      <w:pPr>
        <w:pStyle w:val="BodyText"/>
      </w:pPr>
      <w:r>
        <w:rPr>
          <w:b/>
          <w:bCs/>
          <w:lang w:val="es-ES"/>
        </w:rPr>
        <w:t xml:space="preserve">Nivel 3 — Ingeniería de la Educación.</w:t>
      </w:r>
      <w:r>
        <w:rPr>
          <w:lang w:val="es-ES"/>
        </w:rPr>
        <w:t xml:space="preserve"> </w:t>
      </w:r>
      <w:r>
        <w:rPr>
          <w:lang w:val="es-ES"/>
        </w:rPr>
        <w:t xml:space="preserve">La disciplina que construye y opera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programas y sistemas educativos completos</w:t>
      </w:r>
      <w:r>
        <w:rPr>
          <w:lang w:val="es-ES"/>
        </w:rPr>
        <w:t xml:space="preserve"> </w:t>
      </w:r>
      <w:r>
        <w:rPr>
          <w:lang w:val="es-ES"/>
        </w:rPr>
        <w:t xml:space="preserve">—de la ley y el currículo al aula— con requisitos legales no negociables, arquitectura curricular, calidad con puertas de verificación y configuración documentada. Su objeto: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programa educativo como sistema</w:t>
      </w:r>
      <w:r>
        <w:rPr>
          <w:lang w:val="es-ES"/>
        </w:rPr>
        <w:t xml:space="preserve">, y este proyecto es su instancia viva (requisitos = ley + CDN + evidencia; arquitectura = campos y Analítico; puertas = G1; configuración = Tandas y ADR).</w:t>
      </w:r>
    </w:p>
    <w:p>
      <w:pPr>
        <w:pStyle w:val="BodyText"/>
      </w:pPr>
      <w:r>
        <w:rPr>
          <w:b/>
          <w:bCs/>
          <w:lang w:val="es-ES"/>
        </w:rPr>
        <w:t xml:space="preserve">Nivel 4 — NeuroIngeniería y de la NeuroEducación.</w:t>
      </w:r>
      <w:r>
        <w:rPr>
          <w:lang w:val="es-ES"/>
        </w:rPr>
        <w:t xml:space="preserve"> </w:t>
      </w:r>
      <w:r>
        <w:rPr>
          <w:lang w:val="es-ES"/>
        </w:rPr>
        <w:t xml:space="preserve">Dos mitades: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neuroingeniería</w:t>
      </w:r>
      <w:r>
        <w:rPr>
          <w:lang w:val="es-ES"/>
        </w:rPr>
        <w:t xml:space="preserve"> </w:t>
      </w:r>
      <w:r>
        <w:rPr>
          <w:lang w:val="es-ES"/>
        </w:rPr>
        <w:t xml:space="preserve">(disciplina que diseña sistemas que se conectan, se inspiran o intervienen sobre el sistema nervioso —imagen, interfaces, estimulación, neuroergonomía) y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ingeniería de la NeuroEducación</w:t>
      </w:r>
      <w:r>
        <w:rPr>
          <w:lang w:val="es-ES"/>
        </w:rPr>
        <w:t xml:space="preserve"> </w:t>
      </w:r>
      <w:r>
        <w:rPr>
          <w:lang w:val="es-ES"/>
        </w:rPr>
        <w:t xml:space="preserve">(diseñar y operar entornos, experiencias y programas de aprendizaje optimizados según los mecanismos neurales del desarrollo —la serie completa de este proyecto es su instancia). Su objeto: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cerebro como condición de diseño</w:t>
      </w:r>
      <w:r>
        <w:rPr>
          <w:lang w:val="es-ES"/>
        </w:rPr>
        <w:t xml:space="preserve"> </w:t>
      </w:r>
      <w:r>
        <w:rPr>
          <w:lang w:val="es-ES"/>
        </w:rPr>
        <w:t xml:space="preserve">—y también como límite honesto de lo que la ingeniería puede prometer.</w:t>
      </w:r>
    </w:p>
    <w:p>
      <w:r>
        <w:pict>
          <v:rect style="width:0;height:1.5pt" o:hralign="center" o:hrstd="t" o:hr="t"/>
        </w:pict>
      </w:r>
    </w:p>
    <w:bookmarkEnd w:id="10"/>
    <w:bookmarkStart w:id="11" w:name="X7473468729162a2046aae82677c5bcc266d2406"/>
    <w:p>
      <w:pPr>
        <w:pStyle w:val="Heading2"/>
      </w:pPr>
      <w:r>
        <w:rPr>
          <w:lang w:val="es-ES"/>
        </w:rPr>
        <w:t xml:space="preserve">2. Cómo se relacionan (y en qué se diferencian)</w:t>
      </w:r>
    </w:p>
    <w:p>
      <w:pPr>
        <w:pStyle w:val="FirstParagraph"/>
      </w:pPr>
      <w:r>
        <w:rPr>
          <w:lang w:val="es-ES"/>
        </w:rPr>
        <w:t xml:space="preserve">Los niveles se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anidan, no se solapan</w:t>
      </w:r>
      <w:r>
        <w:rPr>
          <w:lang w:val="es-ES"/>
        </w:rPr>
        <w:t xml:space="preserve">: el 4 usa herramientas del 1–3 con objeto neural; el 3 exige el 2 y el 1 como lenguaje común; el 2 es portable a cualquier contexto; el 1 es previo a todo. Una frase los distingue: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1 diseña sistemas, el 2 diseña aprendizajes, el 3 diseña programas educativos enteros, el 4 diseña aprendizajes con el cerebro sobre la mesa —incluyendo saber cuándo retirar el cerebro de la mesa por respeto a él.</w:t>
      </w:r>
    </w:p>
    <w:p>
      <w:pPr>
        <w:pStyle w:val="BodyText"/>
      </w:pPr>
      <w:r>
        <w:rPr>
          <w:lang w:val="es-ES"/>
        </w:rPr>
        <w:t xml:space="preserve">Cada glosario usa prefijo propio para que una cita nunca se confunda: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IG</w:t>
      </w:r>
      <w:r>
        <w:rPr>
          <w:lang w:val="es-ES"/>
        </w:rPr>
        <w:t xml:space="preserve"> </w:t>
      </w:r>
      <w:r>
        <w:rPr>
          <w:lang w:val="es-ES"/>
        </w:rPr>
        <w:t xml:space="preserve">(ingeniería general),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IA</w:t>
      </w:r>
      <w:r>
        <w:rPr>
          <w:lang w:val="es-ES"/>
        </w:rPr>
        <w:t xml:space="preserve"> </w:t>
      </w:r>
      <w:r>
        <w:rPr>
          <w:lang w:val="es-ES"/>
        </w:rPr>
        <w:t xml:space="preserve">(aplicada a la educación),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IE</w:t>
      </w:r>
      <w:r>
        <w:rPr>
          <w:lang w:val="es-ES"/>
        </w:rPr>
        <w:t xml:space="preserve"> </w:t>
      </w:r>
      <w:r>
        <w:rPr>
          <w:lang w:val="es-ES"/>
        </w:rPr>
        <w:t xml:space="preserve">(ingeniería de la educación),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NI</w:t>
      </w:r>
      <w:r>
        <w:rPr>
          <w:lang w:val="es-ES"/>
        </w:rPr>
        <w:t xml:space="preserve"> </w:t>
      </w:r>
      <w:r>
        <w:rPr>
          <w:lang w:val="es-ES"/>
        </w:rPr>
        <w:t xml:space="preserve">(neuroingeniería y neuroeducación). Y todos ellos dialogan con los glosarios previos del proyecto (</w:t>
      </w:r>
      <w:r>
        <w:rPr>
          <w:rStyle w:val="VerbatimChar"/>
          <w:lang w:val="es-ES"/>
        </w:rPr>
        <w:t xml:space="preserve">glosario-neuroeducativo</w:t>
      </w:r>
      <w:r>
        <w:rPr>
          <w:lang w:val="es-ES"/>
        </w:rPr>
        <w:t xml:space="preserve">, con prefijos A–J;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glosario-interseccionalidades</w:t>
      </w:r>
      <w:r>
        <w:rPr>
          <w:lang w:val="es-ES"/>
        </w:rPr>
        <w:t xml:space="preserve">) —el mismo hábito de trazabilidad, cuatro campos más.</w:t>
      </w:r>
    </w:p>
    <w:p>
      <w:r>
        <w:pict>
          <v:rect style="width:0;height:1.5pt" o:hralign="center" o:hrstd="t" o:hr="t"/>
        </w:pict>
      </w:r>
    </w:p>
    <w:bookmarkEnd w:id="11"/>
    <w:bookmarkStart w:id="12" w:name="los-cuatro-pares-y-qué-contiene-cada-uno"/>
    <w:p>
      <w:pPr>
        <w:pStyle w:val="Heading2"/>
      </w:pPr>
      <w:r>
        <w:rPr>
          <w:lang w:val="es-ES"/>
        </w:rPr>
        <w:t xml:space="preserve">3. Los cuatro pares y qué contiene cada uno</w:t>
      </w:r>
    </w:p>
    <w:p>
      <w:pPr>
        <w:pStyle w:val="FirstParagraph"/>
      </w:pPr>
      <w:r>
        <w:rPr>
          <w:rStyle w:val="VerbatimChar"/>
          <w:lang w:val="es-ES"/>
        </w:rPr>
        <w:t xml:space="preserve">compendio-ingenieria-general.md</w:t>
      </w:r>
      <w:r>
        <w:rPr>
          <w:lang w:val="es-ES"/>
        </w:rPr>
        <w:t xml:space="preserve"> </w:t>
      </w:r>
      <w:r>
        <w:rPr>
          <w:lang w:val="es-ES"/>
        </w:rPr>
        <w:t xml:space="preserve">+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glosario-ingenieria-general.md</w:t>
      </w:r>
      <w:r>
        <w:rPr>
          <w:lang w:val="es-ES"/>
        </w:rPr>
        <w:t xml:space="preserve"> </w:t>
      </w:r>
      <w:r>
        <w:rPr>
          <w:lang w:val="es-ES"/>
        </w:rPr>
        <w:t xml:space="preserve">— fundamentos, ciclo de vida, calidad y gestión de configuración; términos IG1 en adelante.</w:t>
      </w:r>
    </w:p>
    <w:p>
      <w:pPr>
        <w:pStyle w:val="BodyText"/>
      </w:pPr>
      <w:r>
        <w:rPr>
          <w:rStyle w:val="VerbatimChar"/>
          <w:lang w:val="es-ES"/>
        </w:rPr>
        <w:t xml:space="preserve">compendio-ingenieria-aplicada-educacion.md</w:t>
      </w:r>
      <w:r>
        <w:rPr>
          <w:lang w:val="es-ES"/>
        </w:rPr>
        <w:t xml:space="preserve"> </w:t>
      </w:r>
      <w:r>
        <w:rPr>
          <w:lang w:val="es-ES"/>
        </w:rPr>
        <w:t xml:space="preserve">+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glosario-ingenieria-aplicada-educacion.md</w:t>
      </w:r>
      <w:r>
        <w:rPr>
          <w:lang w:val="es-ES"/>
        </w:rPr>
        <w:t xml:space="preserve"> </w:t>
      </w:r>
      <w:r>
        <w:rPr>
          <w:lang w:val="es-ES"/>
        </w:rPr>
        <w:t xml:space="preserve">— diseño instruccional, ingeniería del aprendizaje, estándares de calidad educativa, tecnología; términos IA1 en adelante.</w:t>
      </w:r>
    </w:p>
    <w:p>
      <w:pPr>
        <w:pStyle w:val="BodyText"/>
      </w:pPr>
      <w:r>
        <w:rPr>
          <w:rStyle w:val="VerbatimChar"/>
          <w:lang w:val="es-ES"/>
        </w:rPr>
        <w:t xml:space="preserve">compendio-ingenieria-de-la-educacion.md</w:t>
      </w:r>
      <w:r>
        <w:rPr>
          <w:lang w:val="es-ES"/>
        </w:rPr>
        <w:t xml:space="preserve"> </w:t>
      </w:r>
      <w:r>
        <w:rPr>
          <w:lang w:val="es-ES"/>
        </w:rPr>
        <w:t xml:space="preserve">+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glosario-ingenieria-de-la-educacion.md</w:t>
      </w:r>
      <w:r>
        <w:rPr>
          <w:lang w:val="es-ES"/>
        </w:rPr>
        <w:t xml:space="preserve"> </w:t>
      </w:r>
      <w:r>
        <w:rPr>
          <w:lang w:val="es-ES"/>
        </w:rPr>
        <w:t xml:space="preserve">— la disciplina del programa completo: requisitos legales/científicos, arquitectura curricular, puertas de calidad, patrones pedagógicos; términos IE1 en adelante (con puentes a los constructos de este proyecto).</w:t>
      </w:r>
    </w:p>
    <w:p>
      <w:pPr>
        <w:pStyle w:val="BodyText"/>
      </w:pPr>
      <w:r>
        <w:rPr>
          <w:rStyle w:val="VerbatimChar"/>
          <w:lang w:val="es-ES"/>
        </w:rPr>
        <w:t xml:space="preserve">compendio-neuroingenieria-neuroeducacion.md</w:t>
      </w:r>
      <w:r>
        <w:rPr>
          <w:lang w:val="es-ES"/>
        </w:rPr>
        <w:t xml:space="preserve"> </w:t>
      </w:r>
      <w:r>
        <w:rPr>
          <w:lang w:val="es-ES"/>
        </w:rPr>
        <w:t xml:space="preserve">+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glosario-neuroingenieria-neuroeducacion.md</w:t>
      </w:r>
      <w:r>
        <w:rPr>
          <w:lang w:val="es-ES"/>
        </w:rPr>
        <w:t xml:space="preserve"> </w:t>
      </w:r>
      <w:r>
        <w:rPr>
          <w:lang w:val="es-ES"/>
        </w:rPr>
        <w:t xml:space="preserve">— neuroingeniería honesta (qué mide, qué interviene, qué NO hacemos), neuroergonomía, diseño de entornos para el cerebro del desarrollo, neuroética infantil; términos NI1 en adelante.</w:t>
      </w:r>
    </w:p>
    <w:p>
      <w:r>
        <w:pict>
          <v:rect style="width:0;height:1.5pt" o:hralign="center" o:hrstd="t" o:hr="t"/>
        </w:pict>
      </w:r>
    </w:p>
    <w:bookmarkEnd w:id="12"/>
    <w:bookmarkStart w:id="13" w:name="ruta-de-capacitación-recomendada"/>
    <w:p>
      <w:pPr>
        <w:pStyle w:val="Heading2"/>
      </w:pPr>
      <w:r>
        <w:rPr>
          <w:lang w:val="es-ES"/>
        </w:rPr>
        <w:t xml:space="preserve">4. Ruta de capacitación recomendada</w:t>
      </w:r>
    </w:p>
    <w:p>
      <w:pPr>
        <w:pStyle w:val="FirstParagraph"/>
      </w:pPr>
      <w:r>
        <w:rPr>
          <w:b/>
          <w:bCs/>
          <w:lang w:val="es-ES"/>
        </w:rPr>
        <w:t xml:space="preserve">Orden base (para cualquiera que entre nuevo):</w:t>
      </w:r>
      <w:r>
        <w:rPr>
          <w:lang w:val="es-ES"/>
        </w:rPr>
        <w:t xml:space="preserve"> </w:t>
      </w:r>
      <w:r>
        <w:rPr>
          <w:lang w:val="es-ES"/>
        </w:rPr>
        <w:t xml:space="preserve">Nivel 1 → Nivel 2 → Nivel 3 → Nivel 4. Cada compendio declara sus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áreas de conocimiento requeridas</w:t>
      </w:r>
      <w:r>
        <w:rPr>
          <w:lang w:val="es-ES"/>
        </w:rPr>
        <w:t xml:space="preserve"> </w:t>
      </w:r>
      <w:r>
        <w:rPr>
          <w:lang w:val="es-ES"/>
        </w:rPr>
        <w:t xml:space="preserve">con nivel esperado (básico entendedor / practicante / referente): se empieza por entender el lenguaje (glosario) y se cierra por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practicar en el proyecto</w:t>
      </w:r>
      <w:r>
        <w:rPr>
          <w:lang w:val="es-ES"/>
        </w:rPr>
        <w:t xml:space="preserve"> </w:t>
      </w:r>
      <w:r>
        <w:rPr>
          <w:lang w:val="es-ES"/>
        </w:rPr>
        <w:t xml:space="preserve">(el compendio da el</w:t>
      </w:r>
      <w:r>
        <w:rPr>
          <w:lang w:val="es-ES"/>
        </w:rPr>
        <w:t xml:space="preserve"> </w:t>
      </w:r>
      <w:r>
        <w:rPr>
          <w:lang w:val="es-ES"/>
        </w:rPr>
        <w:t xml:space="preserve">“cómo se ejerce aquí”</w:t>
      </w:r>
      <w:r>
        <w:rPr>
          <w:lang w:val="es-ES"/>
        </w:rPr>
        <w:t xml:space="preserve">).</w:t>
      </w:r>
    </w:p>
    <w:p>
      <w:pPr>
        <w:pStyle w:val="BodyText"/>
      </w:pPr>
      <w:r>
        <w:rPr>
          <w:b/>
          <w:bCs/>
          <w:lang w:val="es-ES"/>
        </w:rPr>
        <w:t xml:space="preserve">Rutas por rol.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Sponsors y managers</w:t>
      </w:r>
      <w:r>
        <w:rPr>
          <w:lang w:val="es-ES"/>
        </w:rPr>
        <w:t xml:space="preserve">: compendios 1 y 3 (sistemas y programa) con sus glosarios —nivel gestor—, más el mapa del 4 para decidir con honestidad límites.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Docentes</w:t>
      </w:r>
      <w:r>
        <w:rPr>
          <w:lang w:val="es-ES"/>
        </w:rPr>
        <w:t xml:space="preserve">: compendios 3 y 4 con sus glosarios (y 2 si diseñan materiales), aplicados a los planes por grado.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Diseñadores instruccionales / quienes crean materiales</w:t>
      </w:r>
      <w:r>
        <w:rPr>
          <w:lang w:val="es-ES"/>
        </w:rPr>
        <w:t xml:space="preserve">: nivel 2 primero, luego 3.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Quienes miden o argumentan con neurociencia</w:t>
      </w:r>
      <w:r>
        <w:rPr>
          <w:lang w:val="es-ES"/>
        </w:rPr>
        <w:t xml:space="preserve">: nivel 4 con la neuroepistemología al lado (el filtro obligatorio: ninguna afirmación</w:t>
      </w:r>
      <w:r>
        <w:rPr>
          <w:lang w:val="es-ES"/>
        </w:rPr>
        <w:t xml:space="preserve"> </w:t>
      </w:r>
      <w:r>
        <w:rPr>
          <w:lang w:val="es-ES"/>
        </w:rPr>
        <w:t xml:space="preserve">“neuro”</w:t>
      </w:r>
      <w:r>
        <w:rPr>
          <w:lang w:val="es-ES"/>
        </w:rPr>
        <w:t xml:space="preserve"> </w:t>
      </w:r>
      <w:r>
        <w:rPr>
          <w:lang w:val="es-ES"/>
        </w:rPr>
        <w:t xml:space="preserve">sin fuente,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neuroepistemologia-compendio.md</w:t>
      </w:r>
      <w:r>
        <w:rPr>
          <w:lang w:val="es-ES"/>
        </w:rPr>
        <w:t xml:space="preserve">).</w:t>
      </w:r>
    </w:p>
    <w:p>
      <w:pPr>
        <w:pStyle w:val="BodyText"/>
      </w:pPr>
      <w:r>
        <w:rPr>
          <w:b/>
          <w:bCs/>
          <w:lang w:val="es-ES"/>
        </w:rPr>
        <w:t xml:space="preserve">Vínculo con el resto del proyecto.</w:t>
      </w:r>
      <w:r>
        <w:rPr>
          <w:lang w:val="es-ES"/>
        </w:rPr>
        <w:t xml:space="preserve"> </w:t>
      </w:r>
      <w:r>
        <w:rPr>
          <w:lang w:val="es-ES"/>
        </w:rPr>
        <w:t xml:space="preserve">Esta capa se alimenta de la serie (informes, planes, acta) y la alimenta: los patrones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neurogestion-patrones-y-antipatrones.md</w:t>
      </w:r>
      <w:r>
        <w:rPr>
          <w:lang w:val="es-ES"/>
        </w:rPr>
        <w:t xml:space="preserve"> </w:t>
      </w:r>
      <w:r>
        <w:rPr>
          <w:lang w:val="es-ES"/>
        </w:rPr>
        <w:t xml:space="preserve">son insumo del nivel 3; los axiomas y pilares gobiernan los cuatro niveles (ninguna ingeniería aquí procede sin sus guardas: no daño, evidencia, derechos).</w:t>
      </w:r>
    </w:p>
    <w:p>
      <w:r>
        <w:pict>
          <v:rect style="width:0;height:1.5pt" o:hralign="center" o:hrstd="t" o:hr="t"/>
        </w:pict>
      </w:r>
    </w:p>
    <w:bookmarkEnd w:id="13"/>
    <w:bookmarkStart w:id="14" w:name="convenciones-y-estado"/>
    <w:p>
      <w:pPr>
        <w:pStyle w:val="Heading2"/>
      </w:pPr>
      <w:r>
        <w:rPr>
          <w:lang w:val="es-ES"/>
        </w:rPr>
        <w:t xml:space="preserve">5. Convenciones y estado</w:t>
      </w:r>
    </w:p>
    <w:p>
      <w:pPr>
        <w:pStyle w:val="FirstParagraph"/>
      </w:pPr>
      <w:r>
        <w:rPr>
          <w:lang w:val="es-ES"/>
        </w:rPr>
        <w:t xml:space="preserve">Redacción en prosa sin tablas (línea editorial de la serie), entradas de glosario con prefijo de nivel y fuente, encabezados en frase, versión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v0.1</w:t>
      </w:r>
      <w:r>
        <w:rPr>
          <w:lang w:val="es-ES"/>
        </w:rPr>
        <w:t xml:space="preserve"> </w:t>
      </w:r>
      <w:r>
        <w:rPr>
          <w:lang w:val="es-ES"/>
        </w:rPr>
        <w:t xml:space="preserve">en cada documento (compendios y glosarios están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abiertos por diseño</w:t>
      </w:r>
      <w:r>
        <w:rPr>
          <w:lang w:val="es-ES"/>
        </w:rPr>
        <w:t xml:space="preserve">: se alimentan con la práctica y se revisan con los ciclos del Acta si se incorporan formalmente a la gobernanza). Los DOCX de esta carpeta se generan con el pipeline visual de la serie (portada, índice, foliado).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Capa Ingeniería de la Educación · Índice v0.1 · Compañero de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Requisitos.md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· Proyecto Programa Sintético.</w:t>
      </w:r>
    </w:p>
    <w:bookmarkEnd w:id="14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de la capa: Ingeniería de la Educación</dc:title>
  <dc:creator>Capa Ingeniería de la Educación · Proyecto Programa Sintético</dc:creator>
  <dc:language>es-ES</dc:language>
  <cp:keywords/>
  <dcterms:created xsi:type="dcterms:W3CDTF">2026-09-29T04:11:25Z</dcterms:created>
  <dcterms:modified xsi:type="dcterms:W3CDTF">2026-09-29T04:11:25Z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Niveles 1–4 · v0.1 · 29 de septiembre de 2026</vt:lpwstr>
  </property>
  <property fmtid="{D5CDD505-2E9C-101B-9397-08002B2CF9AE}" pid="3" name="subtitle">
    <vt:lpwstr>Arquitectura de los cuatro niveles y ruta de capacitación</vt:lpwstr>
  </property>
</Properties>
</file>