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Compendio de Ingeniería Aplicada a la Educación (General)</w:t>
      </w:r>
    </w:p>
    <w:p>
      <w:pPr>
        <w:pStyle w:val="Subtitle"/>
      </w:pPr>
      <w:r>
        <w:rPr>
          <w:lang w:val="es-ES"/>
        </w:rPr>
        <w:t xml:space="preserve">Cómo se diseña un aprendizaje con rigor… y con cariño</w:t>
      </w:r>
    </w:p>
    <w:p>
      <w:pPr>
        <w:pStyle w:val="Author"/>
      </w:pPr>
      <w:r>
        <w:rPr>
          <w:lang w:val="es-ES"/>
        </w:rPr>
        <w:t xml:space="preserve">Capa Ingeniería de la Educación · Proyecto Programa Sintético</w:t>
      </w:r>
    </w:p>
    <w:p>
      <w:pPr>
        <w:pStyle w:val="Date"/>
      </w:pPr>
      <w:r>
        <w:rPr>
          <w:lang w:val="es-ES"/>
        </w:rPr>
        <w:t xml:space="preserve">Niveles 1–4 · v0.1 · 29 de septiembre de 2026</w:t>
      </w:r>
    </w:p>
    <w:p>
      <w:r>
        <w:br w:type="page"/>
      </w:r>
    </w:p>
    <w:p>
      <w:pPr>
        <w:jc w:val="center"/>
        <w:spacing w:before="120" w:after="300"/>
      </w:pPr>
      <w:r>
        <w:rPr>
          <w:rFonts w:ascii="Georgia" w:hAnsi="Georgia"/>
          <w:b/>
          <w:color w:val="1F4E79"/>
          <w:sz w:val="32"/>
          <w:szCs w:val="32"/>
        </w:rPr>
        <w:t>Índice</w:t>
      </w:r>
    </w:p>
    <w:p>
      <w:r>
        <w:fldChar w:fldCharType="begin"/>
      </w:r>
      <w:r>
        <w:instrText xml:space="preserve"> TOC \o "1-2" \h \z \u </w:instrText>
      </w:r>
      <w:r>
        <w:fldChar w:fldCharType="separate"/>
      </w:r>
      <w:r>
        <w:rPr>
          <w:i/>
          <w:color w:val="777777"/>
        </w:rPr>
        <w:t>Índice automático — en Word se actualiza al abrir; en LibreOffice: Herramientas ▸ Actualizar ▸ Índice (F9)</w:t>
      </w:r>
      <w:r>
        <w:fldChar w:fldCharType="end"/>
      </w:r>
    </w:p>
    <w:p>
      <w:r>
        <w:br w:type="page"/>
      </w:r>
    </w:p>
    <w:p>
      <w:pPr>
        <w:pStyle w:val="FirstParagraph"/>
      </w:pPr>
      <w:r>
        <w:rPr>
          <w:i/>
          <w:iCs/>
          <w:lang w:val="es-ES"/>
        </w:rPr>
        <w:t xml:space="preserve">Capa Ingeniería de la Educación · Nivel 2 de 4 · v0.1 · 28 de septiembre de 2026</w:t>
      </w:r>
      <w:r>
        <w:rPr>
          <w:lang w:val="es-ES"/>
        </w:rPr>
        <w:t xml:space="preserve"> </w:t>
      </w:r>
      <w:r>
        <w:rPr>
          <w:i/>
          <w:iCs/>
          <w:lang w:val="es-ES"/>
        </w:rPr>
        <w:t xml:space="preserve">Compañero:</w:t>
      </w:r>
      <w:r>
        <w:rPr>
          <w:i/>
          <w:iCs/>
          <w:lang w:val="es-ES"/>
        </w:rPr>
        <w:t xml:space="preserve"> </w:t>
      </w:r>
      <w:r>
        <w:rPr>
          <w:rStyle w:val="VerbatimChar"/>
          <w:i/>
          <w:iCs/>
          <w:lang w:val="es-ES"/>
        </w:rPr>
        <w:t xml:space="preserve">glosario-ingenieria-aplicada-educacion.md</w:t>
      </w:r>
      <w:r>
        <w:rPr>
          <w:i/>
          <w:iCs/>
          <w:lang w:val="es-ES"/>
        </w:rPr>
        <w:t xml:space="preserve"> </w:t>
      </w:r>
      <w:r>
        <w:rPr>
          <w:i/>
          <w:iCs/>
          <w:lang w:val="es-ES"/>
        </w:rPr>
        <w:t xml:space="preserve">· Índice:</w:t>
      </w:r>
      <w:r>
        <w:rPr>
          <w:i/>
          <w:iCs/>
          <w:lang w:val="es-ES"/>
        </w:rPr>
        <w:t xml:space="preserve"> </w:t>
      </w:r>
      <w:r>
        <w:rPr>
          <w:rStyle w:val="VerbatimChar"/>
          <w:i/>
          <w:iCs/>
          <w:lang w:val="es-ES"/>
        </w:rPr>
        <w:t xml:space="preserve">00-Indice-Ingenieria-de-la-Educacion.md</w:t>
      </w:r>
    </w:p>
    <w:p>
      <w:r>
        <w:pict>
          <v:rect style="width:0;height:1.5pt" o:hralign="center" o:hrstd="t" o:hr="t"/>
        </w:pict>
      </w:r>
    </w:p>
    <w:bookmarkStart w:id="9" w:name="X6744e22b9331f38d825a70d3151d1518fd0fea2"/>
    <w:p>
      <w:pPr>
        <w:pStyle w:val="Heading2"/>
      </w:pPr>
      <w:r>
        <w:rPr>
          <w:lang w:val="es-ES"/>
        </w:rPr>
        <w:t xml:space="preserve">0. Antes de empezar: ¿para qué te va a servir esto?</w:t>
      </w:r>
    </w:p>
    <w:p>
      <w:pPr>
        <w:pStyle w:val="FirstParagraph"/>
      </w:pPr>
      <w:r>
        <w:rPr>
          <w:lang w:val="es-ES"/>
        </w:rPr>
        <w:t xml:space="preserve">Piensa en la última vez que fuiste a un curso o a un taller que te cambió la forma de ver algo.</w:t>
      </w:r>
    </w:p>
    <w:p>
      <w:pPr>
        <w:pStyle w:val="BodyText"/>
      </w:pPr>
      <w:r>
        <w:rPr>
          <w:lang w:val="es-ES"/>
        </w:rPr>
        <w:t xml:space="preserve">¿Fue porque el ponente tenía muchos slides? Casi seguro que no.</w:t>
      </w:r>
    </w:p>
    <w:p>
      <w:pPr>
        <w:pStyle w:val="BodyText"/>
      </w:pPr>
      <w:r>
        <w:rPr>
          <w:lang w:val="es-ES"/>
        </w:rPr>
        <w:t xml:space="preserve">Fue porque alguien pensó tu aprendizaje. Empezó donde tú estabas. Te llevó de la mano a un lugar nuevo. Te dejó practicar. Y te preguntó algo que te hizo descubrir que ya sabías más de lo que creías.</w:t>
      </w:r>
    </w:p>
    <w:p>
      <w:pPr>
        <w:pStyle w:val="BodyText"/>
      </w:pPr>
      <w:r>
        <w:rPr>
          <w:lang w:val="es-ES"/>
        </w:rPr>
        <w:t xml:space="preserve">Ese</w:t>
      </w:r>
      <w:r>
        <w:rPr>
          <w:lang w:val="es-ES"/>
        </w:rPr>
        <w:t xml:space="preserve"> </w:t>
      </w:r>
      <w:r>
        <w:rPr>
          <w:lang w:val="es-ES"/>
        </w:rPr>
        <w:t xml:space="preserve">“alguien pensó tu aprendizaje”</w:t>
      </w:r>
      <w:r>
        <w:rPr>
          <w:lang w:val="es-ES"/>
        </w:rPr>
        <w:t xml:space="preserve"> </w:t>
      </w:r>
      <w:r>
        <w:rPr>
          <w:lang w:val="es-ES"/>
        </w:rPr>
        <w:t xml:space="preserve">es exactamente lo que hace este nivel. A esta disciplina se le llama ingeniería aplicada a la educación, y su trabajo no es más misterioso que eso:</w:t>
      </w:r>
      <w:r>
        <w:rPr>
          <w:lang w:val="es-ES"/>
        </w:rPr>
        <w:t xml:space="preserve"> </w:t>
      </w:r>
      <w:r>
        <w:rPr>
          <w:b/>
          <w:bCs/>
          <w:lang w:val="es-ES"/>
        </w:rPr>
        <w:t xml:space="preserve">diseñar experiencias de aprendizaje para que de verdad ocurran</w:t>
      </w:r>
      <w:r>
        <w:rPr>
          <w:lang w:val="es-ES"/>
        </w:rPr>
        <w:t xml:space="preserve">.</w:t>
      </w:r>
    </w:p>
    <w:p>
      <w:pPr>
        <w:pStyle w:val="BodyText"/>
      </w:pPr>
      <w:r>
        <w:rPr>
          <w:lang w:val="es-ES"/>
        </w:rPr>
        <w:t xml:space="preserve">Aquí llegamos al primer terreno educativo de la serie. El nivel 1 nos dio el lenguaje de los sistemas. Este lo traslada a cualquier experiencia de aprendizaje: un taller para adultos, un curso en línea, una secuencia de juegos para niñas y niños de cualquier país. Su objeto todavía no es el programa completo (eso viene en el nivel 3). Es la experiencia misma: ese artefacto que se puede dibujar, prototipar, probar y mejorar.</w:t>
      </w:r>
    </w:p>
    <w:p>
      <w:pPr>
        <w:pStyle w:val="BodyText"/>
      </w:pPr>
      <w:r>
        <w:rPr>
          <w:lang w:val="es-ES"/>
        </w:rPr>
        <w:t xml:space="preserve">Y su promesa es sencilla de entender y difícil de cumplir: que lo que se enseña, lo que se promete y lo que se evalúa sean lo mismo.</w:t>
      </w:r>
    </w:p>
    <w:p>
      <w:r>
        <w:pict>
          <v:rect style="width:0;height:1.5pt" o:hralign="center" o:hrstd="t" o:hr="t"/>
        </w:pict>
      </w:r>
    </w:p>
    <w:bookmarkEnd w:id="9"/>
    <w:bookmarkStart w:id="11" w:name="qué-es-y-qué-no-es"/>
    <w:p>
      <w:pPr>
        <w:pStyle w:val="Heading2"/>
      </w:pPr>
      <w:r>
        <w:rPr>
          <w:lang w:val="es-ES"/>
        </w:rPr>
        <w:t xml:space="preserve">1. ¿Qué es, y qué no es?</w:t>
      </w:r>
    </w:p>
    <w:p>
      <w:pPr>
        <w:pStyle w:val="FirstParagraph"/>
      </w:pPr>
      <w:r>
        <w:rPr>
          <w:b/>
          <w:bCs/>
          <w:lang w:val="es-ES"/>
        </w:rPr>
        <w:t xml:space="preserve">Definición.</w:t>
      </w:r>
      <w:r>
        <w:rPr>
          <w:lang w:val="es-ES"/>
        </w:rPr>
        <w:t xml:space="preserve"> </w:t>
      </w:r>
      <w:r>
        <w:rPr>
          <w:lang w:val="es-ES"/>
        </w:rPr>
        <w:t xml:space="preserve">Aplicar sistemáticamente las ciencias del aprendizaje y el método de ingeniería al diseño de experiencias, materiales, secuencias y sistemas de aprendizaje. La unidad de trabajo es el plan de aprendizaje entendido como diseño: tiene requisitos (qué podrá hacer quien aprende, de forma comprobable), arquitectura (en qué orden y con qué apoyos), componentes (actividades, materiales, evaluación), integración (que las piezas conversen) y verificación (que funcionó).</w:t>
      </w:r>
    </w:p>
    <w:p>
      <w:pPr>
        <w:pStyle w:val="BodyText"/>
      </w:pPr>
      <w:r>
        <w:rPr>
          <w:lang w:val="es-ES"/>
        </w:rPr>
        <w:t xml:space="preserve">Su punto de partida es una injusticia que todos hemos vivido.</w:t>
      </w:r>
    </w:p>
    <w:p>
      <w:pPr>
        <w:pStyle w:val="BodyText"/>
      </w:pPr>
      <w:r>
        <w:rPr>
          <w:lang w:val="es-ES"/>
        </w:rPr>
        <w:t xml:space="preserve">Se enseña una cosa. Se promete otra. Se evalúa una tercera.</w:t>
      </w:r>
    </w:p>
    <w:p>
      <w:pPr>
        <w:pStyle w:val="BodyText"/>
      </w:pPr>
      <w:r>
        <w:rPr>
          <w:lang w:val="es-ES"/>
        </w:rPr>
        <w:t xml:space="preserve">El alumno que aprueba lo que no le enseñaron y reprueba lo que sí le enseñaron no es raro. Es el síntoma de un sistema con requisitos que se contradicen. Es un restaurante donde la carta, la cocina y la cuenta hablan de tres restaurantes distintos. A esta enfermedad se le llama falta de alineación, y curarla es la primera obligación de esta disciplina.</w:t>
      </w:r>
    </w:p>
    <w:p>
      <w:pPr>
        <w:pStyle w:val="BodyText"/>
      </w:pPr>
      <w:r>
        <w:rPr>
          <w:lang w:val="es-ES"/>
        </w:rPr>
        <w:t xml:space="preserve">Su segunda idea es todavía más práctica: nada se lanza en firme sin probarse con quien va a aprender. El diseño que se lanza</w:t>
      </w:r>
      <w:r>
        <w:rPr>
          <w:lang w:val="es-ES"/>
        </w:rPr>
        <w:t xml:space="preserve"> </w:t>
      </w:r>
      <w:r>
        <w:rPr>
          <w:lang w:val="es-ES"/>
        </w:rPr>
        <w:t xml:space="preserve">“porque ya está bello”</w:t>
      </w:r>
      <w:r>
        <w:rPr>
          <w:lang w:val="es-ES"/>
        </w:rPr>
        <w:t xml:space="preserve"> </w:t>
      </w:r>
      <w:r>
        <w:rPr>
          <w:lang w:val="es-ES"/>
        </w:rPr>
        <w:t xml:space="preserve">es un experimento con personas que no firmaron ningún consentimiento para ser experimento.</w:t>
      </w:r>
    </w:p>
    <w:p>
      <w:pPr>
        <w:pStyle w:val="BodyText"/>
      </w:pPr>
      <w:r>
        <w:rPr>
          <w:lang w:val="es-ES"/>
        </w:rPr>
        <w:t xml:space="preserve">Y su tercera idea, la más tierna: cada diseño es para alguien concreto. No para</w:t>
      </w:r>
      <w:r>
        <w:rPr>
          <w:lang w:val="es-ES"/>
        </w:rPr>
        <w:t xml:space="preserve"> </w:t>
      </w:r>
      <w:r>
        <w:rPr>
          <w:lang w:val="es-ES"/>
        </w:rPr>
        <w:t xml:space="preserve">“el alumno promedio”</w:t>
      </w:r>
      <w:r>
        <w:rPr>
          <w:lang w:val="es-ES"/>
        </w:rPr>
        <w:t xml:space="preserve">, ese fantasma estadístico que no existe en ningún salón del mundo.</w:t>
      </w:r>
    </w:p>
    <w:bookmarkStart w:id="10" w:name="lo-que-no-es"/>
    <w:p>
      <w:pPr>
        <w:pStyle w:val="Heading3"/>
      </w:pPr>
      <w:r>
        <w:rPr>
          <w:lang w:val="es-ES"/>
        </w:rPr>
        <w:t xml:space="preserve">Lo que no es</w:t>
      </w:r>
    </w:p>
    <w:p>
      <w:pPr>
        <w:pStyle w:val="FirstParagraph"/>
      </w:pPr>
      <w:r>
        <w:rPr>
          <w:lang w:val="es-ES"/>
        </w:rPr>
        <w:t xml:space="preserve">No confundas este nivel con sus vecinos.</w:t>
      </w:r>
    </w:p>
    <w:p>
      <w:pPr>
        <w:pStyle w:val="BodyText"/>
      </w:pPr>
      <w:r>
        <w:rPr>
          <w:lang w:val="es-ES"/>
        </w:rPr>
        <w:t xml:space="preserve">No es la ingeniería del programa completo: eso es el nivel 3, donde entran la ley, el currículo y la institución. Tampoco es neuroingeniería: eso es el nivel 4, donde el cerebro entra a la conversación con todas sus restricciones biológicas.</w:t>
      </w:r>
    </w:p>
    <w:p>
      <w:pPr>
        <w:pStyle w:val="BodyText"/>
      </w:pPr>
      <w:r>
        <w:rPr>
          <w:lang w:val="es-ES"/>
        </w:rPr>
        <w:t xml:space="preserve">Y no reemplaza a la pedagogía. La ingeniería estructura el diseño; la pedagogía aporta la sustancia del trato: el respeto, el ritmo, el vínculo. En un salón de 3 años manda la pedagogía y la ingeniería obedece. El plano se somete al niño, no al revés. En nuestro proyecto eso tiene nombre propio: compatibilidad pedagógico-andragógica (glosario neuro G26).</w:t>
      </w:r>
    </w:p>
    <w:p>
      <w:r>
        <w:pict>
          <v:rect style="width:0;height:1.5pt" o:hralign="center" o:hrstd="t" o:hr="t"/>
        </w:pict>
      </w:r>
    </w:p>
    <w:bookmarkEnd w:id="10"/>
    <w:bookmarkEnd w:id="11"/>
    <w:bookmarkStart w:id="18" w:name="las-seis-piezas-de-la-disciplina"/>
    <w:p>
      <w:pPr>
        <w:pStyle w:val="Heading2"/>
      </w:pPr>
      <w:r>
        <w:rPr>
          <w:lang w:val="es-ES"/>
        </w:rPr>
        <w:t xml:space="preserve">2. Las seis piezas de la disciplina</w:t>
      </w:r>
    </w:p>
    <w:bookmarkStart w:id="12" w:name="X664d34042f4c2754421fbc710e0b9d1c531e7ba"/>
    <w:p>
      <w:pPr>
        <w:pStyle w:val="Heading3"/>
      </w:pPr>
      <w:r>
        <w:rPr>
          <w:lang w:val="es-ES"/>
        </w:rPr>
        <w:t xml:space="preserve">Diseño instruccional: la familia de métodos que convierte sueños en objetivos</w:t>
      </w:r>
    </w:p>
    <w:p>
      <w:pPr>
        <w:pStyle w:val="FirstParagraph"/>
      </w:pPr>
      <w:r>
        <w:rPr>
          <w:lang w:val="es-ES"/>
        </w:rPr>
        <w:t xml:space="preserve">Es el oficio de pasar de</w:t>
      </w:r>
      <w:r>
        <w:rPr>
          <w:lang w:val="es-ES"/>
        </w:rPr>
        <w:t xml:space="preserve"> </w:t>
      </w:r>
      <w:r>
        <w:rPr>
          <w:lang w:val="es-ES"/>
        </w:rPr>
        <w:t xml:space="preserve">“quiero que aprendan sobre plantas”</w:t>
      </w:r>
      <w:r>
        <w:rPr>
          <w:lang w:val="es-ES"/>
        </w:rPr>
        <w:t xml:space="preserve"> </w:t>
      </w:r>
      <w:r>
        <w:rPr>
          <w:lang w:val="es-ES"/>
        </w:rPr>
        <w:t xml:space="preserve">a</w:t>
      </w:r>
      <w:r>
        <w:rPr>
          <w:lang w:val="es-ES"/>
        </w:rPr>
        <w:t xml:space="preserve"> </w:t>
      </w:r>
      <w:r>
        <w:rPr>
          <w:lang w:val="es-ES"/>
        </w:rPr>
        <w:t xml:space="preserve">“a fin de sesión, dado un plato con tres plantas, cada niña y niño podrá nombrar cuál necesita más agua y explicar por qué”</w:t>
      </w:r>
      <w:r>
        <w:rPr>
          <w:lang w:val="es-ES"/>
        </w:rPr>
        <w:t xml:space="preserve">.</w:t>
      </w:r>
    </w:p>
    <w:p>
      <w:pPr>
        <w:pStyle w:val="BodyText"/>
      </w:pPr>
      <w:r>
        <w:rPr>
          <w:lang w:val="es-ES"/>
        </w:rPr>
        <w:t xml:space="preserve">Cuatro caminos famosos, todos amables cuando se entienden.</w:t>
      </w:r>
    </w:p>
    <w:p>
      <w:pPr>
        <w:pStyle w:val="BodyText"/>
      </w:pPr>
      <w:r>
        <w:rPr>
          <w:b/>
          <w:bCs/>
          <w:lang w:val="es-ES"/>
        </w:rPr>
        <w:t xml:space="preserve">ADDIE</w:t>
      </w:r>
      <w:r>
        <w:rPr>
          <w:lang w:val="es-ES"/>
        </w:rPr>
        <w:t xml:space="preserve"> </w:t>
      </w:r>
      <w:r>
        <w:rPr>
          <w:lang w:val="es-ES"/>
        </w:rPr>
        <w:t xml:space="preserve">recorre el proceso completo: analizar, diseñar, desarrollar, implementar, evaluar. Es cocinar probando el caldo en cada paso.</w:t>
      </w:r>
    </w:p>
    <w:p>
      <w:pPr>
        <w:pStyle w:val="BodyText"/>
      </w:pPr>
      <w:r>
        <w:rPr>
          <w:b/>
          <w:bCs/>
          <w:lang w:val="es-ES"/>
        </w:rPr>
        <w:t xml:space="preserve">Dick &amp; Carey</w:t>
      </w:r>
      <w:r>
        <w:rPr>
          <w:lang w:val="es-ES"/>
        </w:rPr>
        <w:t xml:space="preserve"> </w:t>
      </w:r>
      <w:r>
        <w:rPr>
          <w:lang w:val="es-ES"/>
        </w:rPr>
        <w:t xml:space="preserve">encadena objetivos, pruebas, estrategias y evaluación en un circuito cerrado. Nada entra al sistema si no se sabe cómo se va a comprobar.</w:t>
      </w:r>
    </w:p>
    <w:p>
      <w:pPr>
        <w:pStyle w:val="BodyText"/>
      </w:pPr>
      <w:r>
        <w:rPr>
          <w:lang w:val="es-ES"/>
        </w:rPr>
        <w:t xml:space="preserve">El</w:t>
      </w:r>
      <w:r>
        <w:rPr>
          <w:lang w:val="es-ES"/>
        </w:rPr>
        <w:t xml:space="preserve"> </w:t>
      </w:r>
      <w:r>
        <w:rPr>
          <w:b/>
          <w:bCs/>
          <w:lang w:val="es-ES"/>
        </w:rPr>
        <w:t xml:space="preserve">diseño hacia atrás</w:t>
      </w:r>
      <w:r>
        <w:rPr>
          <w:lang w:val="es-ES"/>
        </w:rPr>
        <w:t xml:space="preserve"> </w:t>
      </w:r>
      <w:r>
        <w:rPr>
          <w:lang w:val="es-ES"/>
        </w:rPr>
        <w:t xml:space="preserve">de Wiggins y McTighe da la vuelta más inteligente. Primero defines qué evidencia demostrará que aprendió. Después defines cómo la evalúas. Recién al final diseñas las actividades. Es elegir primero cómo se sabrá que la fiesta fue buena, y después planear la fiesta.</w:t>
      </w:r>
    </w:p>
    <w:p>
      <w:pPr>
        <w:pStyle w:val="BodyText"/>
      </w:pPr>
      <w:r>
        <w:rPr>
          <w:lang w:val="es-ES"/>
        </w:rPr>
        <w:t xml:space="preserve">Y los</w:t>
      </w:r>
      <w:r>
        <w:rPr>
          <w:lang w:val="es-ES"/>
        </w:rPr>
        <w:t xml:space="preserve"> </w:t>
      </w:r>
      <w:r>
        <w:rPr>
          <w:b/>
          <w:bCs/>
          <w:lang w:val="es-ES"/>
        </w:rPr>
        <w:t xml:space="preserve">eventos instruccionales de Gagné</w:t>
      </w:r>
      <w:r>
        <w:rPr>
          <w:lang w:val="es-ES"/>
        </w:rPr>
        <w:t xml:space="preserve"> </w:t>
      </w:r>
      <w:r>
        <w:rPr>
          <w:lang w:val="es-ES"/>
        </w:rPr>
        <w:t xml:space="preserve">recuerdan que toda buena lección tiene momentos funcionales: captar la atención, fijar, transferir.</w:t>
      </w:r>
    </w:p>
    <w:p>
      <w:pPr>
        <w:pStyle w:val="BodyText"/>
      </w:pPr>
      <w:r>
        <w:rPr>
          <w:lang w:val="es-ES"/>
        </w:rPr>
        <w:t xml:space="preserve">Los cuatro comparten una obsesión sana: que las piezas hablen el mismo idioma.</w:t>
      </w:r>
    </w:p>
    <w:bookmarkEnd w:id="12"/>
    <w:bookmarkStart w:id="13" w:name="X24ee25fb7add318388a31729c93490bc7ccc1c6"/>
    <w:p>
      <w:pPr>
        <w:pStyle w:val="Heading3"/>
      </w:pPr>
      <w:r>
        <w:rPr>
          <w:lang w:val="es-ES"/>
        </w:rPr>
        <w:t xml:space="preserve">Ingeniería del aprendizaje: cuando entra la medición seria</w:t>
      </w:r>
    </w:p>
    <w:p>
      <w:pPr>
        <w:pStyle w:val="FirstParagraph"/>
      </w:pPr>
      <w:r>
        <w:rPr>
          <w:lang w:val="es-ES"/>
        </w:rPr>
        <w:t xml:space="preserve">Este es el campo más nuevo. Combina ciencias del aprendizaje con el ciclo de ingeniería para resolver problemas de aprendizaje medibles.</w:t>
      </w:r>
    </w:p>
    <w:p>
      <w:pPr>
        <w:pStyle w:val="BodyText"/>
      </w:pPr>
      <w:r>
        <w:rPr>
          <w:lang w:val="es-ES"/>
        </w:rPr>
        <w:t xml:space="preserve">¿Quiénes son? ¿Qué no pueden hacer hoy? ¿En qué condición? ¿Qué intervención? ¿Cómo medimos si funcionó? Son preguntas de ingeniero con sujeto humano. En inglés se llama</w:t>
      </w:r>
      <w:r>
        <w:rPr>
          <w:lang w:val="es-ES"/>
        </w:rPr>
        <w:t xml:space="preserve"> </w:t>
      </w:r>
      <w:r>
        <w:rPr>
          <w:i/>
          <w:iCs/>
          <w:lang w:val="es-ES"/>
        </w:rPr>
        <w:t xml:space="preserve">learning engineering</w:t>
      </w:r>
      <w:r>
        <w:rPr>
          <w:lang w:val="es-ES"/>
        </w:rPr>
        <w:t xml:space="preserve"> </w:t>
      </w:r>
      <w:r>
        <w:rPr>
          <w:lang w:val="es-ES"/>
        </w:rPr>
        <w:t xml:space="preserve">y lo impulsan iniciativas como IEEE ICICLE y AACE.</w:t>
      </w:r>
    </w:p>
    <w:p>
      <w:pPr>
        <w:pStyle w:val="BodyText"/>
      </w:pPr>
      <w:r>
        <w:rPr>
          <w:lang w:val="es-ES"/>
        </w:rPr>
        <w:t xml:space="preserve">Su diferencia con el diseño instruccional clásico es la insistencia en medir e iterar: el aprendizaje como proceso que se caracteriza y se estabiliza con datos, como cualquier sistema que funciona en el mundo real.</w:t>
      </w:r>
    </w:p>
    <w:bookmarkEnd w:id="13"/>
    <w:bookmarkStart w:id="14" w:name="X4ce4dd2050abd4ad554f5abf527cbc7506961a1"/>
    <w:p>
      <w:pPr>
        <w:pStyle w:val="Heading3"/>
      </w:pPr>
      <w:r>
        <w:rPr>
          <w:lang w:val="es-ES"/>
        </w:rPr>
        <w:t xml:space="preserve">Especificación y secuenciación: decirlo con precisión para poder lograrlo</w:t>
      </w:r>
    </w:p>
    <w:p>
      <w:pPr>
        <w:pStyle w:val="FirstParagraph"/>
      </w:pPr>
      <w:r>
        <w:rPr>
          <w:lang w:val="es-ES"/>
        </w:rPr>
        <w:t xml:space="preserve">Un objetivo bien escrito trae tres cosas: la condición (dado qué), el acto (qué hará) y el criterio (qué tan bien).</w:t>
      </w:r>
    </w:p>
    <w:p>
      <w:pPr>
        <w:pStyle w:val="BodyText"/>
      </w:pPr>
      <w:r>
        <w:rPr>
          <w:lang w:val="es-ES"/>
        </w:rPr>
        <w:t xml:space="preserve">“Conocerán las plantas”</w:t>
      </w:r>
      <w:r>
        <w:rPr>
          <w:lang w:val="es-ES"/>
        </w:rPr>
        <w:t xml:space="preserve"> </w:t>
      </w:r>
      <w:r>
        <w:rPr>
          <w:lang w:val="es-ES"/>
        </w:rPr>
        <w:t xml:space="preserve">no se puede comprobar. Nadie puede discutir si se cumplió. En cambio:</w:t>
      </w:r>
      <w:r>
        <w:rPr>
          <w:lang w:val="es-ES"/>
        </w:rPr>
        <w:t xml:space="preserve"> </w:t>
      </w:r>
      <w:r>
        <w:rPr>
          <w:lang w:val="es-ES"/>
        </w:rPr>
        <w:t xml:space="preserve">“dado un plato con tres plantas, nombrará cuál necesita más agua y dirá por qué”</w:t>
      </w:r>
      <w:r>
        <w:rPr>
          <w:lang w:val="es-ES"/>
        </w:rPr>
        <w:t xml:space="preserve"> </w:t>
      </w:r>
      <w:r>
        <w:rPr>
          <w:lang w:val="es-ES"/>
        </w:rPr>
        <w:t xml:space="preserve">sí.</w:t>
      </w:r>
    </w:p>
    <w:p>
      <w:pPr>
        <w:pStyle w:val="BodyText"/>
      </w:pPr>
      <w:r>
        <w:rPr>
          <w:lang w:val="es-ES"/>
        </w:rPr>
        <w:t xml:space="preserve">Las taxonomías de objetivos (recordar, aplicar, analizar, crear) sirven para no pedir arriba de lo que se enseñó. Y la secuencia, el orden de los pasos, es una decisión con argumento escrito: de lo concreto a lo abstracto, de simple a complejo, de lo conocido a lo nuevo. Una secuencia sin argumento es costumbre con buena presentación.</w:t>
      </w:r>
    </w:p>
    <w:bookmarkEnd w:id="14"/>
    <w:bookmarkStart w:id="15" w:name="X0289aa6889fa62f9fcb4d2332bf781f108f6496"/>
    <w:p>
      <w:pPr>
        <w:pStyle w:val="Heading3"/>
      </w:pPr>
      <w:r>
        <w:rPr>
          <w:lang w:val="es-ES"/>
        </w:rPr>
        <w:t xml:space="preserve">Carga cognitiva e información: el diseño que cansa sin enseñar</w:t>
      </w:r>
    </w:p>
    <w:p>
      <w:pPr>
        <w:pStyle w:val="FirstParagraph"/>
      </w:pPr>
      <w:r>
        <w:rPr>
          <w:lang w:val="es-ES"/>
        </w:rPr>
        <w:t xml:space="preserve">Aquí la ingeniería vuelve al cuerpo.</w:t>
      </w:r>
    </w:p>
    <w:p>
      <w:pPr>
        <w:pStyle w:val="BodyText"/>
      </w:pPr>
      <w:r>
        <w:rPr>
          <w:lang w:val="es-ES"/>
        </w:rPr>
        <w:t xml:space="preserve">La memoria de trabajo es una mesa chica. Encima pueden pasar tres cosas. La</w:t>
      </w:r>
      <w:r>
        <w:rPr>
          <w:lang w:val="es-ES"/>
        </w:rPr>
        <w:t xml:space="preserve"> </w:t>
      </w:r>
      <w:r>
        <w:rPr>
          <w:b/>
          <w:bCs/>
          <w:lang w:val="es-ES"/>
        </w:rPr>
        <w:t xml:space="preserve">carga intrínseca</w:t>
      </w:r>
      <w:r>
        <w:rPr>
          <w:lang w:val="es-ES"/>
        </w:rPr>
        <w:t xml:space="preserve"> </w:t>
      </w:r>
      <w:r>
        <w:rPr>
          <w:lang w:val="es-ES"/>
        </w:rPr>
        <w:t xml:space="preserve">es la dificultad propia del tema. Es necesaria: es la que aprende. La</w:t>
      </w:r>
      <w:r>
        <w:rPr>
          <w:lang w:val="es-ES"/>
        </w:rPr>
        <w:t xml:space="preserve"> </w:t>
      </w:r>
      <w:r>
        <w:rPr>
          <w:b/>
          <w:bCs/>
          <w:lang w:val="es-ES"/>
        </w:rPr>
        <w:t xml:space="preserve">extrínseca</w:t>
      </w:r>
      <w:r>
        <w:rPr>
          <w:lang w:val="es-ES"/>
        </w:rPr>
        <w:t xml:space="preserve"> </w:t>
      </w:r>
      <w:r>
        <w:rPr>
          <w:lang w:val="es-ES"/>
        </w:rPr>
        <w:t xml:space="preserve">la añade el diseño malo: instrucciones repetidas, imágenes que gritan, texto con música con letra. La</w:t>
      </w:r>
      <w:r>
        <w:rPr>
          <w:lang w:val="es-ES"/>
        </w:rPr>
        <w:t xml:space="preserve"> </w:t>
      </w:r>
      <w:r>
        <w:rPr>
          <w:b/>
          <w:bCs/>
          <w:lang w:val="es-ES"/>
        </w:rPr>
        <w:t xml:space="preserve">germana</w:t>
      </w:r>
      <w:r>
        <w:rPr>
          <w:lang w:val="es-ES"/>
        </w:rPr>
        <w:t xml:space="preserve"> </w:t>
      </w:r>
      <w:r>
        <w:rPr>
          <w:lang w:val="es-ES"/>
        </w:rPr>
        <w:t xml:space="preserve">es el esfuerzo que justamente produce aprendizaje.</w:t>
      </w:r>
    </w:p>
    <w:p>
      <w:pPr>
        <w:pStyle w:val="BodyText"/>
      </w:pPr>
      <w:r>
        <w:rPr>
          <w:lang w:val="es-ES"/>
        </w:rPr>
        <w:t xml:space="preserve">Diseñar es quitar extrínseca, dosificar intrínseca y dejar sitio para la germana.</w:t>
      </w:r>
    </w:p>
    <w:p>
      <w:pPr>
        <w:pStyle w:val="BodyText"/>
      </w:pPr>
      <w:r>
        <w:rPr>
          <w:lang w:val="es-ES"/>
        </w:rPr>
        <w:t xml:space="preserve">De ahí salen los principios multimedia de Mayer. Coherencia: sin adorno que distraiga. Redundancia: complementa, no repitas lo mismo en dos canales compitiendo. Segmentación: partes que se puedan tomar de un sorbo.</w:t>
      </w:r>
    </w:p>
    <w:p>
      <w:pPr>
        <w:pStyle w:val="BodyText"/>
      </w:pPr>
      <w:r>
        <w:rPr>
          <w:lang w:val="es-ES"/>
        </w:rPr>
        <w:t xml:space="preserve">Traducción cálida: lo bonito que estorba es un defecto de diseño, no un mérito.</w:t>
      </w:r>
    </w:p>
    <w:p>
      <w:pPr>
        <w:pStyle w:val="BodyText"/>
      </w:pPr>
      <w:r>
        <w:rPr>
          <w:lang w:val="es-ES"/>
        </w:rPr>
        <w:t xml:space="preserve">Y un aviso importante: esto no dice que cada niño tenga su</w:t>
      </w:r>
      <w:r>
        <w:rPr>
          <w:lang w:val="es-ES"/>
        </w:rPr>
        <w:t xml:space="preserve"> </w:t>
      </w:r>
      <w:r>
        <w:rPr>
          <w:lang w:val="es-ES"/>
        </w:rPr>
        <w:t xml:space="preserve">“estilo de aprendizaje”</w:t>
      </w:r>
      <w:r>
        <w:rPr>
          <w:lang w:val="es-ES"/>
        </w:rPr>
        <w:t xml:space="preserve">. Eso es un mito que el glosario neuro (J1) despide. Multisensorial sí, porque todos procesamos mejor con ambos canales. Estilos separados, no.</w:t>
      </w:r>
    </w:p>
    <w:bookmarkEnd w:id="15"/>
    <w:bookmarkStart w:id="16" w:name="Xfd37c7bd9d1ea150d63bb0ccb041d6f9c886526"/>
    <w:p>
      <w:pPr>
        <w:pStyle w:val="Heading3"/>
      </w:pPr>
      <w:r>
        <w:rPr>
          <w:lang w:val="es-ES"/>
        </w:rPr>
        <w:t xml:space="preserve">Accesibilidad y diseño universal: la inclusión como calidad</w:t>
      </w:r>
    </w:p>
    <w:p>
      <w:pPr>
        <w:pStyle w:val="FirstParagraph"/>
      </w:pPr>
      <w:r>
        <w:rPr>
          <w:lang w:val="es-ES"/>
        </w:rPr>
        <w:t xml:space="preserve">El</w:t>
      </w:r>
      <w:r>
        <w:rPr>
          <w:lang w:val="es-ES"/>
        </w:rPr>
        <w:t xml:space="preserve"> </w:t>
      </w:r>
      <w:r>
        <w:rPr>
          <w:b/>
          <w:bCs/>
          <w:lang w:val="es-ES"/>
        </w:rPr>
        <w:t xml:space="preserve">Diseño Universal para el Aprendizaje</w:t>
      </w:r>
      <w:r>
        <w:rPr>
          <w:lang w:val="es-ES"/>
        </w:rPr>
        <w:t xml:space="preserve"> </w:t>
      </w:r>
      <w:r>
        <w:rPr>
          <w:lang w:val="es-ES"/>
        </w:rPr>
        <w:t xml:space="preserve">(UDL, de CAST) propone tres puertas desde el inicio: múltiples formas de entrar al contenido, de demostrar lo aprendido y de engancharte con ello.</w:t>
      </w:r>
    </w:p>
    <w:p>
      <w:pPr>
        <w:pStyle w:val="BodyText"/>
      </w:pPr>
      <w:r>
        <w:rPr>
          <w:lang w:val="es-ES"/>
        </w:rPr>
        <w:t xml:space="preserve">Una historia que se lee, se escucha y se actúa. Que se entiende igual con o sin lectura temprana.</w:t>
      </w:r>
    </w:p>
    <w:p>
      <w:pPr>
        <w:pStyle w:val="BodyText"/>
      </w:pPr>
      <w:r>
        <w:rPr>
          <w:lang w:val="es-ES"/>
        </w:rPr>
        <w:t xml:space="preserve">La accesibilidad digital es su versión técnica: contraste suficiente, textos alternativos, navegación con teclado. El principio es humano: diseñar para la diversidad desde el minuto cero es más barato y más humano que adaptar después. La rampa va en el plano, no como justificante pegado al edificio terminado.</w:t>
      </w:r>
    </w:p>
    <w:p>
      <w:pPr>
        <w:pStyle w:val="BodyText"/>
      </w:pPr>
      <w:r>
        <w:rPr>
          <w:lang w:val="es-ES"/>
        </w:rPr>
        <w:t xml:space="preserve">Su gemelo ético es distinguir la adaptación didáctica (rutina, es para todo el grupo) del ajuste razonable (lo que una persona con discapacidad necesita para acceder sin perder el objetivo). El ajuste es derecho, no favor (glosario interseccionalidades F14/E7).</w:t>
      </w:r>
    </w:p>
    <w:bookmarkEnd w:id="16"/>
    <w:bookmarkStart w:id="17" w:name="X96a88e521fd38069bed20f6ec88d054c32e9f59"/>
    <w:p>
      <w:pPr>
        <w:pStyle w:val="Heading3"/>
      </w:pPr>
      <w:r>
        <w:rPr>
          <w:lang w:val="es-ES"/>
        </w:rPr>
        <w:t xml:space="preserve">Calidad de servicios formativos: la promesa hecha norma</w:t>
      </w:r>
    </w:p>
    <w:p>
      <w:pPr>
        <w:pStyle w:val="FirstParagraph"/>
      </w:pPr>
      <w:r>
        <w:rPr>
          <w:lang w:val="es-ES"/>
        </w:rPr>
        <w:t xml:space="preserve">Cuando una organización quiere decir</w:t>
      </w:r>
      <w:r>
        <w:rPr>
          <w:lang w:val="es-ES"/>
        </w:rPr>
        <w:t xml:space="preserve"> </w:t>
      </w:r>
      <w:r>
        <w:rPr>
          <w:lang w:val="es-ES"/>
        </w:rPr>
        <w:t xml:space="preserve">“aquí se enseña bien”</w:t>
      </w:r>
      <w:r>
        <w:rPr>
          <w:lang w:val="es-ES"/>
        </w:rPr>
        <w:t xml:space="preserve"> </w:t>
      </w:r>
      <w:r>
        <w:rPr>
          <w:lang w:val="es-ES"/>
        </w:rPr>
        <w:t xml:space="preserve">con credibilidad, existen estándares.</w:t>
      </w:r>
    </w:p>
    <w:p>
      <w:pPr>
        <w:pStyle w:val="BodyText"/>
      </w:pPr>
      <w:r>
        <w:rPr>
          <w:b/>
          <w:bCs/>
          <w:lang w:val="es-ES"/>
        </w:rPr>
        <w:t xml:space="preserve">ISO 21001</w:t>
      </w:r>
      <w:r>
        <w:rPr>
          <w:lang w:val="es-ES"/>
        </w:rPr>
        <w:t xml:space="preserve"> </w:t>
      </w:r>
      <w:r>
        <w:rPr>
          <w:lang w:val="es-ES"/>
        </w:rPr>
        <w:t xml:space="preserve">es para organizaciones educativas: preguntas que una escuela se debe hacer con disciplina, sobre liderazgo, riesgos y mejora.</w:t>
      </w:r>
      <w:r>
        <w:rPr>
          <w:lang w:val="es-ES"/>
        </w:rPr>
        <w:t xml:space="preserve"> </w:t>
      </w:r>
      <w:r>
        <w:rPr>
          <w:b/>
          <w:bCs/>
          <w:lang w:val="es-ES"/>
        </w:rPr>
        <w:t xml:space="preserve">ISO/IEC 29990</w:t>
      </w:r>
      <w:r>
        <w:rPr>
          <w:lang w:val="es-ES"/>
        </w:rPr>
        <w:t xml:space="preserve"> </w:t>
      </w:r>
      <w:r>
        <w:rPr>
          <w:lang w:val="es-ES"/>
        </w:rPr>
        <w:t xml:space="preserve">cubre los servicios de aprendizaje de formación no formal: competencia del personal, diseño y evaluación del servicio.</w:t>
      </w:r>
    </w:p>
    <w:p>
      <w:pPr>
        <w:pStyle w:val="BodyText"/>
      </w:pPr>
      <w:r>
        <w:rPr>
          <w:lang w:val="es-ES"/>
        </w:rPr>
        <w:t xml:space="preserve">Funcionan como chequeo médico periódico de la institución, no del niño. Si el estándar empieza a comerse el aula, gana el aula: el estándar no sustituye al contexto.</w:t>
      </w:r>
    </w:p>
    <w:p>
      <w:pPr>
        <w:pStyle w:val="BodyText"/>
      </w:pPr>
      <w:r>
        <w:rPr>
          <w:lang w:val="es-ES"/>
        </w:rPr>
        <w:t xml:space="preserve">La</w:t>
      </w:r>
      <w:r>
        <w:rPr>
          <w:lang w:val="es-ES"/>
        </w:rPr>
        <w:t xml:space="preserve"> </w:t>
      </w:r>
      <w:r>
        <w:rPr>
          <w:b/>
          <w:bCs/>
          <w:lang w:val="es-ES"/>
        </w:rPr>
        <w:t xml:space="preserve">analítica educativa</w:t>
      </w:r>
      <w:r>
        <w:rPr>
          <w:lang w:val="es-ES"/>
        </w:rPr>
        <w:t xml:space="preserve"> </w:t>
      </w:r>
      <w:r>
        <w:rPr>
          <w:lang w:val="es-ES"/>
        </w:rPr>
        <w:t xml:space="preserve">entra aquí con su advertencia de oro: se analizan datos para mejorar el diseño, nunca para vigilar ni clasificar a las personas. Con menores, además, con consentimiento y minimización (así lo exige nuestro Acta, art. 7).</w:t>
      </w:r>
    </w:p>
    <w:p>
      <w:pPr>
        <w:pStyle w:val="BodyText"/>
      </w:pPr>
      <w:r>
        <w:rPr>
          <w:lang w:val="es-ES"/>
        </w:rPr>
        <w:t xml:space="preserve">La</w:t>
      </w:r>
      <w:r>
        <w:rPr>
          <w:lang w:val="es-ES"/>
        </w:rPr>
        <w:t xml:space="preserve"> </w:t>
      </w:r>
      <w:r>
        <w:rPr>
          <w:b/>
          <w:bCs/>
          <w:lang w:val="es-ES"/>
        </w:rPr>
        <w:t xml:space="preserve">interoperabilidad</w:t>
      </w:r>
      <w:r>
        <w:rPr>
          <w:lang w:val="es-ES"/>
        </w:rPr>
        <w:t xml:space="preserve"> </w:t>
      </w:r>
      <w:r>
        <w:rPr>
          <w:lang w:val="es-ES"/>
        </w:rPr>
        <w:t xml:space="preserve">(SCORM, xAPI) es la cortesía técnica: que el diseño viaje entre sistemas sin perderse, como un expediente que cualquier hospital puede leer aunque cambies de médico.</w:t>
      </w:r>
    </w:p>
    <w:p>
      <w:r>
        <w:pict>
          <v:rect style="width:0;height:1.5pt" o:hralign="center" o:hrstd="t" o:hr="t"/>
        </w:pict>
      </w:r>
    </w:p>
    <w:bookmarkEnd w:id="17"/>
    <w:bookmarkEnd w:id="18"/>
    <w:bookmarkStart w:id="19" w:name="X687bd21d43ac941b16cfbebee985431c3170757"/>
    <w:p>
      <w:pPr>
        <w:pStyle w:val="Heading2"/>
      </w:pPr>
      <w:r>
        <w:rPr>
          <w:lang w:val="es-ES"/>
        </w:rPr>
        <w:t xml:space="preserve">3. El ciclo de este nivel (y el error más caro que evita)</w:t>
      </w:r>
    </w:p>
    <w:p>
      <w:pPr>
        <w:pStyle w:val="FirstParagraph"/>
      </w:pPr>
      <w:r>
        <w:rPr>
          <w:lang w:val="es-ES"/>
        </w:rPr>
        <w:t xml:space="preserve">Analizar: ¿quiénes aprenden, qué necesitan, qué nos limita? Especificar: objetivos verificables y la evidencia que los demostrará. Diseñar: secuencia, actividades y evaluación alineadas; el medio se elige por su carga, no por su moda. Desarrollar: materiales y guiones con especificación. Prototipar: probar chico y barato. Implementar: con soporte real a quien facilita. Evaluar: logro frente a objetivo, no satisfacción frente a esfuerzo. E iterar con el dato.</w:t>
      </w:r>
    </w:p>
    <w:p>
      <w:pPr>
        <w:pStyle w:val="BodyText"/>
      </w:pPr>
      <w:r>
        <w:rPr>
          <w:lang w:val="es-ES"/>
        </w:rPr>
        <w:t xml:space="preserve">Dos errores cuestan más que todos los demás.</w:t>
      </w:r>
    </w:p>
    <w:p>
      <w:pPr>
        <w:pStyle w:val="BodyText"/>
      </w:pPr>
      <w:r>
        <w:rPr>
          <w:lang w:val="es-ES"/>
        </w:rPr>
        <w:t xml:space="preserve">El primero: diseñar sin validar con aprendices reales. El curso perfecto en papel que colapsa ante un grupo de verdad.</w:t>
      </w:r>
    </w:p>
    <w:p>
      <w:pPr>
        <w:pStyle w:val="BodyText"/>
      </w:pPr>
      <w:r>
        <w:rPr>
          <w:lang w:val="es-ES"/>
        </w:rPr>
        <w:t xml:space="preserve">El segundo: evaluar distinto de lo que se enseñó. La injusticia del restaurante de tres menús.</w:t>
      </w:r>
    </w:p>
    <w:p>
      <w:pPr>
        <w:pStyle w:val="BodyText"/>
      </w:pPr>
      <w:r>
        <w:rPr>
          <w:lang w:val="es-ES"/>
        </w:rPr>
        <w:t xml:space="preserve">Ambos se corrigen con la misma medicina: alineación y prototipo temprano.</w:t>
      </w:r>
    </w:p>
    <w:p>
      <w:r>
        <w:pict>
          <v:rect style="width:0;height:1.5pt" o:hralign="center" o:hrstd="t" o:hr="t"/>
        </w:pict>
      </w:r>
    </w:p>
    <w:bookmarkEnd w:id="19"/>
    <w:bookmarkStart w:id="24" w:name="X4e8fd0bec4c87500eb9c11717470928ff9e4da7"/>
    <w:p>
      <w:pPr>
        <w:pStyle w:val="Heading2"/>
      </w:pPr>
      <w:r>
        <w:rPr>
          <w:lang w:val="es-ES"/>
        </w:rPr>
        <w:t xml:space="preserve">4. Qué hay que estudiar para poder ejercerla</w:t>
      </w:r>
    </w:p>
    <w:bookmarkStart w:id="20" w:name="nivel-básico-entender"/>
    <w:p>
      <w:pPr>
        <w:pStyle w:val="Heading3"/>
      </w:pPr>
      <w:r>
        <w:rPr>
          <w:lang w:val="es-ES"/>
        </w:rPr>
        <w:t xml:space="preserve">Nivel básico: entender</w:t>
      </w:r>
    </w:p>
    <w:p>
      <w:pPr>
        <w:pStyle w:val="FirstParagraph"/>
      </w:pPr>
      <w:r>
        <w:rPr>
          <w:lang w:val="es-ES"/>
        </w:rPr>
        <w:t xml:space="preserve">Conviene saber distinguir objetivo, instrucción y evaluación —y detectar cuando se desalinean. Es una habilidad muy práctica: te ahorra cursos que no sirven. También: redactar un objetivo verificable; separar evaluación de satisfacción; entender carga cognitiva en lenguaje llano; conocer ADDIE y el diseño hacia atrás; y saber qué promete (y qué no) ISO 21001.</w:t>
      </w:r>
    </w:p>
    <w:p>
      <w:pPr>
        <w:pStyle w:val="BodyText"/>
      </w:pPr>
      <w:r>
        <w:rPr>
          <w:lang w:val="es-ES"/>
        </w:rPr>
        <w:t xml:space="preserve">Para practicar aquí: el glosario IA, con unos treinta términos, y después mirar con lupa cualquier curso o secuencia que hayas dado o recibido. Pregúntate: ¿está alineado?</w:t>
      </w:r>
    </w:p>
    <w:bookmarkEnd w:id="20"/>
    <w:bookmarkStart w:id="21" w:name="nivel-practicante-diseñar"/>
    <w:p>
      <w:pPr>
        <w:pStyle w:val="Heading3"/>
      </w:pPr>
      <w:r>
        <w:rPr>
          <w:lang w:val="es-ES"/>
        </w:rPr>
        <w:t xml:space="preserve">Nivel practicante: diseñar</w:t>
      </w:r>
    </w:p>
    <w:p>
      <w:pPr>
        <w:pStyle w:val="FirstParagraph"/>
      </w:pPr>
      <w:r>
        <w:rPr>
          <w:lang w:val="es-ES"/>
        </w:rPr>
        <w:t xml:space="preserve">Ya se diseña de verdad: analizar contexto y aprendices con sus restricciones reales; redactar objetivos, pruebas y actividades en cadena (Dick &amp; Carey completo); secuenciar con argumento escrito; aplicar multimedia y carga cognitiva a materiales concretos; diseñar con UDL desde el inicio; prototipar y medir con criterios de logro; documentar el diseño como especificación de curso versionable; iterar con lo que dijo el piloto.</w:t>
      </w:r>
    </w:p>
    <w:p>
      <w:pPr>
        <w:pStyle w:val="BodyText"/>
      </w:pPr>
      <w:r>
        <w:rPr>
          <w:lang w:val="es-ES"/>
        </w:rPr>
        <w:t xml:space="preserve">Hay material propio en este proyecto para leerlo así:</w:t>
      </w:r>
      <w:r>
        <w:rPr>
          <w:lang w:val="es-ES"/>
        </w:rPr>
        <w:t xml:space="preserve"> </w:t>
      </w:r>
      <w:r>
        <w:rPr>
          <w:rStyle w:val="VerbatimChar"/>
          <w:lang w:val="es-ES"/>
        </w:rPr>
        <w:t xml:space="preserve">planes-por-grado-inclusion-y-ayudas.md</w:t>
      </w:r>
      <w:r>
        <w:rPr>
          <w:lang w:val="es-ES"/>
        </w:rPr>
        <w:t xml:space="preserve">,</w:t>
      </w:r>
      <w:r>
        <w:rPr>
          <w:lang w:val="es-ES"/>
        </w:rPr>
        <w:t xml:space="preserve"> </w:t>
      </w:r>
      <w:r>
        <w:rPr>
          <w:rStyle w:val="VerbatimChar"/>
          <w:lang w:val="es-ES"/>
        </w:rPr>
        <w:t xml:space="preserve">actividades-2do-y-3ro-de-jardin.md</w:t>
      </w:r>
      <w:r>
        <w:rPr>
          <w:lang w:val="es-ES"/>
        </w:rPr>
        <w:t xml:space="preserve"> </w:t>
      </w:r>
      <w:r>
        <w:rPr>
          <w:lang w:val="es-ES"/>
        </w:rPr>
        <w:t xml:space="preserve">y</w:t>
      </w:r>
      <w:r>
        <w:rPr>
          <w:lang w:val="es-ES"/>
        </w:rPr>
        <w:t xml:space="preserve"> </w:t>
      </w:r>
      <w:r>
        <w:rPr>
          <w:rStyle w:val="VerbatimChar"/>
          <w:lang w:val="es-ES"/>
        </w:rPr>
        <w:t xml:space="preserve">plan-de-estudios-curso-andragogia-neuroeducacion.md</w:t>
      </w:r>
      <w:r>
        <w:rPr>
          <w:lang w:val="es-ES"/>
        </w:rPr>
        <w:t xml:space="preserve"> </w:t>
      </w:r>
      <w:r>
        <w:rPr>
          <w:lang w:val="es-ES"/>
        </w:rPr>
        <w:t xml:space="preserve">son diseños reales. Léelos como ingeniero: ¿qué objetivo cumplen? ¿con qué evidencia? ¿qué carga exigen? ¿qué supuesto declaran?</w:t>
      </w:r>
    </w:p>
    <w:bookmarkEnd w:id="21"/>
    <w:bookmarkStart w:id="22" w:name="X68036473e41a20233d87bbdd6d9f28cb49b15a5"/>
    <w:p>
      <w:pPr>
        <w:pStyle w:val="Heading3"/>
      </w:pPr>
      <w:r>
        <w:rPr>
          <w:lang w:val="es-ES"/>
        </w:rPr>
        <w:t xml:space="preserve">Nivel referente: diseñar sistemas y auditarlos</w:t>
      </w:r>
    </w:p>
    <w:p>
      <w:pPr>
        <w:pStyle w:val="FirstParagraph"/>
      </w:pPr>
      <w:r>
        <w:rPr>
          <w:lang w:val="es-ES"/>
        </w:rPr>
        <w:t xml:space="preserve">El tercer nivel estudia arquitectura de programas (cursos, rutas y certificaciones como sistema), evaluación como sistema, analítica con ética, implementación a escala con soporte al facilitador, auditoría ISO e investigación aplicada con líneas base. Sirve para poder decir</w:t>
      </w:r>
      <w:r>
        <w:rPr>
          <w:lang w:val="es-ES"/>
        </w:rPr>
        <w:t xml:space="preserve"> </w:t>
      </w:r>
      <w:r>
        <w:rPr>
          <w:lang w:val="es-ES"/>
        </w:rPr>
        <w:t xml:space="preserve">“esto funciona”</w:t>
      </w:r>
      <w:r>
        <w:rPr>
          <w:lang w:val="es-ES"/>
        </w:rPr>
        <w:t xml:space="preserve"> </w:t>
      </w:r>
      <w:r>
        <w:rPr>
          <w:lang w:val="es-ES"/>
        </w:rPr>
        <w:t xml:space="preserve">con datos, y</w:t>
      </w:r>
      <w:r>
        <w:rPr>
          <w:lang w:val="es-ES"/>
        </w:rPr>
        <w:t xml:space="preserve"> </w:t>
      </w:r>
      <w:r>
        <w:rPr>
          <w:lang w:val="es-ES"/>
        </w:rPr>
        <w:t xml:space="preserve">“esto no”</w:t>
      </w:r>
      <w:r>
        <w:rPr>
          <w:lang w:val="es-ES"/>
        </w:rPr>
        <w:t xml:space="preserve"> </w:t>
      </w:r>
      <w:r>
        <w:rPr>
          <w:lang w:val="es-ES"/>
        </w:rPr>
        <w:t xml:space="preserve">sin drama.</w:t>
      </w:r>
    </w:p>
    <w:bookmarkEnd w:id="22"/>
    <w:bookmarkStart w:id="23" w:name="por-dónde-leer"/>
    <w:p>
      <w:pPr>
        <w:pStyle w:val="Heading3"/>
      </w:pPr>
      <w:r>
        <w:rPr>
          <w:lang w:val="es-ES"/>
        </w:rPr>
        <w:t xml:space="preserve">Por dónde leer</w:t>
      </w:r>
    </w:p>
    <w:p>
      <w:pPr>
        <w:pStyle w:val="FirstParagraph"/>
      </w:pPr>
      <w:r>
        <w:rPr>
          <w:lang w:val="es-ES"/>
        </w:rPr>
        <w:t xml:space="preserve">Gagné,</w:t>
      </w:r>
      <w:r>
        <w:rPr>
          <w:lang w:val="es-ES"/>
        </w:rPr>
        <w:t xml:space="preserve"> </w:t>
      </w:r>
      <w:r>
        <w:rPr>
          <w:i/>
          <w:iCs/>
          <w:lang w:val="es-ES"/>
        </w:rPr>
        <w:t xml:space="preserve">Los principios instruccionales</w:t>
      </w:r>
      <w:r>
        <w:rPr>
          <w:lang w:val="es-ES"/>
        </w:rPr>
        <w:t xml:space="preserve">, para la secuencia de la lección. Dick &amp; Carey,</w:t>
      </w:r>
      <w:r>
        <w:rPr>
          <w:lang w:val="es-ES"/>
        </w:rPr>
        <w:t xml:space="preserve"> </w:t>
      </w:r>
      <w:r>
        <w:rPr>
          <w:i/>
          <w:iCs/>
          <w:lang w:val="es-ES"/>
        </w:rPr>
        <w:t xml:space="preserve">Systematic Design of Instruction</w:t>
      </w:r>
      <w:r>
        <w:rPr>
          <w:lang w:val="es-ES"/>
        </w:rPr>
        <w:t xml:space="preserve">, para el circuito cerrado. Wiggins y McTighe,</w:t>
      </w:r>
      <w:r>
        <w:rPr>
          <w:lang w:val="es-ES"/>
        </w:rPr>
        <w:t xml:space="preserve"> </w:t>
      </w:r>
      <w:r>
        <w:rPr>
          <w:i/>
          <w:iCs/>
          <w:lang w:val="es-ES"/>
        </w:rPr>
        <w:t xml:space="preserve">Understanding by Design</w:t>
      </w:r>
      <w:r>
        <w:rPr>
          <w:lang w:val="es-ES"/>
        </w:rPr>
        <w:t xml:space="preserve">, para la vuelta hacia atrás. Mayer,</w:t>
      </w:r>
      <w:r>
        <w:rPr>
          <w:lang w:val="es-ES"/>
        </w:rPr>
        <w:t xml:space="preserve"> </w:t>
      </w:r>
      <w:r>
        <w:rPr>
          <w:i/>
          <w:iCs/>
          <w:lang w:val="es-ES"/>
        </w:rPr>
        <w:t xml:space="preserve">Multimedia Learning</w:t>
      </w:r>
      <w:r>
        <w:rPr>
          <w:lang w:val="es-ES"/>
        </w:rPr>
        <w:t xml:space="preserve">, para lo bonito que estorba. Sweller, para la teoría de la carga cognitiva y la mesa chica. CAST, para las tres puertas de la UDL. Las normas ISO 21001 y 29990 para la promesa con credibilidad. Y la literatura de</w:t>
      </w:r>
      <w:r>
        <w:rPr>
          <w:lang w:val="es-ES"/>
        </w:rPr>
        <w:t xml:space="preserve"> </w:t>
      </w:r>
      <w:r>
        <w:rPr>
          <w:i/>
          <w:iCs/>
          <w:lang w:val="es-ES"/>
        </w:rPr>
        <w:t xml:space="preserve">learning engineering</w:t>
      </w:r>
      <w:r>
        <w:rPr>
          <w:lang w:val="es-ES"/>
        </w:rPr>
        <w:t xml:space="preserve"> </w:t>
      </w:r>
      <w:r>
        <w:rPr>
          <w:lang w:val="es-ES"/>
        </w:rPr>
        <w:t xml:space="preserve">(IEEE ICICLE, AACE) para la vertiente de medición.</w:t>
      </w:r>
    </w:p>
    <w:p>
      <w:pPr>
        <w:pStyle w:val="BodyText"/>
      </w:pPr>
      <w:r>
        <w:rPr>
          <w:lang w:val="es-ES"/>
        </w:rPr>
        <w:t xml:space="preserve">Todas tienen edición en accesible español y se leen por necesidad, no por coleccionismo.</w:t>
      </w:r>
    </w:p>
    <w:p>
      <w:r>
        <w:pict>
          <v:rect style="width:0;height:1.5pt" o:hralign="center" o:hrstd="t" o:hr="t"/>
        </w:pict>
      </w:r>
    </w:p>
    <w:bookmarkEnd w:id="23"/>
    <w:bookmarkEnd w:id="24"/>
    <w:bookmarkStart w:id="25" w:name="los-tres-límites-que-este-nivel-declara"/>
    <w:p>
      <w:pPr>
        <w:pStyle w:val="Heading2"/>
      </w:pPr>
      <w:r>
        <w:rPr>
          <w:lang w:val="es-ES"/>
        </w:rPr>
        <w:t xml:space="preserve">5. Los tres límites que este nivel declara</w:t>
      </w:r>
    </w:p>
    <w:p>
      <w:pPr>
        <w:pStyle w:val="FirstParagraph"/>
      </w:pPr>
      <w:r>
        <w:rPr>
          <w:b/>
          <w:bCs/>
          <w:lang w:val="es-ES"/>
        </w:rPr>
        <w:t xml:space="preserve">La medición no es el aprendizaje.</w:t>
      </w:r>
      <w:r>
        <w:rPr>
          <w:lang w:val="es-ES"/>
        </w:rPr>
        <w:t xml:space="preserve"> </w:t>
      </w:r>
      <w:r>
        <w:rPr>
          <w:lang w:val="es-ES"/>
        </w:rPr>
        <w:t xml:space="preserve">La analítica mide el diseño: qué actividad retuvo, cuánto tardó, dónde tropezó. Ese dato sirve para mejorar la intervención. Nunca para clasificar al niño o al adulto. Nos ampara la neuroepistemología: cada fuente tiene su límite. Y el Acta, art. 7: minimización de datos. Un número sobre una persona no es su verdad; es una sombra, y de la sombra sólo sirve la dirección en que cae.</w:t>
      </w:r>
    </w:p>
    <w:p>
      <w:pPr>
        <w:pStyle w:val="BodyText"/>
      </w:pPr>
      <w:r>
        <w:rPr>
          <w:b/>
          <w:bCs/>
          <w:lang w:val="es-ES"/>
        </w:rPr>
        <w:t xml:space="preserve">El estándar no sustituye al contexto.</w:t>
      </w:r>
      <w:r>
        <w:rPr>
          <w:lang w:val="es-ES"/>
        </w:rPr>
        <w:t xml:space="preserve"> </w:t>
      </w:r>
      <w:r>
        <w:rPr>
          <w:lang w:val="es-ES"/>
        </w:rPr>
        <w:t xml:space="preserve">ISO da un marco. No manda sobre el ritmo de un salón de 3 años. Cuando la norma y el niño discuten en una aula temprana, el niño tiene la razón. El estándar se aplica en la oficina, no sobre el juego.</w:t>
      </w:r>
    </w:p>
    <w:p>
      <w:pPr>
        <w:pStyle w:val="BodyText"/>
      </w:pPr>
      <w:r>
        <w:rPr>
          <w:b/>
          <w:bCs/>
          <w:lang w:val="es-ES"/>
        </w:rPr>
        <w:t xml:space="preserve">La tecnología es medio, nunca menú.</w:t>
      </w:r>
      <w:r>
        <w:rPr>
          <w:lang w:val="es-ES"/>
        </w:rPr>
        <w:t xml:space="preserve"> </w:t>
      </w:r>
      <w:r>
        <w:rPr>
          <w:lang w:val="es-ES"/>
        </w:rPr>
        <w:t xml:space="preserve">El medio se elige por su carga y su función, no por su novedad. El recurso más innovador que no se prueba es el más riesgoso; el más humilde que se prueba es el más útil. La pregunta no es</w:t>
      </w:r>
      <w:r>
        <w:rPr>
          <w:lang w:val="es-ES"/>
        </w:rPr>
        <w:t xml:space="preserve"> </w:t>
      </w:r>
      <w:r>
        <w:rPr>
          <w:lang w:val="es-ES"/>
        </w:rPr>
        <w:t xml:space="preserve">“¿cómo suena?”</w:t>
      </w:r>
      <w:r>
        <w:rPr>
          <w:lang w:val="es-ES"/>
        </w:rPr>
        <w:t xml:space="preserve"> </w:t>
      </w:r>
      <w:r>
        <w:rPr>
          <w:lang w:val="es-ES"/>
        </w:rPr>
        <w:t xml:space="preserve">sino</w:t>
      </w:r>
      <w:r>
        <w:rPr>
          <w:lang w:val="es-ES"/>
        </w:rPr>
        <w:t xml:space="preserve"> </w:t>
      </w:r>
      <w:r>
        <w:rPr>
          <w:lang w:val="es-ES"/>
        </w:rPr>
        <w:t xml:space="preserve">“¿qué carga trae y qué resuelve?”</w:t>
      </w:r>
      <w:r>
        <w:rPr>
          <w:lang w:val="es-ES"/>
        </w:rPr>
        <w:t xml:space="preserve">.</w:t>
      </w:r>
    </w:p>
    <w:p>
      <w:r>
        <w:pict>
          <v:rect style="width:0;height:1.5pt" o:hralign="center" o:hrstd="t" o:hr="t"/>
        </w:pict>
      </w:r>
    </w:p>
    <w:bookmarkEnd w:id="25"/>
    <w:bookmarkStart w:id="26" w:name="estado-y-cómo-crece-este-compendio"/>
    <w:p>
      <w:pPr>
        <w:pStyle w:val="Heading2"/>
      </w:pPr>
      <w:r>
        <w:rPr>
          <w:lang w:val="es-ES"/>
        </w:rPr>
        <w:t xml:space="preserve">6. Estado y cómo crece este compendio</w:t>
      </w:r>
    </w:p>
    <w:p>
      <w:pPr>
        <w:pStyle w:val="FirstParagraph"/>
      </w:pPr>
      <w:r>
        <w:rPr>
          <w:lang w:val="es-ES"/>
        </w:rPr>
        <w:t xml:space="preserve">Está en</w:t>
      </w:r>
      <w:r>
        <w:rPr>
          <w:lang w:val="es-ES"/>
        </w:rPr>
        <w:t xml:space="preserve"> </w:t>
      </w:r>
      <w:r>
        <w:rPr>
          <w:b/>
          <w:bCs/>
          <w:lang w:val="es-ES"/>
        </w:rPr>
        <w:t xml:space="preserve">v0.1</w:t>
      </w:r>
      <w:r>
        <w:rPr>
          <w:lang w:val="es-ES"/>
        </w:rPr>
        <w:t xml:space="preserve">: seis piezas explicadas, ciclo con sus dos errores tópicos y mapa de tres niveles de capacitación.</w:t>
      </w:r>
    </w:p>
    <w:p>
      <w:pPr>
        <w:pStyle w:val="BodyText"/>
      </w:pPr>
      <w:r>
        <w:rPr>
          <w:lang w:val="es-ES"/>
        </w:rPr>
        <w:t xml:space="preserve">Crece con reglas simples. Todo diseño del proyecto se examina contra este mapa; si algo se desalinea, se corrige antes de usarlo. Los términos nuevos entran al glosario IA. Y si esta capa llega a los ciclos formales del Acta, se revisa junto con ellos.</w:t>
      </w:r>
    </w:p>
    <w:p>
      <w:pPr>
        <w:pStyle w:val="BodyText"/>
      </w:pPr>
      <w:r>
        <w:rPr>
          <w:lang w:val="es-ES"/>
        </w:rPr>
        <w:t xml:space="preserve">Una invitación final: este compendio se lee mejor con un material propio en la mano. Toma un curso o una secuencia que hayas dado o recibido y busca dónde vive cada pieza de este texto. Es la mejor manera de que la teoría se vuelva oficio.</w:t>
      </w:r>
    </w:p>
    <w:p>
      <w:r>
        <w:pict>
          <v:rect style="width:0;height:1.5pt" o:hralign="center" o:hrstd="t" o:hr="t"/>
        </w:pict>
      </w:r>
    </w:p>
    <w:p>
      <w:pPr>
        <w:pStyle w:val="FirstParagraph"/>
      </w:pPr>
      <w:r>
        <w:rPr>
          <w:i/>
          <w:iCs/>
          <w:lang w:val="es-ES"/>
        </w:rPr>
        <w:t xml:space="preserve">Capa Ingeniería de la Educación · Nivel 2 · v0.1 · Proyecto Programa Sintético · Escrito con neuroaprendizaje: frases cortas, ejemplos primero, una idea por párrafo.</w:t>
      </w:r>
    </w:p>
    <w:bookmarkEnd w:id="26"/>
    <w:sectPr>
      <w:footerReference w:type="default" r:id="rIdPagina90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8"/>
        <w:color w:val="777777"/>
      </w:rPr>
      <w:t xml:space="preserve">— </w:t>
    </w:r>
    <w:r>
      <w:fldChar w:fldCharType="begin"/>
    </w:r>
    <w:r>
      <w:instrText xml:space="preserve"> PAGE </w:instrText>
    </w:r>
    <w:r>
      <w:fldChar w:fldCharType="end"/>
    </w:r>
    <w:r>
      <w:rPr>
        <w:sz w:val="18"/>
        <w:color w:val="777777"/>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2"/>
        <w:szCs w:val="22"/>
        <w:lang w:bidi="ar-SA" w:eastAsia="zh-CN" w:val="es-ES"/>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00" w:before="2760" w:line="240" w:lineRule="auto"/>
      <w:contextualSpacing/>
      <w:jc w:val="center"/>
    </w:pPr>
    <w:rPr>
      <w:rFonts w:ascii="Georgia" w:cs="Georgia" w:eastAsia="Georgia" w:hAnsi="Georgia"/>
      <w:sz w:val="56"/>
      <w:szCs w:val="56"/>
      <w:b/>
      <w:color w:val="1F4E79"/>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80" w:before="0"/>
      <w:keepNext/>
      <w:keepLines/>
    </w:pPr>
    <w:rPr>
      <w:sz w:val="20"/>
      <w:szCs w:val="20"/>
      <w:b w:val="0"/>
      <w:color w:val="666666"/>
    </w:rPr>
  </w:style>
  <w:style w:styleId="Date" w:type="paragraph">
    <w:name w:val="Date"/>
    <w:basedOn w:val="Title"/>
    <w:next w:val="BodyText"/>
    <w:qFormat/>
    <w:pPr>
      <w:spacing w:after="80" w:before="0"/>
      <w:keepNext/>
      <w:keepLines/>
    </w:pPr>
    <w:rPr>
      <w:sz w:val="20"/>
      <w:szCs w:val="20"/>
      <w:b w:val="0"/>
      <w:color w:val="666666"/>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Georgia" w:cs="Georgia" w:eastAsia="Georgia" w:hAnsi="Georgia"/>
      <w:color w:val="1F4E79"/>
      <w:sz w:val="36"/>
      <w:szCs w:val="36"/>
      <w:b/>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Georgia" w:cs="Georgia" w:eastAsia="Georgia" w:hAnsi="Georgia"/>
      <w:color w:val="2E5E8E"/>
      <w:sz w:val="28"/>
      <w:szCs w:val="28"/>
      <w:b/>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Georgia" w:cs="Georgia" w:eastAsia="Georgia" w:hAnsi="Georgia"/>
      <w:color w:val="44546A"/>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5F8" w:val="clear"/>
      <w:spacing w:after="160" w:before="160"/>
      <w:ind w:firstLine="0" w:left="480" w:right="480"/>
    </w:pPr>
    <w:rPr>
      <w:i/>
      <w:color w:val="555555"/>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agina900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Compendio de Ingeniería Aplicada a la Educación (General)</dc:title>
  <dc:creator>Capa Ingeniería de la Educación · Proyecto Programa Sintético</dc:creator>
  <dc:language>es-ES</dc:language>
  <cp:keywords/>
  <dcterms:created xsi:type="dcterms:W3CDTF">2026-09-29T04:11:26Z</dcterms:created>
  <dcterms:modified xsi:type="dcterms:W3CDTF">2026-09-29T04:11:26Z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Niveles 1–4 · v0.1 · 29 de septiembre de 2026</vt:lpwstr>
  </property>
  <property fmtid="{D5CDD505-2E9C-101B-9397-08002B2CF9AE}" pid="3" name="subtitle">
    <vt:lpwstr>Cómo se diseña un aprendizaje con rigor… y con cariño</vt:lpwstr>
  </property>
</Properties>
</file>