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Glosario de Ingeniería Aplicada a la Educación (General)</w:t>
      </w:r>
    </w:p>
    <w:p>
      <w:pPr>
        <w:pStyle w:val="Subtitle"/>
      </w:pPr>
      <w:r>
        <w:rPr>
          <w:lang w:val="es-ES"/>
        </w:rPr>
        <w:t xml:space="preserve">El vocabulario del diseño de aprendizajes, explicado con calma — nivel 2 de 4</w:t>
      </w:r>
    </w:p>
    <w:p>
      <w:pPr>
        <w:pStyle w:val="Author"/>
      </w:pPr>
      <w:r>
        <w:rPr>
          <w:lang w:val="es-ES"/>
        </w:rPr>
        <w:t xml:space="preserve">Capa Ingeniería de la Educación · Proyecto Programa Sintético</w:t>
      </w:r>
    </w:p>
    <w:p>
      <w:pPr>
        <w:pStyle w:val="Date"/>
      </w:pPr>
      <w:r>
        <w:rPr>
          <w:lang w:val="es-ES"/>
        </w:rPr>
        <w:t xml:space="preserve">Niveles 1–4 · v0.1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Capa Ingeniería de la Educación · v0.1 · 28 de septiembre de 2026</w:t>
      </w:r>
      <w:r>
        <w:rPr>
          <w:lang w:val="es-ES"/>
        </w:rPr>
        <w:t xml:space="preserve"> </w:t>
      </w:r>
      <w:r>
        <w:rPr>
          <w:i/>
          <w:iCs/>
          <w:lang w:val="es-ES"/>
        </w:rPr>
        <w:t xml:space="preserve">Compañero:</w:t>
      </w:r>
      <w:r>
        <w:rPr>
          <w:i/>
          <w:iCs/>
          <w:lang w:val="es-ES"/>
        </w:rPr>
        <w:t xml:space="preserve"> </w:t>
      </w:r>
      <w:r>
        <w:rPr>
          <w:rStyle w:val="VerbatimChar"/>
          <w:i/>
          <w:iCs/>
          <w:lang w:val="es-ES"/>
        </w:rPr>
        <w:t xml:space="preserve">compendio-ingenieria-aplicada-educacion.md</w:t>
      </w:r>
      <w:r>
        <w:rPr>
          <w:i/>
          <w:iCs/>
          <w:lang w:val="es-ES"/>
        </w:rPr>
        <w:t xml:space="preserve"> </w:t>
      </w:r>
      <w:r>
        <w:rPr>
          <w:i/>
          <w:iCs/>
          <w:lang w:val="es-ES"/>
        </w:rPr>
        <w:t xml:space="preserve">· Prefijo:</w:t>
      </w:r>
      <w:r>
        <w:rPr>
          <w:i/>
          <w:iCs/>
          <w:lang w:val="es-ES"/>
        </w:rPr>
        <w:t xml:space="preserve"> </w:t>
      </w:r>
      <w:r>
        <w:rPr>
          <w:b/>
          <w:bCs/>
          <w:i/>
          <w:iCs/>
          <w:lang w:val="es-ES"/>
        </w:rPr>
        <w:t xml:space="preserve">IA</w:t>
      </w:r>
    </w:p>
    <w:p>
      <w:pPr>
        <w:pStyle w:val="BodyText"/>
      </w:pPr>
      <w:r>
        <w:rPr>
          <w:b/>
          <w:bCs/>
          <w:lang w:val="es-ES"/>
        </w:rPr>
        <w:t xml:space="preserve">Cómo usarlo.</w:t>
      </w:r>
      <w:r>
        <w:rPr>
          <w:lang w:val="es-ES"/>
        </w:rPr>
        <w:t xml:space="preserve"> </w:t>
      </w:r>
      <w:r>
        <w:rPr>
          <w:lang w:val="es-ES"/>
        </w:rPr>
        <w:t xml:space="preserve">Cada entrada te explica el término en palabras cotidianas, con un ejemplo pegado a la vida real, y te dice para qué te sirve en la práctica. Los códigos (IA1, IA2…) sirven para citar en el proyecto sin ambigüedad.</w:t>
      </w:r>
    </w:p>
    <w:p>
      <w:r>
        <w:pict>
          <v:rect style="width:0;height:1.5pt" o:hralign="center" o:hrstd="t" o:hr="t"/>
        </w:pict>
      </w:r>
    </w:p>
    <w:bookmarkStart w:id="9" w:name="a.-diseño-instruccional-y-ciclos"/>
    <w:p>
      <w:pPr>
        <w:pStyle w:val="Heading2"/>
      </w:pPr>
      <w:r>
        <w:rPr>
          <w:lang w:val="es-ES"/>
        </w:rPr>
        <w:t xml:space="preserve">A. Diseño instruccional y ciclos</w:t>
      </w:r>
    </w:p>
    <w:p>
      <w:pPr>
        <w:pStyle w:val="FirstParagraph"/>
      </w:pPr>
      <w:r>
        <w:rPr>
          <w:b/>
          <w:bCs/>
          <w:lang w:val="es-ES"/>
        </w:rPr>
        <w:t xml:space="preserve">IA1 · Diseño instruccional (ISD).</w:t>
      </w:r>
      <w:r>
        <w:rPr>
          <w:lang w:val="es-ES"/>
        </w:rPr>
        <w:t xml:space="preserve"> </w:t>
      </w:r>
      <w:r>
        <w:rPr>
          <w:lang w:val="es-ES"/>
        </w:rPr>
        <w:t xml:space="preserve">El oficio de convertir lo que quieres que aprendan en una experiencia pensada: objetivos, actividades y evaluación que hablan el mismo idioma. No es preparar una charla bonita; es decidir qué harán, qué dirán y cómo sabrás que lo entendieron. Sin diseño, la enseñanza depende del talento del día; con diseño, depende de una decisión que se puede repetir, enseñar y mejorar.</w:t>
      </w:r>
    </w:p>
    <w:p>
      <w:pPr>
        <w:pStyle w:val="BodyText"/>
      </w:pPr>
      <w:r>
        <w:rPr>
          <w:b/>
          <w:bCs/>
          <w:lang w:val="es-ES"/>
        </w:rPr>
        <w:t xml:space="preserve">IA2 · ADDIE.</w:t>
      </w:r>
      <w:r>
        <w:rPr>
          <w:lang w:val="es-ES"/>
        </w:rPr>
        <w:t xml:space="preserve"> </w:t>
      </w:r>
      <w:r>
        <w:rPr>
          <w:lang w:val="es-ES"/>
        </w:rPr>
        <w:t xml:space="preserve">El ciclo más usado: analizar, diseñar, desarrollar, implementar y evaluar, con flechas de vuelta entre etapas. Es cocinar pensando primero para quién es, luego la receta, luego la compra, luego el fuego, y al final probar y ajustar. Da un orden que evita el error de empezar a fabricar actividades antes de entender a quién van dirigidas.</w:t>
      </w:r>
    </w:p>
    <w:p>
      <w:pPr>
        <w:pStyle w:val="BodyText"/>
      </w:pPr>
      <w:r>
        <w:rPr>
          <w:b/>
          <w:bCs/>
          <w:lang w:val="es-ES"/>
        </w:rPr>
        <w:t xml:space="preserve">IA3 · Diseño hacia atrás (Backward Design).</w:t>
      </w:r>
      <w:r>
        <w:rPr>
          <w:lang w:val="es-ES"/>
        </w:rPr>
        <w:t xml:space="preserve"> </w:t>
      </w:r>
      <w:r>
        <w:rPr>
          <w:lang w:val="es-ES"/>
        </w:rPr>
        <w:t xml:space="preserve">Empieza por definir la evidencia de que se aprendió, luego la evaluación, y sólo al final las actividades. Primero decides que se sabrá que aprendió cuando explique a un compañero por qué se pudre la fruta; recién ahí diseñas el experimento. Evita el festival de actividades bonitas que no prueban nada: primero cómo se mide el éxito, después la fiesta.</w:t>
      </w:r>
    </w:p>
    <w:p>
      <w:pPr>
        <w:pStyle w:val="BodyText"/>
      </w:pPr>
      <w:r>
        <w:rPr>
          <w:b/>
          <w:bCs/>
          <w:lang w:val="es-ES"/>
        </w:rPr>
        <w:t xml:space="preserve">IA4 · Alineación (objetivo–instrucción–evaluación).</w:t>
      </w:r>
      <w:r>
        <w:rPr>
          <w:lang w:val="es-ES"/>
        </w:rPr>
        <w:t xml:space="preserve"> </w:t>
      </w:r>
      <w:r>
        <w:rPr>
          <w:lang w:val="es-ES"/>
        </w:rPr>
        <w:t xml:space="preserve">Que lo que se promete, lo que se enseña y lo que se mide sean lo mismo. Si el objetivo es sostener una conversación, la evaluación debe ser conversar, no escribir una ficha con definiciones. Su ruptura es el defecto más común de los programas: el alumno que aprueba lo no enseñado y reprueba lo enseñado. La alineación es justicia educativa básica.</w:t>
      </w:r>
    </w:p>
    <w:p>
      <w:pPr>
        <w:pStyle w:val="BodyText"/>
      </w:pPr>
      <w:r>
        <w:rPr>
          <w:b/>
          <w:bCs/>
          <w:lang w:val="es-ES"/>
        </w:rPr>
        <w:t xml:space="preserve">IA5 · Evento instruccional.</w:t>
      </w:r>
      <w:r>
        <w:rPr>
          <w:lang w:val="es-ES"/>
        </w:rPr>
        <w:t xml:space="preserve"> </w:t>
      </w:r>
      <w:r>
        <w:rPr>
          <w:lang w:val="es-ES"/>
        </w:rPr>
        <w:t xml:space="preserve">Los momentos funcionales de una buena lección: captar la atención, activar lo que ya sabe, entregar la información, guiar la práctica, dar retroalimentación, evaluar, transferir. Gagné ordena lo que todo buen maestro intuye: no se enseña a quien no está mirando, ni se practica sin apoyo. Revisar la lista convierte la intuición en diseño verificable y descubre en qué momento se cae la clase.</w:t>
      </w:r>
    </w:p>
    <w:p>
      <w:pPr>
        <w:pStyle w:val="BodyText"/>
      </w:pPr>
      <w:r>
        <w:rPr>
          <w:b/>
          <w:bCs/>
          <w:lang w:val="es-ES"/>
        </w:rPr>
        <w:t xml:space="preserve">IA6 · Prototipo instruccional.</w:t>
      </w:r>
      <w:r>
        <w:rPr>
          <w:lang w:val="es-ES"/>
        </w:rPr>
        <w:t xml:space="preserve"> </w:t>
      </w:r>
      <w:r>
        <w:rPr>
          <w:lang w:val="es-ES"/>
        </w:rPr>
        <w:t xml:space="preserve">La versión de prueba del diseño con aprendices reales antes de escalarlo: una sola sesión con un grupo pequeño, mirar qué pasa y corregir antes de lanzar el programa. Si no cambia nada tras el piloto, el piloto fue trámite. Y es mucho más barato equivocarse con un grupo que con cien.</w:t>
      </w:r>
    </w:p>
    <w:p>
      <w:pPr>
        <w:pStyle w:val="BodyText"/>
      </w:pPr>
      <w:r>
        <w:rPr>
          <w:b/>
          <w:bCs/>
          <w:lang w:val="es-ES"/>
        </w:rPr>
        <w:t xml:space="preserve">IA7 · Iteración instruccional.</w:t>
      </w:r>
      <w:r>
        <w:rPr>
          <w:lang w:val="es-ES"/>
        </w:rPr>
        <w:t xml:space="preserve"> </w:t>
      </w:r>
      <w:r>
        <w:rPr>
          <w:lang w:val="es-ES"/>
        </w:rPr>
        <w:t xml:space="preserve">El ciclo corto de diseñar, probar, medir y ajustar aplicado al aprendizaje. La maestra que cambia la dinámica de la ronda al notar que a las nueve de la mañana nadie atiende está iterando. Ningún diseño sobrevive intacto al primer contacto con aprendices distintos: asumir eso es humildad profesional, no fracaso.</w:t>
      </w:r>
    </w:p>
    <w:bookmarkEnd w:id="9"/>
    <w:bookmarkStart w:id="10" w:name="b.-especificación-y-objetivos"/>
    <w:p>
      <w:pPr>
        <w:pStyle w:val="Heading2"/>
      </w:pPr>
      <w:r>
        <w:rPr>
          <w:lang w:val="es-ES"/>
        </w:rPr>
        <w:t xml:space="preserve">B. Especificación y objetivos</w:t>
      </w:r>
    </w:p>
    <w:p>
      <w:pPr>
        <w:pStyle w:val="FirstParagraph"/>
      </w:pPr>
      <w:r>
        <w:rPr>
          <w:b/>
          <w:bCs/>
          <w:lang w:val="es-ES"/>
        </w:rPr>
        <w:t xml:space="preserve">IA8 · Objetivo de aprendizaje.</w:t>
      </w:r>
      <w:r>
        <w:rPr>
          <w:lang w:val="es-ES"/>
        </w:rPr>
        <w:t xml:space="preserve"> </w:t>
      </w:r>
      <w:r>
        <w:rPr>
          <w:lang w:val="es-ES"/>
        </w:rPr>
        <w:t xml:space="preserve">Qué podrá hacer quien aprende, escrito con condición (¿dado qué?), acto (¿qué hará?) y criterio (¿qué tan bien?).</w:t>
      </w:r>
      <w:r>
        <w:rPr>
          <w:lang w:val="es-ES"/>
        </w:rPr>
        <w:t xml:space="preserve"> </w:t>
      </w:r>
      <w:r>
        <w:rPr>
          <w:lang w:val="es-ES"/>
        </w:rPr>
        <w:t xml:space="preserve">“Dado un plato con tres plantas, nombrará cuál necesita más agua y por qué”</w:t>
      </w:r>
      <w:r>
        <w:rPr>
          <w:lang w:val="es-ES"/>
        </w:rPr>
        <w:t xml:space="preserve"> </w:t>
      </w:r>
      <w:r>
        <w:rPr>
          <w:lang w:val="es-ES"/>
        </w:rPr>
        <w:t xml:space="preserve">es un objetivo;</w:t>
      </w:r>
      <w:r>
        <w:rPr>
          <w:lang w:val="es-ES"/>
        </w:rPr>
        <w:t xml:space="preserve"> </w:t>
      </w:r>
      <w:r>
        <w:rPr>
          <w:lang w:val="es-ES"/>
        </w:rPr>
        <w:t xml:space="preserve">“conocerán las plantas”</w:t>
      </w:r>
      <w:r>
        <w:rPr>
          <w:lang w:val="es-ES"/>
        </w:rPr>
        <w:t xml:space="preserve"> </w:t>
      </w:r>
      <w:r>
        <w:rPr>
          <w:lang w:val="es-ES"/>
        </w:rPr>
        <w:t xml:space="preserve">no, porque no se puede comprobar ni discutir. Un objetivo bien escrito es una promesa que se puede cumplir y revisar.</w:t>
      </w:r>
    </w:p>
    <w:p>
      <w:pPr>
        <w:pStyle w:val="BodyText"/>
      </w:pPr>
      <w:r>
        <w:rPr>
          <w:b/>
          <w:bCs/>
          <w:lang w:val="es-ES"/>
        </w:rPr>
        <w:t xml:space="preserve">IA9 · Objetivo terminal y habilitantes.</w:t>
      </w:r>
      <w:r>
        <w:rPr>
          <w:lang w:val="es-ES"/>
        </w:rPr>
        <w:t xml:space="preserve"> </w:t>
      </w:r>
      <w:r>
        <w:rPr>
          <w:lang w:val="es-ES"/>
        </w:rPr>
        <w:t xml:space="preserve">El gran objetivo de un curso y los escalones pequeños que lo componen: presentar un proyecto al grupo es el terminal; elegir tema, reunir material, ordenar ideas y exponer son los habilitantes. Sin escalones, el gran objetivo es un salto al vacío que deja atrás a quien necesita un peldaño más.</w:t>
      </w:r>
    </w:p>
    <w:p>
      <w:pPr>
        <w:pStyle w:val="BodyText"/>
      </w:pPr>
      <w:r>
        <w:rPr>
          <w:b/>
          <w:bCs/>
          <w:lang w:val="es-ES"/>
        </w:rPr>
        <w:t xml:space="preserve">IA10 · Taxonomía de objetivos.</w:t>
      </w:r>
      <w:r>
        <w:rPr>
          <w:lang w:val="es-ES"/>
        </w:rPr>
        <w:t xml:space="preserve"> </w:t>
      </w:r>
      <w:r>
        <w:rPr>
          <w:lang w:val="es-ES"/>
        </w:rPr>
        <w:t xml:space="preserve">La jerarquía de operaciones mentales (recordar, comprender, aplicar, analizar, evaluar, crear) para no evaluar arriba de lo que se enseñó. Si sólo se enseñó nombrar colores, exigir un análisis cromático es injusto. En preescolar tiene su versión natural (glosario neuro, E8): los niños de 3 son literales, los de 5 ya opinan con motivo; la taxonomía te dice a qué altura apuntar.</w:t>
      </w:r>
    </w:p>
    <w:p>
      <w:pPr>
        <w:pStyle w:val="BodyText"/>
      </w:pPr>
      <w:r>
        <w:rPr>
          <w:b/>
          <w:bCs/>
          <w:lang w:val="es-ES"/>
        </w:rPr>
        <w:t xml:space="preserve">IA11 · Especificación de curso.</w:t>
      </w:r>
      <w:r>
        <w:rPr>
          <w:lang w:val="es-ES"/>
        </w:rPr>
        <w:t xml:space="preserve"> </w:t>
      </w:r>
      <w:r>
        <w:rPr>
          <w:lang w:val="es-ES"/>
        </w:rPr>
        <w:t xml:space="preserve">El plano del curso: objetivos, secuencia, actividades, materiales y evaluación, documentados y versionados. Es la receta completa con ingredientes, tiempos y rendimiento, que puede cocinar alguien que no la inventó. Permite construir, revisar y transferir sin que la intención original muera con su autor.</w:t>
      </w:r>
    </w:p>
    <w:p>
      <w:pPr>
        <w:pStyle w:val="BodyText"/>
      </w:pPr>
      <w:r>
        <w:rPr>
          <w:b/>
          <w:bCs/>
          <w:lang w:val="es-ES"/>
        </w:rPr>
        <w:t xml:space="preserve">IA12 · Secuencia instruccional.</w:t>
      </w:r>
      <w:r>
        <w:rPr>
          <w:lang w:val="es-ES"/>
        </w:rPr>
        <w:t xml:space="preserve"> </w:t>
      </w:r>
      <w:r>
        <w:rPr>
          <w:lang w:val="es-ES"/>
        </w:rPr>
        <w:t xml:space="preserve">El orden de los componentes con argumento escrito: simple a complejo, concreto a abstracto, conocido a nuevo. Antes de restar con objetos, contar con objetos. Una secuencia sin justificación es costumbre con buena presentación, y la costumbre no se defiende ante un padre que pregunta</w:t>
      </w:r>
      <w:r>
        <w:rPr>
          <w:lang w:val="es-ES"/>
        </w:rPr>
        <w:t xml:space="preserve"> </w:t>
      </w:r>
      <w:r>
        <w:rPr>
          <w:lang w:val="es-ES"/>
        </w:rPr>
        <w:t xml:space="preserve">“¿por qué así?”</w:t>
      </w:r>
      <w:r>
        <w:rPr>
          <w:lang w:val="es-ES"/>
        </w:rPr>
        <w:t xml:space="preserve">.</w:t>
      </w:r>
    </w:p>
    <w:p>
      <w:pPr>
        <w:pStyle w:val="BodyText"/>
      </w:pPr>
      <w:r>
        <w:rPr>
          <w:b/>
          <w:bCs/>
          <w:lang w:val="es-ES"/>
        </w:rPr>
        <w:t xml:space="preserve">IA13 · Evidencia de logro.</w:t>
      </w:r>
      <w:r>
        <w:rPr>
          <w:lang w:val="es-ES"/>
        </w:rPr>
        <w:t xml:space="preserve"> </w:t>
      </w:r>
      <w:r>
        <w:rPr>
          <w:lang w:val="es-ES"/>
        </w:rPr>
        <w:t xml:space="preserve">El desempeño observable que demuestra el objetivo, definido antes de enseñar: si el objetivo es narrar, la evidencia es una narración con inicio, medio y final, no una calificación. Definida tarde, la enseñanza camina a ciegas y la evaluación se vuelve invento del último día.</w:t>
      </w:r>
    </w:p>
    <w:bookmarkEnd w:id="10"/>
    <w:bookmarkStart w:id="11" w:name="c.-carga-cognitiva-e-información"/>
    <w:p>
      <w:pPr>
        <w:pStyle w:val="Heading2"/>
      </w:pPr>
      <w:r>
        <w:rPr>
          <w:lang w:val="es-ES"/>
        </w:rPr>
        <w:t xml:space="preserve">C. Carga cognitiva e información</w:t>
      </w:r>
    </w:p>
    <w:p>
      <w:pPr>
        <w:pStyle w:val="FirstParagraph"/>
      </w:pPr>
      <w:r>
        <w:rPr>
          <w:b/>
          <w:bCs/>
          <w:lang w:val="es-ES"/>
        </w:rPr>
        <w:t xml:space="preserve">IA14 · Carga cognitiva.</w:t>
      </w:r>
      <w:r>
        <w:rPr>
          <w:lang w:val="es-ES"/>
        </w:rPr>
        <w:t xml:space="preserve"> </w:t>
      </w:r>
      <w:r>
        <w:rPr>
          <w:lang w:val="es-ES"/>
        </w:rPr>
        <w:t xml:space="preserve">El esfuerzo que hace la memoria de trabajo, en tres sabores: intrínseca (la dificultad propia del tema), extrínseca (la que añade el diseño que estorba) y germana (la que produce aprendizaje). Una ficha con dibujos distratores da extrínseca gratis; la misma con lo esencial da germana. Diseñar es quitar extrínseca, dosificar intrínseca y dejar sitio para la germana: la mesa es chica y hay que ordenarla.</w:t>
      </w:r>
    </w:p>
    <w:p>
      <w:pPr>
        <w:pStyle w:val="BodyText"/>
      </w:pPr>
      <w:r>
        <w:rPr>
          <w:b/>
          <w:bCs/>
          <w:lang w:val="es-ES"/>
        </w:rPr>
        <w:t xml:space="preserve">IA15 · Redundancia cognitiva.</w:t>
      </w:r>
      <w:r>
        <w:rPr>
          <w:lang w:val="es-ES"/>
        </w:rPr>
        <w:t xml:space="preserve"> </w:t>
      </w:r>
      <w:r>
        <w:rPr>
          <w:lang w:val="es-ES"/>
        </w:rPr>
        <w:t xml:space="preserve">Presentar la misma información por canales que compiten: proyectar un texto mientras lo lees idéntico en voz alta, con música con letra de fondo. No refuerza, duplica el esfuerzo inútil. Es el defecto más elegante porque siempre nace de querer ayudar más.</w:t>
      </w:r>
    </w:p>
    <w:p>
      <w:pPr>
        <w:pStyle w:val="BodyText"/>
      </w:pPr>
      <w:r>
        <w:rPr>
          <w:b/>
          <w:bCs/>
          <w:lang w:val="es-ES"/>
        </w:rPr>
        <w:t xml:space="preserve">IA16 · Sobrecarga extrínseca.</w:t>
      </w:r>
      <w:r>
        <w:rPr>
          <w:lang w:val="es-ES"/>
        </w:rPr>
        <w:t xml:space="preserve"> </w:t>
      </w:r>
      <w:r>
        <w:rPr>
          <w:lang w:val="es-ES"/>
        </w:rPr>
        <w:t xml:space="preserve">La carga causada sólo por el diseño malo: colores que gritan, instrucciones repetidas, elementos decorativos activos. La pared con treinta carteles de motivación que no motiva a nadie y tapa lo importante. Es coste sin aprendizaje: lo bonito que estorba es un defecto, no un mérito.</w:t>
      </w:r>
    </w:p>
    <w:p>
      <w:pPr>
        <w:pStyle w:val="BodyText"/>
      </w:pPr>
      <w:r>
        <w:rPr>
          <w:b/>
          <w:bCs/>
          <w:lang w:val="es-ES"/>
        </w:rPr>
        <w:t xml:space="preserve">IA17 · Principios multimedia (Mayer).</w:t>
      </w:r>
      <w:r>
        <w:rPr>
          <w:lang w:val="es-ES"/>
        </w:rPr>
        <w:t xml:space="preserve"> </w:t>
      </w:r>
      <w:r>
        <w:rPr>
          <w:lang w:val="es-ES"/>
        </w:rPr>
        <w:t xml:space="preserve">Reglas empíricas para diseñar con imagen y palabra: coherencia (sin adorno), redundancia (complementar, no repetir), segmentación (partes que se pueden tomar de un sorbo) y personalidad (lenguaje cercano). Un video con música y texto decorativo viola coherencia; el mismo con una sola idea por lámina, la respeta. Es la evidencia de qué media enseña y qué media distrae.</w:t>
      </w:r>
    </w:p>
    <w:p>
      <w:pPr>
        <w:pStyle w:val="BodyText"/>
      </w:pPr>
      <w:r>
        <w:rPr>
          <w:b/>
          <w:bCs/>
          <w:lang w:val="es-ES"/>
        </w:rPr>
        <w:t xml:space="preserve">IA18 · Doble codificación.</w:t>
      </w:r>
      <w:r>
        <w:rPr>
          <w:lang w:val="es-ES"/>
        </w:rPr>
        <w:t xml:space="preserve"> </w:t>
      </w:r>
      <w:r>
        <w:rPr>
          <w:lang w:val="es-ES"/>
        </w:rPr>
        <w:t xml:space="preserve">Retener mejor cuando la información llega por imagen y palabra con significado: la palabra</w:t>
      </w:r>
      <w:r>
        <w:rPr>
          <w:lang w:val="es-ES"/>
        </w:rPr>
        <w:t xml:space="preserve"> </w:t>
      </w:r>
      <w:r>
        <w:rPr>
          <w:lang w:val="es-ES"/>
        </w:rPr>
        <w:t xml:space="preserve">“elefante”</w:t>
      </w:r>
      <w:r>
        <w:rPr>
          <w:lang w:val="es-ES"/>
        </w:rPr>
        <w:t xml:space="preserve"> </w:t>
      </w:r>
      <w:r>
        <w:rPr>
          <w:lang w:val="es-ES"/>
        </w:rPr>
        <w:t xml:space="preserve">junto a su dibujo se recuerda más que cualquiera de las dos sola. Es el fundamento honesto de multisensorial, y convive bien con el despido del neuromito de estilos (glosario neuro, J1): todos procesamos mejor con ambos canales.</w:t>
      </w:r>
    </w:p>
    <w:bookmarkEnd w:id="11"/>
    <w:bookmarkStart w:id="12" w:name="d.-accesibilidad-y-diversidad"/>
    <w:p>
      <w:pPr>
        <w:pStyle w:val="Heading2"/>
      </w:pPr>
      <w:r>
        <w:rPr>
          <w:lang w:val="es-ES"/>
        </w:rPr>
        <w:t xml:space="preserve">D. Accesibilidad y diversidad</w:t>
      </w:r>
    </w:p>
    <w:p>
      <w:pPr>
        <w:pStyle w:val="FirstParagraph"/>
      </w:pPr>
      <w:r>
        <w:rPr>
          <w:b/>
          <w:bCs/>
          <w:lang w:val="es-ES"/>
        </w:rPr>
        <w:t xml:space="preserve">IA19 · Diseño Universal para el Aprendizaje (UDL).</w:t>
      </w:r>
      <w:r>
        <w:rPr>
          <w:lang w:val="es-ES"/>
        </w:rPr>
        <w:t xml:space="preserve"> </w:t>
      </w:r>
      <w:r>
        <w:rPr>
          <w:lang w:val="es-ES"/>
        </w:rPr>
        <w:t xml:space="preserve">Tres puertas desde el inicio: múltiples formas de entrar al contenido, de demostrar lo aprendido y de engancharte con ello. Una historia que se lee, se escucha y se actúa, y que se entiende igual con o sin lectura temprana. Diseñar para la diversidad desde el minuto cero es más barato y más humano que adaptar después: la rampa va en el plano, no como justificante pegado al edificio.</w:t>
      </w:r>
    </w:p>
    <w:p>
      <w:pPr>
        <w:pStyle w:val="BodyText"/>
      </w:pPr>
      <w:r>
        <w:rPr>
          <w:b/>
          <w:bCs/>
          <w:lang w:val="es-ES"/>
        </w:rPr>
        <w:t xml:space="preserve">IA20 · Accesibilidad.</w:t>
      </w:r>
      <w:r>
        <w:rPr>
          <w:lang w:val="es-ES"/>
        </w:rPr>
        <w:t xml:space="preserve"> </w:t>
      </w:r>
      <w:r>
        <w:rPr>
          <w:lang w:val="es-ES"/>
        </w:rPr>
        <w:t xml:space="preserve">La ausencia de barreras para usar el material con independencia, sea visual, auditiva, motriz o cognitiva: texto con contraste suficiente, descripción en la imagen, navegación con teclado. En digital se especifica con WCAG. No es un extra estético: es la condición para que el contenido llegue a quien debe llegar.</w:t>
      </w:r>
    </w:p>
    <w:p>
      <w:pPr>
        <w:pStyle w:val="BodyText"/>
      </w:pPr>
      <w:r>
        <w:rPr>
          <w:b/>
          <w:bCs/>
          <w:lang w:val="es-ES"/>
        </w:rPr>
        <w:t xml:space="preserve">IA21 · Adaptación frente a ajuste razonable.</w:t>
      </w:r>
      <w:r>
        <w:rPr>
          <w:lang w:val="es-ES"/>
        </w:rPr>
        <w:t xml:space="preserve"> </w:t>
      </w:r>
      <w:r>
        <w:rPr>
          <w:lang w:val="es-ES"/>
        </w:rPr>
        <w:t xml:space="preserve">La adaptación es la modificación didáctica de rutina para todo el grupo (simplificar consignas); el ajuste razonable es lo que una persona con discapacidad necesita para acceder sin perder el objetivo (responder oralmente cuando el escrito es la barrera). El ajuste es derecho, no favor (glosario interseccionalidades, F14 y E7): confundirlos convierte una obligación en caridad.</w:t>
      </w:r>
    </w:p>
    <w:p>
      <w:pPr>
        <w:pStyle w:val="BodyText"/>
      </w:pPr>
      <w:r>
        <w:rPr>
          <w:b/>
          <w:bCs/>
          <w:lang w:val="es-ES"/>
        </w:rPr>
        <w:t xml:space="preserve">IA22 · Perfil del aprendiz (learner profile).</w:t>
      </w:r>
      <w:r>
        <w:rPr>
          <w:lang w:val="es-ES"/>
        </w:rPr>
        <w:t xml:space="preserve"> </w:t>
      </w:r>
      <w:r>
        <w:rPr>
          <w:lang w:val="es-ES"/>
        </w:rPr>
        <w:t xml:space="preserve">Quién va a aprender: saberes previos, lenguas, contexto, necesidades; una entrada obligatoria del diseño. Diseñar para</w:t>
      </w:r>
      <w:r>
        <w:rPr>
          <w:lang w:val="es-ES"/>
        </w:rPr>
        <w:t xml:space="preserve"> </w:t>
      </w:r>
      <w:r>
        <w:rPr>
          <w:lang w:val="es-ES"/>
        </w:rPr>
        <w:t xml:space="preserve">“niños de 4 años”</w:t>
      </w:r>
      <w:r>
        <w:rPr>
          <w:lang w:val="es-ES"/>
        </w:rPr>
        <w:t xml:space="preserve"> </w:t>
      </w:r>
      <w:r>
        <w:rPr>
          <w:lang w:val="es-ES"/>
        </w:rPr>
        <w:t xml:space="preserve">es diseñar para un fantasma; diseñar para este grupo de catorce con sus tres lenguas y su barrio es diseño. Sin perfil, se diseña para un promedio que no existe en ningún salón del mundo.</w:t>
      </w:r>
    </w:p>
    <w:bookmarkEnd w:id="12"/>
    <w:bookmarkStart w:id="13" w:name="e.-calidad-datos-e-interoperabilidad"/>
    <w:p>
      <w:pPr>
        <w:pStyle w:val="Heading2"/>
      </w:pPr>
      <w:r>
        <w:rPr>
          <w:lang w:val="es-ES"/>
        </w:rPr>
        <w:t xml:space="preserve">E. Calidad, datos e interoperabilidad</w:t>
      </w:r>
    </w:p>
    <w:p>
      <w:pPr>
        <w:pStyle w:val="FirstParagraph"/>
      </w:pPr>
      <w:r>
        <w:rPr>
          <w:b/>
          <w:bCs/>
          <w:lang w:val="es-ES"/>
        </w:rPr>
        <w:t xml:space="preserve">IA23 · ISO 21001.</w:t>
      </w:r>
      <w:r>
        <w:rPr>
          <w:lang w:val="es-ES"/>
        </w:rPr>
        <w:t xml:space="preserve"> </w:t>
      </w:r>
      <w:r>
        <w:rPr>
          <w:lang w:val="es-ES"/>
        </w:rPr>
        <w:t xml:space="preserve">El estándar para sistemas de gestión de organizaciones educativas: preguntas que una escuela se debe hacer con disciplina, sobre contextos, riesgos, liderazgo y mejora. Funciona como chequeo médico periódico de la institución, no del niño. Si el estándar empieza a comerse el aula, gana el aula: el estándar no sustituye al contexto.</w:t>
      </w:r>
    </w:p>
    <w:p>
      <w:pPr>
        <w:pStyle w:val="BodyText"/>
      </w:pPr>
      <w:r>
        <w:rPr>
          <w:b/>
          <w:bCs/>
          <w:lang w:val="es-ES"/>
        </w:rPr>
        <w:t xml:space="preserve">IA24 · ISO/IEC 29990.</w:t>
      </w:r>
      <w:r>
        <w:rPr>
          <w:lang w:val="es-ES"/>
        </w:rPr>
        <w:t xml:space="preserve"> </w:t>
      </w:r>
      <w:r>
        <w:rPr>
          <w:lang w:val="es-ES"/>
        </w:rPr>
        <w:t xml:space="preserve">Los requisitos de calidad para servicios de aprendizaje de formación no formal: competencia del personal, diseño y evaluación del servicio. Es el contrato técnico de</w:t>
      </w:r>
      <w:r>
        <w:rPr>
          <w:lang w:val="es-ES"/>
        </w:rPr>
        <w:t xml:space="preserve"> </w:t>
      </w:r>
      <w:r>
        <w:rPr>
          <w:lang w:val="es-ES"/>
        </w:rPr>
        <w:t xml:space="preserve">“aquí se enseña bien”</w:t>
      </w:r>
      <w:r>
        <w:rPr>
          <w:lang w:val="es-ES"/>
        </w:rPr>
        <w:t xml:space="preserve">, con pruebas. Separa</w:t>
      </w:r>
      <w:r>
        <w:rPr>
          <w:lang w:val="es-ES"/>
        </w:rPr>
        <w:t xml:space="preserve"> </w:t>
      </w:r>
      <w:r>
        <w:rPr>
          <w:lang w:val="es-ES"/>
        </w:rPr>
        <w:t xml:space="preserve">“nos gusta”</w:t>
      </w:r>
      <w:r>
        <w:rPr>
          <w:lang w:val="es-ES"/>
        </w:rPr>
        <w:t xml:space="preserve"> </w:t>
      </w:r>
      <w:r>
        <w:rPr>
          <w:lang w:val="es-ES"/>
        </w:rPr>
        <w:t xml:space="preserve">de</w:t>
      </w:r>
      <w:r>
        <w:rPr>
          <w:lang w:val="es-ES"/>
        </w:rPr>
        <w:t xml:space="preserve"> </w:t>
      </w:r>
      <w:r>
        <w:rPr>
          <w:lang w:val="es-ES"/>
        </w:rPr>
        <w:t xml:space="preserve">“está verificado”</w:t>
      </w:r>
      <w:r>
        <w:rPr>
          <w:lang w:val="es-ES"/>
        </w:rPr>
        <w:t xml:space="preserve">, y en un campo lleno de buena voluntad esa separación vale oro.</w:t>
      </w:r>
    </w:p>
    <w:p>
      <w:pPr>
        <w:pStyle w:val="BodyText"/>
      </w:pPr>
      <w:r>
        <w:rPr>
          <w:b/>
          <w:bCs/>
          <w:lang w:val="es-ES"/>
        </w:rPr>
        <w:t xml:space="preserve">IA25 · Analítica educativa.</w:t>
      </w:r>
      <w:r>
        <w:rPr>
          <w:lang w:val="es-ES"/>
        </w:rPr>
        <w:t xml:space="preserve"> </w:t>
      </w:r>
      <w:r>
        <w:rPr>
          <w:lang w:val="es-ES"/>
        </w:rPr>
        <w:t xml:space="preserve">El uso de datos de aprendizaje para mejorar los diseños: ver que en el minuto siete se cae la atención de casi todos y cambiar esa sesión. Con menores exige minimización y finalidad declarada (Acta, art. 7): mide la intervención, nunca vigila ni clasifica al niño.</w:t>
      </w:r>
    </w:p>
    <w:p>
      <w:pPr>
        <w:pStyle w:val="BodyText"/>
      </w:pPr>
      <w:r>
        <w:rPr>
          <w:b/>
          <w:bCs/>
          <w:lang w:val="es-ES"/>
        </w:rPr>
        <w:t xml:space="preserve">IA26 · SCORM y xAPI.</w:t>
      </w:r>
      <w:r>
        <w:rPr>
          <w:lang w:val="es-ES"/>
        </w:rPr>
        <w:t xml:space="preserve"> </w:t>
      </w:r>
      <w:r>
        <w:rPr>
          <w:lang w:val="es-ES"/>
        </w:rPr>
        <w:t xml:space="preserve">Los estándares para empaquetar y registrar experiencias de aprendizaje: qué es el curso y qué hizo quien aprendió, en formatos que cualquier sistema entienda. Es como un expediente que cualquier hospital puede leer aunque cambies de médico. Interoperabilidad: el diseño viaja sin perderse; el dato, con ética, acompaña sin espiar.</w:t>
      </w:r>
    </w:p>
    <w:p>
      <w:pPr>
        <w:pStyle w:val="BodyText"/>
      </w:pPr>
      <w:r>
        <w:rPr>
          <w:b/>
          <w:bCs/>
          <w:lang w:val="es-ES"/>
        </w:rPr>
        <w:t xml:space="preserve">IA27 · Evaluación de satisfacción frente a logro.</w:t>
      </w:r>
      <w:r>
        <w:rPr>
          <w:lang w:val="es-ES"/>
        </w:rPr>
        <w:t xml:space="preserve"> </w:t>
      </w:r>
      <w:r>
        <w:rPr>
          <w:lang w:val="es-ES"/>
        </w:rPr>
        <w:t xml:space="preserve">La primera pregunta</w:t>
      </w:r>
      <w:r>
        <w:rPr>
          <w:lang w:val="es-ES"/>
        </w:rPr>
        <w:t xml:space="preserve"> </w:t>
      </w:r>
      <w:r>
        <w:rPr>
          <w:lang w:val="es-ES"/>
        </w:rPr>
        <w:t xml:space="preserve">“¿te gustó?”</w:t>
      </w:r>
      <w:r>
        <w:rPr>
          <w:lang w:val="es-ES"/>
        </w:rPr>
        <w:t xml:space="preserve">; la segunda</w:t>
      </w:r>
      <w:r>
        <w:rPr>
          <w:lang w:val="es-ES"/>
        </w:rPr>
        <w:t xml:space="preserve"> </w:t>
      </w:r>
      <w:r>
        <w:rPr>
          <w:lang w:val="es-ES"/>
        </w:rPr>
        <w:t xml:space="preserve">“¿lograste lo propuesto?”</w:t>
      </w:r>
      <w:r>
        <w:rPr>
          <w:lang w:val="es-ES"/>
        </w:rPr>
        <w:t xml:space="preserve">. Un curso celebrado por sus paletas y sus aplausos que no cambió ninguna práctica es satisfacción sin logro. Confundirlas produce productos populares e inútiles; la evaluación formativa del proyecto mide logro por proceso (Acta, art. 19).</w:t>
      </w:r>
    </w:p>
    <w:p>
      <w:pPr>
        <w:pStyle w:val="BodyText"/>
      </w:pPr>
      <w:r>
        <w:rPr>
          <w:b/>
          <w:bCs/>
          <w:lang w:val="es-ES"/>
        </w:rPr>
        <w:t xml:space="preserve">IA28 · Piloto instruccional.</w:t>
      </w:r>
      <w:r>
        <w:rPr>
          <w:lang w:val="es-ES"/>
        </w:rPr>
        <w:t xml:space="preserve"> </w:t>
      </w:r>
      <w:r>
        <w:rPr>
          <w:lang w:val="es-ES"/>
        </w:rPr>
        <w:t xml:space="preserve">La implementación controlada con métricas antes del despliegue; con niñas y niños requiere consentimiento y salida sin costo. Un grupo, cuatro semanas, datos y permiso de las familias, antes del programa completo. No es cortesía: es la única forma ética de aprender sobre el diseño antes de que el diseño toque a todos.</w:t>
      </w:r>
    </w:p>
    <w:p>
      <w:pPr>
        <w:pStyle w:val="BodyText"/>
      </w:pPr>
      <w:r>
        <w:rPr>
          <w:b/>
          <w:bCs/>
          <w:lang w:val="es-ES"/>
        </w:rPr>
        <w:t xml:space="preserve">IA29 · Retroalimentación (feedback de diseño).</w:t>
      </w:r>
      <w:r>
        <w:rPr>
          <w:lang w:val="es-ES"/>
        </w:rPr>
        <w:t xml:space="preserve"> </w:t>
      </w:r>
      <w:r>
        <w:rPr>
          <w:lang w:val="es-ES"/>
        </w:rPr>
        <w:t xml:space="preserve">Información sobre el desempeño de quien aprende, específica, oportuna y orientada a acción:</w:t>
      </w:r>
      <w:r>
        <w:rPr>
          <w:lang w:val="es-ES"/>
        </w:rPr>
        <w:t xml:space="preserve"> </w:t>
      </w:r>
      <w:r>
        <w:rPr>
          <w:lang w:val="es-ES"/>
        </w:rPr>
        <w:t xml:space="preserve">“en tu relato falta el final; pruébalo otra vez contando cómo terminó”</w:t>
      </w:r>
      <w:r>
        <w:rPr>
          <w:lang w:val="es-ES"/>
        </w:rPr>
        <w:t xml:space="preserve">, no</w:t>
      </w:r>
      <w:r>
        <w:rPr>
          <w:lang w:val="es-ES"/>
        </w:rPr>
        <w:t xml:space="preserve"> </w:t>
      </w:r>
      <w:r>
        <w:rPr>
          <w:lang w:val="es-ES"/>
        </w:rPr>
        <w:t xml:space="preserve">“mal hecho”</w:t>
      </w:r>
      <w:r>
        <w:rPr>
          <w:lang w:val="es-ES"/>
        </w:rPr>
        <w:t xml:space="preserve">. Es el bucle que mantiene vivo el sistema; sin ella, quien aprende camina a oscuras y quien diseña también.</w:t>
      </w:r>
    </w:p>
    <w:p>
      <w:pPr>
        <w:pStyle w:val="BodyText"/>
      </w:pPr>
      <w:r>
        <w:rPr>
          <w:b/>
          <w:bCs/>
          <w:lang w:val="es-ES"/>
        </w:rPr>
        <w:t xml:space="preserve">IA30 · Interoperabilidad de datos.</w:t>
      </w:r>
      <w:r>
        <w:rPr>
          <w:lang w:val="es-ES"/>
        </w:rPr>
        <w:t xml:space="preserve"> </w:t>
      </w:r>
      <w:r>
        <w:rPr>
          <w:lang w:val="es-ES"/>
        </w:rPr>
        <w:t xml:space="preserve">Que los sistemas compartan información de aprendizaje sin pérdida ni fuga: el registro escolar que entiende el sistema de evaluación sin re-teclear todo. En menores exige minimización y base legal: la eficiencia del intercambio nunca compra el derecho a exponer.</w:t>
      </w:r>
    </w:p>
    <w:bookmarkEnd w:id="13"/>
    <w:bookmarkStart w:id="14" w:name="Xe0de3b0262adc3185586799175908aed5f134a1"/>
    <w:p>
      <w:pPr>
        <w:pStyle w:val="Heading2"/>
      </w:pPr>
      <w:r>
        <w:rPr>
          <w:lang w:val="es-ES"/>
        </w:rPr>
        <w:t xml:space="preserve">F. Ingeniería del aprendizaje y gestión del diseño</w:t>
      </w:r>
    </w:p>
    <w:p>
      <w:pPr>
        <w:pStyle w:val="FirstParagraph"/>
      </w:pPr>
      <w:r>
        <w:rPr>
          <w:b/>
          <w:bCs/>
          <w:lang w:val="es-ES"/>
        </w:rPr>
        <w:t xml:space="preserve">IA31 · Ingeniería del aprendizaje (learning engineering).</w:t>
      </w:r>
      <w:r>
        <w:rPr>
          <w:lang w:val="es-ES"/>
        </w:rPr>
        <w:t xml:space="preserve"> </w:t>
      </w:r>
      <w:r>
        <w:rPr>
          <w:lang w:val="es-ES"/>
        </w:rPr>
        <w:t xml:space="preserve">Las ciencias del aprendizaje con ciclo de ingeniería para resolver problemas de aprendizaje medibles: definir el déficit (</w:t>
      </w:r>
      <w:r>
        <w:rPr>
          <w:lang w:val="es-ES"/>
        </w:rPr>
        <w:t xml:space="preserve">“no distinguen el inicio del cuento”</w:t>
      </w:r>
      <w:r>
        <w:rPr>
          <w:lang w:val="es-ES"/>
        </w:rPr>
        <w:t xml:space="preserve">), diseñar la intervención, medir antes y después, ajustar. Convierte</w:t>
      </w:r>
      <w:r>
        <w:rPr>
          <w:lang w:val="es-ES"/>
        </w:rPr>
        <w:t xml:space="preserve"> </w:t>
      </w:r>
      <w:r>
        <w:rPr>
          <w:lang w:val="es-ES"/>
        </w:rPr>
        <w:t xml:space="preserve">“hay que mejorar”</w:t>
      </w:r>
      <w:r>
        <w:rPr>
          <w:lang w:val="es-ES"/>
        </w:rPr>
        <w:t xml:space="preserve"> </w:t>
      </w:r>
      <w:r>
        <w:rPr>
          <w:lang w:val="es-ES"/>
        </w:rPr>
        <w:t xml:space="preserve">en un problema con dirección, medición y ciclo, y con ética porque el sujeto es una persona.</w:t>
      </w:r>
    </w:p>
    <w:p>
      <w:pPr>
        <w:pStyle w:val="BodyText"/>
      </w:pPr>
      <w:r>
        <w:rPr>
          <w:b/>
          <w:bCs/>
          <w:lang w:val="es-ES"/>
        </w:rPr>
        <w:t xml:space="preserve">IA32 · Problema de aprendizaje (learning problem).</w:t>
      </w:r>
      <w:r>
        <w:rPr>
          <w:lang w:val="es-ES"/>
        </w:rPr>
        <w:t xml:space="preserve"> </w:t>
      </w:r>
      <w:r>
        <w:rPr>
          <w:lang w:val="es-ES"/>
        </w:rPr>
        <w:t xml:space="preserve">La definición medible del déficit: quién, qué no puede hacer hoy, en qué condición.</w:t>
      </w:r>
      <w:r>
        <w:rPr>
          <w:lang w:val="es-ES"/>
        </w:rPr>
        <w:t xml:space="preserve"> </w:t>
      </w:r>
      <w:r>
        <w:rPr>
          <w:lang w:val="es-ES"/>
        </w:rPr>
        <w:t xml:space="preserve">“Falta motivación”</w:t>
      </w:r>
      <w:r>
        <w:rPr>
          <w:lang w:val="es-ES"/>
        </w:rPr>
        <w:t xml:space="preserve"> </w:t>
      </w:r>
      <w:r>
        <w:rPr>
          <w:lang w:val="es-ES"/>
        </w:rPr>
        <w:t xml:space="preserve">no lo es;</w:t>
      </w:r>
      <w:r>
        <w:rPr>
          <w:lang w:val="es-ES"/>
        </w:rPr>
        <w:t xml:space="preserve"> </w:t>
      </w:r>
      <w:r>
        <w:rPr>
          <w:lang w:val="es-ES"/>
        </w:rPr>
        <w:t xml:space="preserve">“tras dos lecturas guiadas, siete de diez no anticipan el final”</w:t>
      </w:r>
      <w:r>
        <w:rPr>
          <w:lang w:val="es-ES"/>
        </w:rPr>
        <w:t xml:space="preserve"> </w:t>
      </w:r>
      <w:r>
        <w:rPr>
          <w:lang w:val="es-ES"/>
        </w:rPr>
        <w:t xml:space="preserve">sí. Sin problema definido, la intervención es una moda elegante; con problema, es una hipótesis con dirección.</w:t>
      </w:r>
    </w:p>
    <w:p>
      <w:pPr>
        <w:pStyle w:val="BodyText"/>
      </w:pPr>
      <w:r>
        <w:rPr>
          <w:b/>
          <w:bCs/>
          <w:lang w:val="es-ES"/>
        </w:rPr>
        <w:t xml:space="preserve">IA33 · Métrica de diseño.</w:t>
      </w:r>
      <w:r>
        <w:rPr>
          <w:lang w:val="es-ES"/>
        </w:rPr>
        <w:t xml:space="preserve"> </w:t>
      </w:r>
      <w:r>
        <w:rPr>
          <w:lang w:val="es-ES"/>
        </w:rPr>
        <w:t xml:space="preserve">El indicador del funcionamiento del diseño (logro, tiempo, transferencia), elegido antes de implementar:</w:t>
      </w:r>
      <w:r>
        <w:rPr>
          <w:lang w:val="es-ES"/>
        </w:rPr>
        <w:t xml:space="preserve"> </w:t>
      </w:r>
      <w:r>
        <w:rPr>
          <w:lang w:val="es-ES"/>
        </w:rPr>
        <w:t xml:space="preserve">“80% narrará con tres elementos al cierre”</w:t>
      </w:r>
      <w:r>
        <w:rPr>
          <w:lang w:val="es-ES"/>
        </w:rPr>
        <w:t xml:space="preserve">, decidido desde el diseño. Medir sólo lo que salió bien es autobiografía; elegir la métrica tarde convierte la evaluación en adorno.</w:t>
      </w:r>
    </w:p>
    <w:p>
      <w:pPr>
        <w:pStyle w:val="BodyText"/>
      </w:pPr>
      <w:r>
        <w:rPr>
          <w:b/>
          <w:bCs/>
          <w:lang w:val="es-ES"/>
        </w:rPr>
        <w:t xml:space="preserve">IA34 · Escenario de aprendizaje.</w:t>
      </w:r>
      <w:r>
        <w:rPr>
          <w:lang w:val="es-ES"/>
        </w:rPr>
        <w:t xml:space="preserve"> </w:t>
      </w:r>
      <w:r>
        <w:rPr>
          <w:lang w:val="es-ES"/>
        </w:rPr>
        <w:t xml:space="preserve">El contexto narrado en el que se practica:</w:t>
      </w:r>
      <w:r>
        <w:rPr>
          <w:lang w:val="es-ES"/>
        </w:rPr>
        <w:t xml:space="preserve"> </w:t>
      </w:r>
      <w:r>
        <w:rPr>
          <w:lang w:val="es-ES"/>
        </w:rPr>
        <w:t xml:space="preserve">“el panadero necesita dividir la masa entre cuatro canastas”</w:t>
      </w:r>
      <w:r>
        <w:rPr>
          <w:lang w:val="es-ES"/>
        </w:rPr>
        <w:t xml:space="preserve"> </w:t>
      </w:r>
      <w:r>
        <w:rPr>
          <w:lang w:val="es-ES"/>
        </w:rPr>
        <w:t xml:space="preserve">en vez de</w:t>
      </w:r>
      <w:r>
        <w:rPr>
          <w:lang w:val="es-ES"/>
        </w:rPr>
        <w:t xml:space="preserve"> </w:t>
      </w:r>
      <w:r>
        <w:rPr>
          <w:lang w:val="es-ES"/>
        </w:rPr>
        <w:t xml:space="preserve">“divide doce entre cuatro”</w:t>
      </w:r>
      <w:r>
        <w:rPr>
          <w:lang w:val="es-ES"/>
        </w:rPr>
        <w:t xml:space="preserve">. Es la transferencia hecha diseño: lo aprendido en escenario real viaja a la vida real; lo aprendido en el vacío se queda en el examen.</w:t>
      </w:r>
    </w:p>
    <w:p>
      <w:pPr>
        <w:pStyle w:val="BodyText"/>
      </w:pPr>
      <w:r>
        <w:rPr>
          <w:b/>
          <w:bCs/>
          <w:lang w:val="es-ES"/>
        </w:rPr>
        <w:t xml:space="preserve">IA35 · Materiales instruccionales.</w:t>
      </w:r>
      <w:r>
        <w:rPr>
          <w:lang w:val="es-ES"/>
        </w:rPr>
        <w:t xml:space="preserve"> </w:t>
      </w:r>
      <w:r>
        <w:rPr>
          <w:lang w:val="es-ES"/>
        </w:rPr>
        <w:t xml:space="preserve">Los artefactos construidos —guías, manipulables, medios— con especificación, revisión y versionado. Una guía con propósito, prueba con público y fecha de revisión; no el PDF heredado de siempre. Un material sin especificación es una opinión con formato bonito, y se reproduce en serie sin que nadie haya preguntado si sirve.</w:t>
      </w:r>
    </w:p>
    <w:p>
      <w:pPr>
        <w:pStyle w:val="BodyText"/>
      </w:pPr>
      <w:r>
        <w:rPr>
          <w:b/>
          <w:bCs/>
          <w:lang w:val="es-ES"/>
        </w:rPr>
        <w:t xml:space="preserve">IA36 · Revisión por pares de diseño.</w:t>
      </w:r>
      <w:r>
        <w:rPr>
          <w:lang w:val="es-ES"/>
        </w:rPr>
        <w:t xml:space="preserve"> </w:t>
      </w:r>
      <w:r>
        <w:rPr>
          <w:lang w:val="es-ES"/>
        </w:rPr>
        <w:t xml:space="preserve">Colegas que revisan el diseño antes del piloto: coherencia de objetivos, carga, accesibilidad. Es como el anticipo de errores antes de imprimir mil ejemplares. Barata comparada con fallar frente a aprendices, y descubre lo que el autor ya no ve porque está demasiado cerca.</w:t>
      </w:r>
    </w:p>
    <w:p>
      <w:pPr>
        <w:pStyle w:val="BodyText"/>
      </w:pPr>
      <w:r>
        <w:rPr>
          <w:b/>
          <w:bCs/>
          <w:lang w:val="es-ES"/>
        </w:rPr>
        <w:t xml:space="preserve">IA37 · Escalabilidad del diseño.</w:t>
      </w:r>
      <w:r>
        <w:rPr>
          <w:lang w:val="es-ES"/>
        </w:rPr>
        <w:t xml:space="preserve"> </w:t>
      </w:r>
      <w:r>
        <w:rPr>
          <w:lang w:val="es-ES"/>
        </w:rPr>
        <w:t xml:space="preserve">Qué tan bien mantiene su efectividad al pasar de un grupo a muchos. Una dinámica que funciona con la creadora presente y colapsa sin ella no es diseño: es carisma. Y el carisma no se hereda con el puesto; el diseño sí.</w:t>
      </w:r>
    </w:p>
    <w:p>
      <w:pPr>
        <w:pStyle w:val="BodyText"/>
      </w:pPr>
      <w:r>
        <w:rPr>
          <w:b/>
          <w:bCs/>
          <w:lang w:val="es-ES"/>
        </w:rPr>
        <w:t xml:space="preserve">IA38 · Soporte al facilitador.</w:t>
      </w:r>
      <w:r>
        <w:rPr>
          <w:lang w:val="es-ES"/>
        </w:rPr>
        <w:t xml:space="preserve"> </w:t>
      </w:r>
      <w:r>
        <w:rPr>
          <w:lang w:val="es-ES"/>
        </w:rPr>
        <w:t xml:space="preserve">La guía, los tiempos y la anticipación de dudas de quien implementa: la caja con instrucciones, el guion breve, las respuestas a las preguntas difíciles. Un excelente curso con facilitador sin soporte es una entrega a medias: el diseño termina en la persona que lo sostiene.</w:t>
      </w:r>
    </w:p>
    <w:p>
      <w:pPr>
        <w:pStyle w:val="BodyText"/>
      </w:pPr>
      <w:r>
        <w:rPr>
          <w:b/>
          <w:bCs/>
          <w:lang w:val="es-ES"/>
        </w:rPr>
        <w:t xml:space="preserve">IA39 · Deriva curricular.</w:t>
      </w:r>
      <w:r>
        <w:rPr>
          <w:lang w:val="es-ES"/>
        </w:rPr>
        <w:t xml:space="preserve"> </w:t>
      </w:r>
      <w:r>
        <w:rPr>
          <w:lang w:val="es-ES"/>
        </w:rPr>
        <w:t xml:space="preserve">Apartarse del diseño especificado durante la implementación, sin registro: la maestra que cambia todo a la semana tres con las mejores intenciones y sin anotar. A veces es genial adaptación y a veces pérdida de integridad; la diferencia la decide el registro, y sin él no se sabe cuál fue.</w:t>
      </w:r>
    </w:p>
    <w:p>
      <w:pPr>
        <w:pStyle w:val="BodyText"/>
      </w:pPr>
      <w:r>
        <w:rPr>
          <w:b/>
          <w:bCs/>
          <w:lang w:val="es-ES"/>
        </w:rPr>
        <w:t xml:space="preserve">IA40 · Costo de oportunidad instruccional.</w:t>
      </w:r>
      <w:r>
        <w:rPr>
          <w:lang w:val="es-ES"/>
        </w:rPr>
        <w:t xml:space="preserve"> </w:t>
      </w:r>
      <w:r>
        <w:rPr>
          <w:lang w:val="es-ES"/>
        </w:rPr>
        <w:t xml:space="preserve">Lo que se deja de enseñar por incluir algo: agregar una unidad porque está de moda y robarle tiempo a la narración. El tiempo de aprendizaje es finito e irrepetible; toda inclusión se decide, no se improvisa. Decir que no a lo bueno es defender lo mejor.</w:t>
      </w:r>
    </w:p>
    <w:p>
      <w:pPr>
        <w:pStyle w:val="BodyText"/>
      </w:pPr>
      <w:r>
        <w:rPr>
          <w:b/>
          <w:bCs/>
          <w:lang w:val="es-ES"/>
        </w:rPr>
        <w:t xml:space="preserve">IA41 · Ciclo PDCA.</w:t>
      </w:r>
      <w:r>
        <w:rPr>
          <w:lang w:val="es-ES"/>
        </w:rPr>
        <w:t xml:space="preserve"> </w:t>
      </w:r>
      <w:r>
        <w:rPr>
          <w:lang w:val="es-ES"/>
        </w:rPr>
        <w:t xml:space="preserve">Planear, hacer, verificar y actuar (Deming): el motor de mejora en procesos educativos. Probar una nueva rutina de entrada durante un mes, ver datos, ajustar y estandarizar lo que funcionó. Pequeño, constante y documentado: el antídoto contra la revolución anual que reinicia el progreso cada septiembre.</w:t>
      </w:r>
    </w:p>
    <w:p>
      <w:pPr>
        <w:pStyle w:val="BodyText"/>
      </w:pPr>
      <w:r>
        <w:rPr>
          <w:b/>
          <w:bCs/>
          <w:lang w:val="es-ES"/>
        </w:rPr>
        <w:t xml:space="preserve">IA42 · Mejora continua (Kaizen).</w:t>
      </w:r>
      <w:r>
        <w:rPr>
          <w:lang w:val="es-ES"/>
        </w:rPr>
        <w:t xml:space="preserve"> </w:t>
      </w:r>
      <w:r>
        <w:rPr>
          <w:lang w:val="es-ES"/>
        </w:rPr>
        <w:t xml:space="preserve">Cambios pequeños, frecuentes, con dato y registro: mover la esquina de lectura porque ahí hay ruido, y anotarlo. Prefiere cien mejoras modestas al rediseño heroico cada cinco años que nadie termina.</w:t>
      </w:r>
    </w:p>
    <w:p>
      <w:pPr>
        <w:pStyle w:val="BodyText"/>
      </w:pPr>
      <w:r>
        <w:rPr>
          <w:b/>
          <w:bCs/>
          <w:lang w:val="es-ES"/>
        </w:rPr>
        <w:t xml:space="preserve">IA43 · Riesgo instruccional.</w:t>
      </w:r>
      <w:r>
        <w:rPr>
          <w:lang w:val="es-ES"/>
        </w:rPr>
        <w:t xml:space="preserve"> </w:t>
      </w:r>
      <w:r>
        <w:rPr>
          <w:lang w:val="es-ES"/>
        </w:rPr>
        <w:t xml:space="preserve">La incertidumbre de que el diseño logre su objetivo con esta población:</w:t>
      </w:r>
      <w:r>
        <w:rPr>
          <w:lang w:val="es-ES"/>
        </w:rPr>
        <w:t xml:space="preserve"> </w:t>
      </w:r>
      <w:r>
        <w:rPr>
          <w:lang w:val="es-ES"/>
        </w:rPr>
        <w:t xml:space="preserve">“si el grupo es de treinta y sólo hay una docente, el trabajo por parejas se cae”</w:t>
      </w:r>
      <w:r>
        <w:rPr>
          <w:lang w:val="es-ES"/>
        </w:rPr>
        <w:t xml:space="preserve">. Se mitiga con piloto, supuestos explícitos y plan B; es la misma disciplina que el nivel 1, sólo que con aprendices adentro, por eso se declara y no se improvisa.</w:t>
      </w:r>
    </w:p>
    <w:p>
      <w:pPr>
        <w:pStyle w:val="BodyText"/>
      </w:pPr>
      <w:r>
        <w:rPr>
          <w:b/>
          <w:bCs/>
          <w:lang w:val="es-ES"/>
        </w:rPr>
        <w:t xml:space="preserve">IA44 · Supuestos de diseño.</w:t>
      </w:r>
      <w:r>
        <w:rPr>
          <w:lang w:val="es-ES"/>
        </w:rPr>
        <w:t xml:space="preserve"> </w:t>
      </w:r>
      <w:r>
        <w:rPr>
          <w:lang w:val="es-ES"/>
        </w:rPr>
        <w:t xml:space="preserve">Las condiciones bajo las cuales el diseño funciona: tiempo, apoyos, nivel previo, materiales.</w:t>
      </w:r>
      <w:r>
        <w:rPr>
          <w:lang w:val="es-ES"/>
        </w:rPr>
        <w:t xml:space="preserve"> </w:t>
      </w:r>
      <w:r>
        <w:rPr>
          <w:lang w:val="es-ES"/>
        </w:rPr>
        <w:t xml:space="preserve">“Asumimos que hay veinte minutos diarios para lectura”</w:t>
      </w:r>
      <w:r>
        <w:rPr>
          <w:lang w:val="es-ES"/>
        </w:rPr>
        <w:t xml:space="preserve">; si no los hay, el diseño colapsa. Listarlos es honestidad operativa: un supuesto falso descrito tarde cuesta un ciclo entero, descrito temprano es sólo una conversación.</w:t>
      </w:r>
    </w:p>
    <w:p>
      <w:pPr>
        <w:pStyle w:val="BodyText"/>
      </w:pPr>
      <w:r>
        <w:rPr>
          <w:b/>
          <w:bCs/>
          <w:lang w:val="es-ES"/>
        </w:rPr>
        <w:t xml:space="preserve">IA45 · Puente pedagógico.</w:t>
      </w:r>
      <w:r>
        <w:rPr>
          <w:lang w:val="es-ES"/>
        </w:rPr>
        <w:t xml:space="preserve"> </w:t>
      </w:r>
      <w:r>
        <w:rPr>
          <w:lang w:val="es-ES"/>
        </w:rPr>
        <w:t xml:space="preserve">El punto donde el diseño se somete al ritmo de quien aprende. El plan decía quince minutos de círculo y a los seis el grupo se desreguló: el diseño cede, se cambia el plan, no se somete al niño. El ingeniero educativo sabe cuándo su plano obedece al niño, porque el niño es el fin y nunca el componente (compatibilidad pedagógico-andragógica, glosario neuro, G26).</w:t>
      </w:r>
    </w:p>
    <w:p>
      <w:r>
        <w:pict>
          <v:rect style="width:0;height:1.5pt" o:hralign="center" o:hrstd="t" o:hr="t"/>
        </w:pict>
      </w:r>
    </w:p>
    <w:bookmarkEnd w:id="14"/>
    <w:bookmarkStart w:id="15" w:name="índice"/>
    <w:p>
      <w:pPr>
        <w:pStyle w:val="Heading2"/>
      </w:pPr>
      <w:r>
        <w:rPr>
          <w:lang w:val="es-ES"/>
        </w:rPr>
        <w:t xml:space="preserve">Índice</w:t>
      </w:r>
    </w:p>
    <w:p>
      <w:pPr>
        <w:pStyle w:val="FirstParagraph"/>
      </w:pPr>
      <w:r>
        <w:rPr>
          <w:b/>
          <w:bCs/>
          <w:lang w:val="es-ES"/>
        </w:rPr>
        <w:t xml:space="preserve">A</w:t>
      </w:r>
      <w:r>
        <w:rPr>
          <w:lang w:val="es-ES"/>
        </w:rPr>
        <w:t xml:space="preserve">: Diseño instruccional (IA1) · ADDIE (IA2) · Diseño hacia atrás (IA3) · Alineación (IA4) · Evento instruccional (IA5) · Prototipo instruccional (IA6) · Iteración instruccional (IA7).</w:t>
      </w:r>
      <w:r>
        <w:rPr>
          <w:lang w:val="es-ES"/>
        </w:rPr>
        <w:t xml:space="preserve"> </w:t>
      </w:r>
      <w:r>
        <w:rPr>
          <w:b/>
          <w:bCs/>
          <w:lang w:val="es-ES"/>
        </w:rPr>
        <w:t xml:space="preserve">B</w:t>
      </w:r>
      <w:r>
        <w:rPr>
          <w:lang w:val="es-ES"/>
        </w:rPr>
        <w:t xml:space="preserve">: Objetivo de aprendizaje (IA8) · Objetivo terminal y habilitantes (IA9) · Taxonomía (IA10) · Especificación de curso (IA11) · Secuencia instruccional (IA12) · Evidencia de logro (IA13).</w:t>
      </w:r>
      <w:r>
        <w:rPr>
          <w:lang w:val="es-ES"/>
        </w:rPr>
        <w:t xml:space="preserve"> </w:t>
      </w:r>
      <w:r>
        <w:rPr>
          <w:b/>
          <w:bCs/>
          <w:lang w:val="es-ES"/>
        </w:rPr>
        <w:t xml:space="preserve">C</w:t>
      </w:r>
      <w:r>
        <w:rPr>
          <w:lang w:val="es-ES"/>
        </w:rPr>
        <w:t xml:space="preserve">: Carga cognitiva (IA14) · Redundancia cognitiva (IA15) · Sobrecarga extrínseca (IA16) · Principios multimedia (IA17) · Doble codificación (IA18).</w:t>
      </w:r>
      <w:r>
        <w:rPr>
          <w:lang w:val="es-ES"/>
        </w:rPr>
        <w:t xml:space="preserve"> </w:t>
      </w:r>
      <w:r>
        <w:rPr>
          <w:b/>
          <w:bCs/>
          <w:lang w:val="es-ES"/>
        </w:rPr>
        <w:t xml:space="preserve">D</w:t>
      </w:r>
      <w:r>
        <w:rPr>
          <w:lang w:val="es-ES"/>
        </w:rPr>
        <w:t xml:space="preserve">: UDL (IA19) · Accesibilidad (IA20) · Adaptación frente a ajuste razonable (IA21) · Perfil del aprendiz (IA22).</w:t>
      </w:r>
      <w:r>
        <w:rPr>
          <w:lang w:val="es-ES"/>
        </w:rPr>
        <w:t xml:space="preserve"> </w:t>
      </w:r>
      <w:r>
        <w:rPr>
          <w:b/>
          <w:bCs/>
          <w:lang w:val="es-ES"/>
        </w:rPr>
        <w:t xml:space="preserve">E</w:t>
      </w:r>
      <w:r>
        <w:rPr>
          <w:lang w:val="es-ES"/>
        </w:rPr>
        <w:t xml:space="preserve">: ISO 21001 (IA23) · ISO/IEC 29990 (IA24) · Analítica educativa (IA25) · SCORM y xAPI (IA26) · Satisfacción frente a logro (IA27) · Piloto instruccional (IA28) · Retroalimentación (IA29) · Interoperabilidad de datos (IA30).</w:t>
      </w:r>
      <w:r>
        <w:rPr>
          <w:lang w:val="es-ES"/>
        </w:rPr>
        <w:t xml:space="preserve"> </w:t>
      </w:r>
      <w:r>
        <w:rPr>
          <w:b/>
          <w:bCs/>
          <w:lang w:val="es-ES"/>
        </w:rPr>
        <w:t xml:space="preserve">F</w:t>
      </w:r>
      <w:r>
        <w:rPr>
          <w:lang w:val="es-ES"/>
        </w:rPr>
        <w:t xml:space="preserve">: Ingeniería del aprendizaje (IA31) · Problema de aprendizaje (IA32) · Métrica de diseño (IA33) · Escenario de aprendizaje (IA34) · Materiales instruccionales (IA35) · Revisión por pares (IA36) · Escalabilidad (IA37) · Soporte al facilitador (IA38) · Deriva curricular (IA39) · Costo de oportunidad instruccional (IA40) · PDCA (IA41) · Kaizen (IA42) · Riesgo instruccional (IA43) · Supuestos de diseño (IA44) · Puente pedagógico (IA45).</w:t>
      </w:r>
    </w:p>
    <w:p>
      <w:r>
        <w:pict>
          <v:rect style="width:0;height:1.5pt" o:hralign="center" o:hrstd="t" o:hr="t"/>
        </w:pict>
      </w:r>
    </w:p>
    <w:p>
      <w:pPr>
        <w:pStyle w:val="FirstParagraph"/>
      </w:pPr>
      <w:r>
        <w:rPr>
          <w:i/>
          <w:iCs/>
          <w:lang w:val="es-ES"/>
        </w:rPr>
        <w:t xml:space="preserve">Capa Ingeniería de la Educación · Glosario IA (45 términos) · v0.1 · Abierto por diseño.</w:t>
      </w:r>
    </w:p>
    <w:bookmarkEnd w:id="15"/>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de Ingeniería Aplicada a la Educación (General)</dc:title>
  <dc:creator>Capa Ingeniería de la Educación · Proyecto Programa Sintético</dc:creator>
  <dc:language>es-ES</dc:language>
  <cp:keywords/>
  <dcterms:created xsi:type="dcterms:W3CDTF">2026-09-29T04:11:28Z</dcterms:created>
  <dcterms:modified xsi:type="dcterms:W3CDTF">2026-09-29T04:11:28Z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Niveles 1–4 · v0.1 · 29 de septiembre de 2026</vt:lpwstr>
  </property>
  <property fmtid="{D5CDD505-2E9C-101B-9397-08002B2CF9AE}" pid="3" name="subtitle">
    <vt:lpwstr>El vocabulario del diseño de aprendizajes, explicado con calma — nivel 2 de 4</vt:lpwstr>
  </property>
</Properties>
</file>