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Inventario de gobernanza en ingeniería</w:t>
      </w:r>
    </w:p>
    <w:p>
      <w:pPr>
        <w:pStyle w:val="Subtitle"/>
      </w:pPr>
      <w:r>
        <w:rPr>
          <w:lang w:val="es-ES"/>
        </w:rPr>
        <w:t xml:space="preserve">Artefactos, dispositivos y herramientas para ejercer la gobernanza en cualquier tipo de proyecto</w:t>
      </w:r>
    </w:p>
    <w:p>
      <w:pPr>
        <w:pStyle w:val="Author"/>
      </w:pPr>
      <w:r>
        <w:rPr>
          <w:lang w:val="es-ES"/>
        </w:rPr>
        <w:t xml:space="preserve">Capa Ingeniería de la Educación · Proyecto Programa Sintético</w:t>
      </w:r>
    </w:p>
    <w:p>
      <w:pPr>
        <w:pStyle w:val="Date"/>
      </w:pPr>
      <w:r>
        <w:rPr>
          <w:lang w:val="es-ES"/>
        </w:rPr>
        <w:t xml:space="preserve">Niveles 1–4 · v0.1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Capa Ingeniería de la Educación · v0.1 · 29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Derivado de: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glosario-ingenieria-general.md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(IG),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glosario-ingenieria-de-la-educacion.md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(IE),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Plantillas/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(A1–A8, S1, D1, N1, T1), el Acta Constitutiva y el sistema de tandas del proyecto</w:t>
      </w:r>
    </w:p>
    <w:p>
      <w:r>
        <w:pict>
          <v:rect style="width:0;height:1.5pt" o:hralign="center" o:hrstd="t" o:hr="t"/>
        </w:pict>
      </w:r>
    </w:p>
    <w:bookmarkStart w:id="9" w:name="qué-es-gobernanza-dicho-sin-abstractos"/>
    <w:p>
      <w:pPr>
        <w:pStyle w:val="Heading2"/>
      </w:pPr>
      <w:r>
        <w:rPr>
          <w:lang w:val="es-ES"/>
        </w:rPr>
        <w:t xml:space="preserve">0. Qué es gobernanza, dicho sin abstractos</w:t>
      </w:r>
    </w:p>
    <w:p>
      <w:pPr>
        <w:pStyle w:val="FirstParagraph"/>
      </w:pPr>
      <w:r>
        <w:rPr>
          <w:lang w:val="es-ES"/>
        </w:rPr>
        <w:t xml:space="preserve">Gobernanza es la respuesta ordenada a cinco preguntas que todo proyecto se hace, quiera o no: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¿quién decide? ¿con qué información? ¿con qué reglas? ¿cómo sabemos que se cumple? y ¿a quién rinde cuentas?</w:t>
      </w:r>
      <w:r>
        <w:rPr>
          <w:lang w:val="es-ES"/>
        </w:rPr>
        <w:t xml:space="preserve"> </w:t>
      </w:r>
      <w:r>
        <w:rPr>
          <w:lang w:val="es-ES"/>
        </w:rPr>
        <w:t xml:space="preserve">Un equipo puede tener el mejor talento del mundo y naufragar si estas cinco preguntas se responden por costumbre. Y un equipo modesto puede llegar lejos si las responde por escrito.</w:t>
      </w:r>
    </w:p>
    <w:p>
      <w:pPr>
        <w:pStyle w:val="BodyText"/>
      </w:pPr>
      <w:r>
        <w:rPr>
          <w:lang w:val="es-ES"/>
        </w:rPr>
        <w:t xml:space="preserve">Este inventario reúne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todo lo que sirve para ejercerla</w:t>
      </w:r>
      <w:r>
        <w:rPr>
          <w:lang w:val="es-ES"/>
        </w:rPr>
        <w:t xml:space="preserve"> </w:t>
      </w:r>
      <w:r>
        <w:rPr>
          <w:lang w:val="es-ES"/>
        </w:rPr>
        <w:t xml:space="preserve">en ingeniería de cualquier tipo —software, educación, organización de un taller, un emprendimiento, un proyecto personal— y lo presenta en tres familias que conviene distinguir, porque se confunden todo el tiempo:</w:t>
      </w:r>
    </w:p>
    <w:p>
      <w:pPr>
        <w:pStyle w:val="BodyText"/>
      </w:pPr>
      <w:r>
        <w:rPr>
          <w:b/>
          <w:bCs/>
          <w:lang w:val="es-ES"/>
        </w:rPr>
        <w:t xml:space="preserve">Artefactos</w:t>
      </w:r>
      <w:r>
        <w:rPr>
          <w:lang w:val="es-ES"/>
        </w:rPr>
        <w:t xml:space="preserve">: los documentos que se redactan, firman y guardan. Son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memoria</w:t>
      </w:r>
      <w:r>
        <w:rPr>
          <w:lang w:val="es-ES"/>
        </w:rPr>
        <w:t xml:space="preserve"> </w:t>
      </w:r>
      <w:r>
        <w:rPr>
          <w:lang w:val="es-ES"/>
        </w:rPr>
        <w:t xml:space="preserve">de la gobernanza: si desaparecen, no hay forma de probar lo que se decidió.</w:t>
      </w:r>
    </w:p>
    <w:p>
      <w:pPr>
        <w:pStyle w:val="BodyText"/>
      </w:pPr>
      <w:r>
        <w:rPr>
          <w:b/>
          <w:bCs/>
          <w:lang w:val="es-ES"/>
        </w:rPr>
        <w:t xml:space="preserve">Dispositivos</w:t>
      </w:r>
      <w:r>
        <w:rPr>
          <w:lang w:val="es-ES"/>
        </w:rPr>
        <w:t xml:space="preserve">: los mecanismos que trabajan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solos</w:t>
      </w:r>
      <w:r>
        <w:rPr>
          <w:lang w:val="es-ES"/>
        </w:rPr>
        <w:t xml:space="preserve"> </w:t>
      </w:r>
      <w:r>
        <w:rPr>
          <w:lang w:val="es-ES"/>
        </w:rPr>
        <w:t xml:space="preserve">una vez instalados. Una puerta que no se abre sin condiciones, un semáforo que obliga a responder, un ciclo que vuelve aunque nadie tenga ganas. Son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columna vertebral</w:t>
      </w:r>
      <w:r>
        <w:rPr>
          <w:lang w:val="es-ES"/>
        </w:rPr>
        <w:t xml:space="preserve">: no dependen del ánimo del día.</w:t>
      </w:r>
    </w:p>
    <w:p>
      <w:pPr>
        <w:pStyle w:val="BodyText"/>
      </w:pPr>
      <w:r>
        <w:rPr>
          <w:b/>
          <w:bCs/>
          <w:lang w:val="es-ES"/>
        </w:rPr>
        <w:t xml:space="preserve">Herramientas</w:t>
      </w:r>
      <w:r>
        <w:rPr>
          <w:lang w:val="es-ES"/>
        </w:rPr>
        <w:t xml:space="preserve">: las técnicas que empuja tu mano en una reunión o una sesión. El FODA, los cinco porqués, la retrospectiva. Son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oficio</w:t>
      </w:r>
      <w:r>
        <w:rPr>
          <w:lang w:val="es-ES"/>
        </w:rPr>
        <w:t xml:space="preserve">: no guardan nada por sí solas, producen lo que después se guarda en un artefacto.</w:t>
      </w:r>
    </w:p>
    <w:p>
      <w:pPr>
        <w:pStyle w:val="BodyText"/>
      </w:pPr>
      <w:r>
        <w:rPr>
          <w:lang w:val="es-ES"/>
        </w:rPr>
        <w:t xml:space="preserve">La gobernanza sana necesita las tres: documentos sin mecanismos son burocracia viva; mecanismos sin herramientas se instalan vacíos; herramientas sin documentos se olvidan en la próxima rotación. Cada entrada de este inventario lleva su código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GOB</w:t>
      </w:r>
      <w:r>
        <w:rPr>
          <w:lang w:val="es-ES"/>
        </w:rPr>
        <w:t xml:space="preserve"> </w:t>
      </w:r>
      <w:r>
        <w:rPr>
          <w:lang w:val="es-ES"/>
        </w:rPr>
        <w:t xml:space="preserve">para citar sin ambigüedad, su momento de uso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dónde vive en este proyecto</w:t>
      </w:r>
      <w:r>
        <w:rPr>
          <w:lang w:val="es-ES"/>
        </w:rPr>
        <w:t xml:space="preserve"> </w:t>
      </w:r>
      <w:r>
        <w:rPr>
          <w:lang w:val="es-ES"/>
        </w:rPr>
        <w:t xml:space="preserve">(plantilla, Acta o compendio), de modo que puedas copiar el sistema y no sólo la idea.</w:t>
      </w:r>
    </w:p>
    <w:p>
      <w:r>
        <w:pict>
          <v:rect style="width:0;height:1.5pt" o:hralign="center" o:hrstd="t" o:hr="t"/>
        </w:pict>
      </w:r>
    </w:p>
    <w:bookmarkEnd w:id="9"/>
    <w:bookmarkStart w:id="10" w:name="X3f2a5533ad7210d7eaad2ac6ea33996f5cda0a2"/>
    <w:p>
      <w:pPr>
        <w:pStyle w:val="Heading2"/>
      </w:pPr>
      <w:r>
        <w:rPr>
          <w:lang w:val="es-ES"/>
        </w:rPr>
        <w:t xml:space="preserve">1. Artefactos de gobernanza (los documentos que se firman y guardan)</w:t>
      </w:r>
    </w:p>
    <w:p>
      <w:pPr>
        <w:pStyle w:val="FirstParagraph"/>
      </w:pPr>
      <w:r>
        <w:rPr>
          <w:b/>
          <w:bCs/>
          <w:lang w:val="es-ES"/>
        </w:rPr>
        <w:t xml:space="preserve">GOB1 · Acta constitutiva (carta del proyecto).</w:t>
      </w:r>
      <w:r>
        <w:rPr>
          <w:lang w:val="es-ES"/>
        </w:rPr>
        <w:t xml:space="preserve"> </w:t>
      </w:r>
      <w:r>
        <w:rPr>
          <w:lang w:val="es-ES"/>
        </w:rPr>
        <w:t xml:space="preserve">El documento que autoriza, acota y firma el proyecto: alcance, gobernanza, políticas, métricas y vigencia.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al inicio, antes de ejecutar; se mantiene con enmiendas registradas.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 el proyecto dependa de la voluntad informal de una persona.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Acta Constitutiva/…</w:t>
      </w:r>
      <w:r>
        <w:rPr>
          <w:lang w:val="es-ES"/>
        </w:rPr>
        <w:t xml:space="preserve"> </w:t>
      </w:r>
      <w:r>
        <w:rPr>
          <w:lang w:val="es-ES"/>
        </w:rPr>
        <w:t xml:space="preserve">(29 artículos; entrada en vigor condicionada a su puerta G1).</w:t>
      </w:r>
    </w:p>
    <w:p>
      <w:pPr>
        <w:pStyle w:val="BodyText"/>
      </w:pPr>
      <w:r>
        <w:rPr>
          <w:b/>
          <w:bCs/>
          <w:lang w:val="es-ES"/>
        </w:rPr>
        <w:t xml:space="preserve">GOB2 · Encuadre y alcance declarado.</w:t>
      </w:r>
      <w:r>
        <w:rPr>
          <w:lang w:val="es-ES"/>
        </w:rPr>
        <w:t xml:space="preserve"> </w:t>
      </w:r>
      <w:r>
        <w:rPr>
          <w:lang w:val="es-ES"/>
        </w:rPr>
        <w:t xml:space="preserve">Problema real, meta comprobable, dentro y fuera de alcance y partes interesadas, en una página.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el día cero, antes de diseñar.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la deriva de alcance y el</w:t>
      </w:r>
      <w:r>
        <w:rPr>
          <w:lang w:val="es-ES"/>
        </w:rPr>
        <w:t xml:space="preserve"> </w:t>
      </w:r>
      <w:r>
        <w:rPr>
          <w:lang w:val="es-ES"/>
        </w:rPr>
        <w:t xml:space="preserve">“creía que ibas a…”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A1-encuadre-y-alcance.md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GOB3 · Especificación de requisitos.</w:t>
      </w:r>
      <w:r>
        <w:rPr>
          <w:lang w:val="es-ES"/>
        </w:rPr>
        <w:t xml:space="preserve"> </w:t>
      </w:r>
      <w:r>
        <w:rPr>
          <w:lang w:val="es-ES"/>
        </w:rPr>
        <w:t xml:space="preserve">Lista de condiciones comprobables con su fuente (norma, evidencia, usuario, contexto) y su criterio de aceptación.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después del encuadre y antes del diseño; se revisa en cada cambio mayor.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“mejorar la calidad”</w:t>
      </w:r>
      <w:r>
        <w:rPr>
          <w:lang w:val="es-ES"/>
        </w:rPr>
        <w:t xml:space="preserve"> </w:t>
      </w:r>
      <w:r>
        <w:rPr>
          <w:lang w:val="es-ES"/>
        </w:rPr>
        <w:t xml:space="preserve">y las discusiones eternas de</w:t>
      </w:r>
      <w:r>
        <w:rPr>
          <w:lang w:val="es-ES"/>
        </w:rPr>
        <w:t xml:space="preserve"> </w:t>
      </w:r>
      <w:r>
        <w:rPr>
          <w:lang w:val="es-ES"/>
        </w:rPr>
        <w:t xml:space="preserve">“quedó”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A2-requisitos.md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GOB4 · Plan y desglose de trabajo (WBS).</w:t>
      </w:r>
      <w:r>
        <w:rPr>
          <w:lang w:val="es-ES"/>
        </w:rPr>
        <w:t xml:space="preserve"> </w:t>
      </w:r>
      <w:r>
        <w:rPr>
          <w:lang w:val="es-ES"/>
        </w:rPr>
        <w:t xml:space="preserve">Las piezas del proyecto, sus dependencias, los roles (RACI), los supuestos escritos y las puertas de avance.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al aprobar el diseño.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 el plan viva en la cabeza de una sola persona.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A3-diseno-y-plan.md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GOB5 · Matriz RACI.</w:t>
      </w:r>
      <w:r>
        <w:rPr>
          <w:lang w:val="es-ES"/>
        </w:rPr>
        <w:t xml:space="preserve"> </w:t>
      </w:r>
      <w:r>
        <w:rPr>
          <w:lang w:val="es-ES"/>
        </w:rPr>
        <w:t xml:space="preserve">Quién resuelve, quién aprueba, quién consulta y quién se entera —para cada rol o entregable.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al inicio del diseño; se reevalúa cuando entra o sale gente.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“creía que lo hacías tú”</w:t>
      </w:r>
      <w:r>
        <w:rPr>
          <w:lang w:val="es-ES"/>
        </w:rPr>
        <w:t xml:space="preserve">, el hueco de responsabilidad más caro de los equipos.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A3 (el formato) y Acta art. 13 (los roles del proyecto).</w:t>
      </w:r>
    </w:p>
    <w:p>
      <w:pPr>
        <w:pStyle w:val="BodyText"/>
      </w:pPr>
      <w:r>
        <w:rPr>
          <w:b/>
          <w:bCs/>
          <w:lang w:val="es-ES"/>
        </w:rPr>
        <w:t xml:space="preserve">GOB6 · ADR (registro de decisión).</w:t>
      </w:r>
      <w:r>
        <w:rPr>
          <w:lang w:val="es-ES"/>
        </w:rPr>
        <w:t xml:space="preserve"> </w:t>
      </w:r>
      <w:r>
        <w:rPr>
          <w:lang w:val="es-ES"/>
        </w:rPr>
        <w:t xml:space="preserve">Decisiones estructurales con contexto, alternativas descartadas, consecuencias y condiciones de revisión.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cuando la decisión es cara de dar marcha atrás.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la costumbre injustificable y la</w:t>
      </w:r>
      <w:r>
        <w:rPr>
          <w:lang w:val="es-ES"/>
        </w:rPr>
        <w:t xml:space="preserve"> </w:t>
      </w:r>
      <w:r>
        <w:rPr>
          <w:lang w:val="es-ES"/>
        </w:rPr>
        <w:t xml:space="preserve">“buena idea”</w:t>
      </w:r>
      <w:r>
        <w:rPr>
          <w:lang w:val="es-ES"/>
        </w:rPr>
        <w:t xml:space="preserve"> </w:t>
      </w:r>
      <w:r>
        <w:rPr>
          <w:lang w:val="es-ES"/>
        </w:rPr>
        <w:t xml:space="preserve">que reaparece sin historia.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A8-adr-registro-decision.md</w:t>
      </w:r>
      <w:r>
        <w:rPr>
          <w:lang w:val="es-ES"/>
        </w:rPr>
        <w:t xml:space="preserve">; en este proyecto,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adr-modelo-construccion…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GOB7 · Políticas de protección.</w:t>
      </w:r>
      <w:r>
        <w:rPr>
          <w:lang w:val="es-ES"/>
        </w:rPr>
        <w:t xml:space="preserve"> </w:t>
      </w:r>
      <w:r>
        <w:rPr>
          <w:lang w:val="es-ES"/>
        </w:rPr>
        <w:t xml:space="preserve">Las reglas no negociables por escrito: no daño, tratamiento de datos (minimización, consentimiento, revocabilidad), uso de inteligencia artificial, imagen y voz de personas.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antes de cualquier contacto con personas o datos reales.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el daño irreversible (los datos de la infancia no se borran).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Acta arts. 6–7 y política de IA (ADR AD-5).</w:t>
      </w:r>
    </w:p>
    <w:p>
      <w:pPr>
        <w:pStyle w:val="BodyText"/>
      </w:pPr>
      <w:r>
        <w:rPr>
          <w:b/>
          <w:bCs/>
          <w:lang w:val="es-ES"/>
        </w:rPr>
        <w:t xml:space="preserve">GOB8 · Código de conducta y compromiso de trato.</w:t>
      </w:r>
      <w:r>
        <w:rPr>
          <w:lang w:val="es-ES"/>
        </w:rPr>
        <w:t xml:space="preserve"> </w:t>
      </w:r>
      <w:r>
        <w:rPr>
          <w:lang w:val="es-ES"/>
        </w:rPr>
        <w:t xml:space="preserve">Lo que se espera del comportamiento entre miembros y hacia beneficiarios: respeto, cero humillación, canales de reporte.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con la firma del proyecto o del equipo.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 la convivencia dependa del carácter de los presentes.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en el Acta, implícito en sus artículos de deberes (6 y 9) — candidato explícito para formalizar en una enmienda.</w:t>
      </w:r>
    </w:p>
    <w:p>
      <w:pPr>
        <w:pStyle w:val="BodyText"/>
      </w:pPr>
      <w:r>
        <w:rPr>
          <w:b/>
          <w:bCs/>
          <w:lang w:val="es-ES"/>
        </w:rPr>
        <w:t xml:space="preserve">GOB9 · Registro de decisiones (bitácora).</w:t>
      </w:r>
      <w:r>
        <w:rPr>
          <w:lang w:val="es-ES"/>
        </w:rPr>
        <w:t xml:space="preserve"> </w:t>
      </w:r>
      <w:r>
        <w:rPr>
          <w:lang w:val="es-ES"/>
        </w:rPr>
        <w:t xml:space="preserve">La lista cronológica de decisiones: qué, cuándo, quién, por qué.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continuo — toda decisión relevante, no sólo las grandes.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“sin registro no ocurrió”</w:t>
      </w:r>
      <w:r>
        <w:rPr>
          <w:lang w:val="es-ES"/>
        </w:rPr>
        <w:t xml:space="preserve"> </w:t>
      </w:r>
      <w:r>
        <w:rPr>
          <w:lang w:val="es-ES"/>
        </w:rPr>
        <w:t xml:space="preserve">—la frase más honesta del Acta (art. 13).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junto a los ADR, con fecha relativa y responsable.</w:t>
      </w:r>
    </w:p>
    <w:p>
      <w:pPr>
        <w:pStyle w:val="BodyText"/>
      </w:pPr>
      <w:r>
        <w:rPr>
          <w:b/>
          <w:bCs/>
          <w:lang w:val="es-ES"/>
        </w:rPr>
        <w:t xml:space="preserve">GOB10 · Actas de reunión con acuerdos.</w:t>
      </w:r>
      <w:r>
        <w:rPr>
          <w:lang w:val="es-ES"/>
        </w:rPr>
        <w:t xml:space="preserve"> </w:t>
      </w:r>
      <w:r>
        <w:rPr>
          <w:lang w:val="es-ES"/>
        </w:rPr>
        <w:t xml:space="preserve">El resumen mínimo de cada sesión de gobernanza: asistencia, decisiones, acuerdos con responsable y fecha.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cada reunión formal.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la reunión sin decisión (antipatrón N2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neurogestion…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formato heredado de las sesiones de CTE (Formación y práctica del proyecto).</w:t>
      </w:r>
    </w:p>
    <w:p>
      <w:pPr>
        <w:pStyle w:val="BodyText"/>
      </w:pPr>
      <w:r>
        <w:rPr>
          <w:b/>
          <w:bCs/>
          <w:lang w:val="es-ES"/>
        </w:rPr>
        <w:t xml:space="preserve">GOB11 · Registro de riesgos.</w:t>
      </w:r>
      <w:r>
        <w:rPr>
          <w:lang w:val="es-ES"/>
        </w:rPr>
        <w:t xml:space="preserve"> </w:t>
      </w:r>
      <w:r>
        <w:rPr>
          <w:lang w:val="es-ES"/>
        </w:rPr>
        <w:t xml:space="preserve">Riesgos con probabilidad, impacto, mitigación y disparador; revisado en ciclo.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se abre en el encuadre y se revisa cada fase.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vivir apagando incendios.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A5-riesgos-y-cambios.md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GOB12 · Historial de cambios y versiones.</w:t>
      </w:r>
      <w:r>
        <w:rPr>
          <w:lang w:val="es-ES"/>
        </w:rPr>
        <w:t xml:space="preserve"> </w:t>
      </w:r>
      <w:r>
        <w:rPr>
          <w:lang w:val="es-ES"/>
        </w:rPr>
        <w:t xml:space="preserve">Qué versión está vigente, qué cambió, bajo qué autorización.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continuo (control de cambios).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lang w:val="es-ES"/>
        </w:rPr>
        <w:t xml:space="preserve">“final-final”</w:t>
      </w:r>
      <w:r>
        <w:rPr>
          <w:lang w:val="es-ES"/>
        </w:rPr>
        <w:t xml:space="preserve"> </w:t>
      </w:r>
      <w:r>
        <w:rPr>
          <w:lang w:val="es-ES"/>
        </w:rPr>
        <w:t xml:space="preserve">y la pérdida de confianza en los documentos.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sistema de tandas (Primera/Segunda/Tercera) y control de cambios del Acta (art. 14).</w:t>
      </w:r>
    </w:p>
    <w:p>
      <w:pPr>
        <w:pStyle w:val="BodyText"/>
      </w:pPr>
      <w:r>
        <w:rPr>
          <w:b/>
          <w:bCs/>
          <w:lang w:val="es-ES"/>
        </w:rPr>
        <w:t xml:space="preserve">GOB13 · Criterios de aceptación y DoD.</w:t>
      </w:r>
      <w:r>
        <w:rPr>
          <w:lang w:val="es-ES"/>
        </w:rPr>
        <w:t xml:space="preserve"> </w:t>
      </w:r>
      <w:r>
        <w:rPr>
          <w:lang w:val="es-ES"/>
        </w:rPr>
        <w:t xml:space="preserve">Las condiciones explícitas de</w:t>
      </w:r>
      <w:r>
        <w:rPr>
          <w:lang w:val="es-ES"/>
        </w:rPr>
        <w:t xml:space="preserve"> </w:t>
      </w:r>
      <w:r>
        <w:rPr>
          <w:lang w:val="es-ES"/>
        </w:rPr>
        <w:t xml:space="preserve">“terminado y correcto”</w:t>
      </w:r>
      <w:r>
        <w:rPr>
          <w:lang w:val="es-ES"/>
        </w:rPr>
        <w:t xml:space="preserve">, por entregable y por fase.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se definen antes de construir y se exigen antes de avanzar.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“creemos que quedó”</w:t>
      </w:r>
      <w:r>
        <w:rPr>
          <w:lang w:val="es-ES"/>
        </w:rPr>
        <w:t xml:space="preserve"> </w:t>
      </w:r>
      <w:r>
        <w:rPr>
          <w:lang w:val="es-ES"/>
        </w:rPr>
        <w:t xml:space="preserve">como cierre de fase.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plantillas A2 y A4; puerta G1 con su DoD.</w:t>
      </w:r>
    </w:p>
    <w:p>
      <w:pPr>
        <w:pStyle w:val="BodyText"/>
      </w:pPr>
      <w:r>
        <w:rPr>
          <w:b/>
          <w:bCs/>
          <w:lang w:val="es-ES"/>
        </w:rPr>
        <w:t xml:space="preserve">GOB14 · Línea base y tablero de indicadores.</w:t>
      </w:r>
      <w:r>
        <w:rPr>
          <w:lang w:val="es-ES"/>
        </w:rPr>
        <w:t xml:space="preserve"> </w:t>
      </w:r>
      <w:r>
        <w:rPr>
          <w:lang w:val="es-ES"/>
        </w:rPr>
        <w:t xml:space="preserve">La medición del punto de partida y el panel de métricas con meta, estado y responsable.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línea base al inicio de cada intervención; tablero en cada revisión.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opinar sin medir y decorar con números (métrica sin lectura).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A4-verificacion-y-validacion.md</w:t>
      </w:r>
      <w:r>
        <w:rPr>
          <w:lang w:val="es-ES"/>
        </w:rPr>
        <w:t xml:space="preserve">; semáforo del Acta art. 20.</w:t>
      </w:r>
    </w:p>
    <w:p>
      <w:pPr>
        <w:pStyle w:val="BodyText"/>
      </w:pPr>
      <w:r>
        <w:rPr>
          <w:b/>
          <w:bCs/>
          <w:lang w:val="es-ES"/>
        </w:rPr>
        <w:t xml:space="preserve">GOB15 · Informes de ciclo (legal, científico, de impacto).</w:t>
      </w:r>
      <w:r>
        <w:rPr>
          <w:lang w:val="es-ES"/>
        </w:rPr>
        <w:t xml:space="preserve"> </w:t>
      </w:r>
      <w:r>
        <w:rPr>
          <w:lang w:val="es-ES"/>
        </w:rPr>
        <w:t xml:space="preserve">Los informes que, en cada ciclo, dicen qué cambió en el entorno, qué documento afecta y qué acción se abre.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semestral (ley), anual (evidencia), trienal (impacto completo).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envejecer sin notarlo.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Acta art. 23;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Roadmap-deca-10-anios-actualizaciones.md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GOB16 · Consentimiento informado.</w:t>
      </w:r>
      <w:r>
        <w:rPr>
          <w:lang w:val="es-ES"/>
        </w:rPr>
        <w:t xml:space="preserve"> </w:t>
      </w:r>
      <w:r>
        <w:rPr>
          <w:lang w:val="es-ES"/>
        </w:rPr>
        <w:t xml:space="preserve">El permiso específico, explicado, escrito y revocable de las familias o participantes para usos de datos, imagen o participación.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antes de capturar cualquier dato o imagen.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la legitimidad perdida con un solo uso indebido.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Acta arts. 7 y 26; plantilla N1 (casilla de consentimiento).</w:t>
      </w:r>
    </w:p>
    <w:p>
      <w:pPr>
        <w:pStyle w:val="BodyText"/>
      </w:pPr>
      <w:r>
        <w:rPr>
          <w:b/>
          <w:bCs/>
          <w:lang w:val="es-ES"/>
        </w:rPr>
        <w:t xml:space="preserve">GOB17 · Lecciones aprendidas y retrospectiva documentada.</w:t>
      </w:r>
      <w:r>
        <w:rPr>
          <w:lang w:val="es-ES"/>
        </w:rPr>
        <w:t xml:space="preserve"> </w:t>
      </w:r>
      <w:r>
        <w:rPr>
          <w:lang w:val="es-ES"/>
        </w:rPr>
        <w:t xml:space="preserve">El registro de qué pasó, por qué y qué cambiamos.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al cierre de cada fase o ciclo.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repetir el error con entusiasmo renovado.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A6-retrospectiva-y-mejora.md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GOB18 · Catálogo de patrones y antipatrones.</w:t>
      </w:r>
      <w:r>
        <w:rPr>
          <w:lang w:val="es-ES"/>
        </w:rPr>
        <w:t xml:space="preserve"> </w:t>
      </w:r>
      <w:r>
        <w:rPr>
          <w:lang w:val="es-ES"/>
        </w:rPr>
        <w:t xml:space="preserve">Las fichas de soluciones y errores recurrentes con nombre propio.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continuo; se nutre en cada retrospectiva.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 lo aprendido se pierda con quien se va.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A7-registro-de-patrones.md</w:t>
      </w:r>
      <w:r>
        <w:rPr>
          <w:lang w:val="es-ES"/>
        </w:rPr>
        <w:t xml:space="preserve">; en este proyecto,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neurogestion-patrones-y-antipatrones.md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GOB19 · Acuerdos con terceros.</w:t>
      </w:r>
      <w:r>
        <w:rPr>
          <w:lang w:val="es-ES"/>
        </w:rPr>
        <w:t xml:space="preserve"> </w:t>
      </w:r>
      <w:r>
        <w:rPr>
          <w:lang w:val="es-ES"/>
        </w:rPr>
        <w:t xml:space="preserve">Convenios y compromisos con proveedores, colaboradores, familias o autoridades: qué se espera de cada parte y cómo se resuelve un desacuerdo.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antes de que un tercero toque el proyecto o a sus beneficiarios.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dependencias verbales y visitas sin reglas.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reglas de visitantes y nodos (Acta art. 17).</w:t>
      </w:r>
    </w:p>
    <w:p>
      <w:pPr>
        <w:pStyle w:val="BodyText"/>
      </w:pPr>
      <w:r>
        <w:rPr>
          <w:b/>
          <w:bCs/>
          <w:lang w:val="es-ES"/>
        </w:rPr>
        <w:t xml:space="preserve">GOB20 · Manual de inducción y transferencia.</w:t>
      </w:r>
      <w:r>
        <w:rPr>
          <w:lang w:val="es-ES"/>
        </w:rPr>
        <w:t xml:space="preserve"> </w:t>
      </w:r>
      <w:r>
        <w:rPr>
          <w:lang w:val="es-ES"/>
        </w:rPr>
        <w:t xml:space="preserve">El documento con el que alguien nuevo puede operar el proyecto sin el fundador: roles, procesos, decisiones, contactos.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desde el día uno, actualizado con cada cambio mayor.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 el proyecto muera con su fundador (herencia y transferencia, IE39).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el README de convención + la serie, como onboarding vivo.</w:t>
      </w:r>
    </w:p>
    <w:p>
      <w:pPr>
        <w:pStyle w:val="BodyText"/>
      </w:pPr>
      <w:r>
        <w:rPr>
          <w:b/>
          <w:bCs/>
          <w:lang w:val="es-ES"/>
        </w:rPr>
        <w:t xml:space="preserve">GOB21 · Mapa de partes interesadas.</w:t>
      </w:r>
      <w:r>
        <w:rPr>
          <w:lang w:val="es-ES"/>
        </w:rPr>
        <w:t xml:space="preserve"> </w:t>
      </w:r>
      <w:r>
        <w:rPr>
          <w:lang w:val="es-ES"/>
        </w:rPr>
        <w:t xml:space="preserve">Quién es, qué le importa, cuánto influye y cómo se le informa o consulta.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al encuadre; se actualiza con cada cambio de actores.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el descubrimiento tardío de quien tenía derecho a opinar.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 A1 (sección de partes interesadas).</w:t>
      </w:r>
    </w:p>
    <w:p>
      <w:pPr>
        <w:pStyle w:val="BodyText"/>
      </w:pPr>
      <w:r>
        <w:rPr>
          <w:b/>
          <w:bCs/>
          <w:lang w:val="es-ES"/>
        </w:rPr>
        <w:t xml:space="preserve">GOB22 · Presupuesto y autorizaciones de gasto.</w:t>
      </w:r>
      <w:r>
        <w:rPr>
          <w:lang w:val="es-ES"/>
        </w:rPr>
        <w:t xml:space="preserve"> </w:t>
      </w:r>
      <w:r>
        <w:rPr>
          <w:lang w:val="es-ES"/>
        </w:rPr>
        <w:t xml:space="preserve">Lo disponible, lo comprometido y quién autoriza cada erogación.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al aprobar alcance; se revisa por fase.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 el dinero se gaste</w:t>
      </w:r>
      <w:r>
        <w:rPr>
          <w:lang w:val="es-ES"/>
        </w:rPr>
        <w:t xml:space="preserve"> </w:t>
      </w:r>
      <w:r>
        <w:rPr>
          <w:lang w:val="es-ES"/>
        </w:rPr>
        <w:t xml:space="preserve">“porque ya empezamos”</w:t>
      </w:r>
      <w:r>
        <w:rPr>
          <w:lang w:val="es-ES"/>
        </w:rPr>
        <w:t xml:space="preserve"> </w:t>
      </w:r>
      <w:r>
        <w:rPr>
          <w:lang w:val="es-ES"/>
        </w:rPr>
        <w:t xml:space="preserve">y el proyecto se muera a media obra.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fuera de alcance declarado del Acta actual (art. 11) — es un pendiente explícito a cubrir al formalizar.</w:t>
      </w:r>
    </w:p>
    <w:p>
      <w:r>
        <w:pict>
          <v:rect style="width:0;height:1.5pt" o:hralign="center" o:hrstd="t" o:hr="t"/>
        </w:pict>
      </w:r>
    </w:p>
    <w:bookmarkEnd w:id="10"/>
    <w:bookmarkStart w:id="11" w:name="X2b1680ea3507facd6d46977e476ab41f2fb5c37"/>
    <w:p>
      <w:pPr>
        <w:pStyle w:val="Heading2"/>
      </w:pPr>
      <w:r>
        <w:rPr>
          <w:lang w:val="es-ES"/>
        </w:rPr>
        <w:t xml:space="preserve">2. Dispositivos de gobernanza (los mecanismos que trabajan solos)</w:t>
      </w:r>
    </w:p>
    <w:p>
      <w:pPr>
        <w:pStyle w:val="FirstParagraph"/>
      </w:pPr>
      <w:r>
        <w:rPr>
          <w:b/>
          <w:bCs/>
          <w:lang w:val="es-ES"/>
        </w:rPr>
        <w:t xml:space="preserve">GOB23 · Puerta de calidad (gate).</w:t>
      </w:r>
      <w:r>
        <w:rPr>
          <w:lang w:val="es-ES"/>
        </w:rPr>
        <w:t xml:space="preserve"> </w:t>
      </w:r>
      <w:r>
        <w:rPr>
          <w:lang w:val="es-ES"/>
        </w:rPr>
        <w:t xml:space="preserve">El punto que no se cruza sin cumplir condiciones verificadas.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trabaja solo:</w:t>
      </w:r>
      <w:r>
        <w:rPr>
          <w:lang w:val="es-ES"/>
        </w:rPr>
        <w:t xml:space="preserve"> </w:t>
      </w:r>
      <w:r>
        <w:rPr>
          <w:lang w:val="es-ES"/>
        </w:rPr>
        <w:t xml:space="preserve">aunque todos tengan prisa, la puerta no se abre; el avance exige evidencia.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 la velocidad se coma a la calidad.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plantillas A3 y A4 (sección de puertas); en el proyecto, la Puerta G1.</w:t>
      </w:r>
    </w:p>
    <w:p>
      <w:pPr>
        <w:pStyle w:val="BodyText"/>
      </w:pPr>
      <w:r>
        <w:rPr>
          <w:b/>
          <w:bCs/>
          <w:lang w:val="es-ES"/>
        </w:rPr>
        <w:t xml:space="preserve">GOB24 · Condición de entrada en vigor.</w:t>
      </w:r>
      <w:r>
        <w:rPr>
          <w:lang w:val="es-ES"/>
        </w:rPr>
        <w:t xml:space="preserve"> </w:t>
      </w:r>
      <w:r>
        <w:rPr>
          <w:lang w:val="es-ES"/>
        </w:rPr>
        <w:t xml:space="preserve">La cláusula que dice cuándo el Acta o el acuerdo deja de ser borrador: sólo con firmas y condiciones cumplidas.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trabaja solo:</w:t>
      </w:r>
      <w:r>
        <w:rPr>
          <w:lang w:val="es-ES"/>
        </w:rPr>
        <w:t xml:space="preserve"> </w:t>
      </w:r>
      <w:r>
        <w:rPr>
          <w:lang w:val="es-ES"/>
        </w:rPr>
        <w:t xml:space="preserve">nadie puede</w:t>
      </w:r>
      <w:r>
        <w:rPr>
          <w:lang w:val="es-ES"/>
        </w:rPr>
        <w:t xml:space="preserve"> </w:t>
      </w:r>
      <w:r>
        <w:rPr>
          <w:lang w:val="es-ES"/>
        </w:rPr>
        <w:t xml:space="preserve">“dar por vigente”</w:t>
      </w:r>
      <w:r>
        <w:rPr>
          <w:lang w:val="es-ES"/>
        </w:rPr>
        <w:t xml:space="preserve"> </w:t>
      </w:r>
      <w:r>
        <w:rPr>
          <w:lang w:val="es-ES"/>
        </w:rPr>
        <w:t xml:space="preserve">lo que no está firmado.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la solemnidad prematura.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Acta art. 27 (DoD de G1).</w:t>
      </w:r>
    </w:p>
    <w:p>
      <w:pPr>
        <w:pStyle w:val="BodyText"/>
      </w:pPr>
      <w:r>
        <w:rPr>
          <w:b/>
          <w:bCs/>
          <w:lang w:val="es-ES"/>
        </w:rPr>
        <w:t xml:space="preserve">GOB25 · Escalera de decisión.</w:t>
      </w:r>
      <w:r>
        <w:rPr>
          <w:lang w:val="es-ES"/>
        </w:rPr>
        <w:t xml:space="preserve"> </w:t>
      </w:r>
      <w:r>
        <w:rPr>
          <w:lang w:val="es-ES"/>
        </w:rPr>
        <w:t xml:space="preserve">La regla que asigna niveles: lo operativo lo decide quien ejecuta; lo de alcance o política, el sponsor con el equipo; lo estructural, el Acta y su control de cambios.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trabaja solo:</w:t>
      </w:r>
      <w:r>
        <w:rPr>
          <w:lang w:val="es-ES"/>
        </w:rPr>
        <w:t xml:space="preserve"> </w:t>
      </w:r>
      <w:r>
        <w:rPr>
          <w:lang w:val="es-ES"/>
        </w:rPr>
        <w:t xml:space="preserve">nadie escala decisiones por orgullo ni se queda corto por miedo.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el cuello de botella del</w:t>
      </w:r>
      <w:r>
        <w:rPr>
          <w:lang w:val="es-ES"/>
        </w:rPr>
        <w:t xml:space="preserve"> </w:t>
      </w:r>
      <w:r>
        <w:rPr>
          <w:lang w:val="es-ES"/>
        </w:rPr>
        <w:t xml:space="preserve">“pregúntale al jefe”</w:t>
      </w:r>
      <w:r>
        <w:rPr>
          <w:lang w:val="es-ES"/>
        </w:rPr>
        <w:t xml:space="preserve"> </w:t>
      </w:r>
      <w:r>
        <w:rPr>
          <w:lang w:val="es-ES"/>
        </w:rPr>
        <w:t xml:space="preserve">y la improvisación de quien no debería decidir.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Acta art. 14 (menores: coordinador; mayores: sponsor con CTE).</w:t>
      </w:r>
    </w:p>
    <w:p>
      <w:pPr>
        <w:pStyle w:val="BodyText"/>
      </w:pPr>
      <w:r>
        <w:rPr>
          <w:b/>
          <w:bCs/>
          <w:lang w:val="es-ES"/>
        </w:rPr>
        <w:t xml:space="preserve">GOB26 · Semáforo de salud.</w:t>
      </w:r>
      <w:r>
        <w:rPr>
          <w:lang w:val="es-ES"/>
        </w:rPr>
        <w:t xml:space="preserve"> </w:t>
      </w:r>
      <w:r>
        <w:rPr>
          <w:lang w:val="es-ES"/>
        </w:rPr>
        <w:t xml:space="preserve">Verde, ámbar, rojo con respuesta obligatoria por estado.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trabaja solo:</w:t>
      </w:r>
      <w:r>
        <w:rPr>
          <w:lang w:val="es-ES"/>
        </w:rPr>
        <w:t xml:space="preserve"> </w:t>
      </w:r>
      <w:r>
        <w:rPr>
          <w:lang w:val="es-ES"/>
        </w:rPr>
        <w:t xml:space="preserve">el rojo activa escalamiento sin que nadie tenga que atreverse a hablar.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el dato que se mira y no se toca.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Acta art. 20.</w:t>
      </w:r>
    </w:p>
    <w:p>
      <w:pPr>
        <w:pStyle w:val="BodyText"/>
      </w:pPr>
      <w:r>
        <w:rPr>
          <w:b/>
          <w:bCs/>
          <w:lang w:val="es-ES"/>
        </w:rPr>
        <w:t xml:space="preserve">GOB27 · Escalamiento por umbral.</w:t>
      </w:r>
      <w:r>
        <w:rPr>
          <w:lang w:val="es-ES"/>
        </w:rPr>
        <w:t xml:space="preserve"> </w:t>
      </w:r>
      <w:r>
        <w:rPr>
          <w:lang w:val="es-ES"/>
        </w:rPr>
        <w:t xml:space="preserve">Regla automática: si el indicador cae dos ciclos seguidos, o hay un incidente grave, se sube de nivel de atención inmediatamente.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trabaja solo:</w:t>
      </w:r>
      <w:r>
        <w:rPr>
          <w:lang w:val="es-ES"/>
        </w:rPr>
        <w:t xml:space="preserve"> </w:t>
      </w:r>
      <w:r>
        <w:rPr>
          <w:lang w:val="es-ES"/>
        </w:rPr>
        <w:t xml:space="preserve">no depende de que alguien</w:t>
      </w:r>
      <w:r>
        <w:rPr>
          <w:lang w:val="es-ES"/>
        </w:rPr>
        <w:t xml:space="preserve"> </w:t>
      </w:r>
      <w:r>
        <w:rPr>
          <w:lang w:val="es-ES"/>
        </w:rPr>
        <w:t xml:space="preserve">“se atreva”</w:t>
      </w:r>
      <w:r>
        <w:rPr>
          <w:lang w:val="es-ES"/>
        </w:rPr>
        <w:t xml:space="preserve"> </w:t>
      </w:r>
      <w:r>
        <w:rPr>
          <w:lang w:val="es-ES"/>
        </w:rPr>
        <w:t xml:space="preserve">a avisar.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el problema que se calla hasta que es notorio.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Acta art. 20 (estado rojo) y disparadores del art. 23.</w:t>
      </w:r>
    </w:p>
    <w:p>
      <w:pPr>
        <w:pStyle w:val="BodyText"/>
      </w:pPr>
      <w:r>
        <w:rPr>
          <w:b/>
          <w:bCs/>
          <w:lang w:val="es-ES"/>
        </w:rPr>
        <w:t xml:space="preserve">GOB28 · Cadencia de gobernanza.</w:t>
      </w:r>
      <w:r>
        <w:rPr>
          <w:lang w:val="es-ES"/>
        </w:rPr>
        <w:t xml:space="preserve"> </w:t>
      </w:r>
      <w:r>
        <w:rPr>
          <w:lang w:val="es-ES"/>
        </w:rPr>
        <w:t xml:space="preserve">El ritmo fijo de reuniones y revisiones: semanal para lo operativo, quincenal para lo de diseño, por ciclo para lo de dirección.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trabaja solo:</w:t>
      </w:r>
      <w:r>
        <w:rPr>
          <w:lang w:val="es-ES"/>
        </w:rPr>
        <w:t xml:space="preserve"> </w:t>
      </w:r>
      <w:r>
        <w:rPr>
          <w:lang w:val="es-ES"/>
        </w:rPr>
        <w:t xml:space="preserve">lo pendiente encuentra su foro sin depender de la iniciativa del día.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 las decisiones esperen</w:t>
      </w:r>
      <w:r>
        <w:rPr>
          <w:lang w:val="es-ES"/>
        </w:rPr>
        <w:t xml:space="preserve"> </w:t>
      </w:r>
      <w:r>
        <w:rPr>
          <w:lang w:val="es-ES"/>
        </w:rPr>
        <w:t xml:space="preserve">“el momento oportuno”</w:t>
      </w:r>
      <w:r>
        <w:rPr>
          <w:lang w:val="es-ES"/>
        </w:rPr>
        <w:t xml:space="preserve"> </w:t>
      </w:r>
      <w:r>
        <w:rPr>
          <w:lang w:val="es-ES"/>
        </w:rPr>
        <w:t xml:space="preserve">(que nunca llega).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Acta art. 13 (cadencias del CTE); roadmap F0–F3.</w:t>
      </w:r>
    </w:p>
    <w:p>
      <w:pPr>
        <w:pStyle w:val="BodyText"/>
      </w:pPr>
      <w:r>
        <w:rPr>
          <w:b/>
          <w:bCs/>
          <w:lang w:val="es-ES"/>
        </w:rPr>
        <w:t xml:space="preserve">GOB29 · Ciclos de actualización.</w:t>
      </w:r>
      <w:r>
        <w:rPr>
          <w:lang w:val="es-ES"/>
        </w:rPr>
        <w:t xml:space="preserve"> </w:t>
      </w:r>
      <w:r>
        <w:rPr>
          <w:lang w:val="es-ES"/>
        </w:rPr>
        <w:t xml:space="preserve">Revisión legal semestral, científica anual y mayor trienal, con disparadores extraordinarios.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trabaja solo:</w:t>
      </w:r>
      <w:r>
        <w:rPr>
          <w:lang w:val="es-ES"/>
        </w:rPr>
        <w:t xml:space="preserve"> </w:t>
      </w:r>
      <w:r>
        <w:rPr>
          <w:lang w:val="es-ES"/>
        </w:rPr>
        <w:t xml:space="preserve">el calendario obliga a mirar el entorno aunque no haya crisis.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la obsolescencia silenciosa de la norma y de la evidencia.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Acta arts. 22–23; roadmap de la década.</w:t>
      </w:r>
    </w:p>
    <w:p>
      <w:pPr>
        <w:pStyle w:val="BodyText"/>
      </w:pPr>
      <w:r>
        <w:rPr>
          <w:b/>
          <w:bCs/>
          <w:lang w:val="es-ES"/>
        </w:rPr>
        <w:t xml:space="preserve">GOB30 · Sistema de versiones y tandas.</w:t>
      </w:r>
      <w:r>
        <w:rPr>
          <w:lang w:val="es-ES"/>
        </w:rPr>
        <w:t xml:space="preserve"> </w:t>
      </w:r>
      <w:r>
        <w:rPr>
          <w:lang w:val="es-ES"/>
        </w:rPr>
        <w:t xml:space="preserve">Toda capa mayor se archiva inmutable antes de empezar la siguiente; todo documento vigente lleva versión y fecha.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trabaja solo:</w:t>
      </w:r>
      <w:r>
        <w:rPr>
          <w:lang w:val="es-ES"/>
        </w:rPr>
        <w:t xml:space="preserve"> </w:t>
      </w:r>
      <w:r>
        <w:rPr>
          <w:lang w:val="es-ES"/>
        </w:rPr>
        <w:t xml:space="preserve">el pasado se vuelve inaccesible al olvido —y auditable.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</w:t>
      </w:r>
      <w:r>
        <w:rPr>
          <w:lang w:val="es-ES"/>
        </w:rPr>
        <w:t xml:space="preserve"> </w:t>
      </w:r>
      <w:r>
        <w:rPr>
          <w:lang w:val="es-ES"/>
        </w:rPr>
        <w:t xml:space="preserve">“cómo estaba antes”</w:t>
      </w:r>
      <w:r>
        <w:rPr>
          <w:lang w:val="es-ES"/>
        </w:rPr>
        <w:t xml:space="preserve"> </w:t>
      </w:r>
      <w:r>
        <w:rPr>
          <w:lang w:val="es-ES"/>
        </w:rPr>
        <w:t xml:space="preserve">dependa de la memoria.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README de convención; Acta art. 24.</w:t>
      </w:r>
    </w:p>
    <w:p>
      <w:pPr>
        <w:pStyle w:val="BodyText"/>
      </w:pPr>
      <w:r>
        <w:rPr>
          <w:b/>
          <w:bCs/>
          <w:lang w:val="es-ES"/>
        </w:rPr>
        <w:t xml:space="preserve">GOB31 · Pipeline de generación de documentos.</w:t>
      </w:r>
      <w:r>
        <w:rPr>
          <w:lang w:val="es-ES"/>
        </w:rPr>
        <w:t xml:space="preserve"> </w:t>
      </w:r>
      <w:r>
        <w:rPr>
          <w:lang w:val="es-ES"/>
        </w:rPr>
        <w:t xml:space="preserve">El proceso estandarizado que convierte fuentes vivas (Markdown) en entregas consistentes (DOCX con portada, índice y foliado).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trabaja solo:</w:t>
      </w:r>
      <w:r>
        <w:rPr>
          <w:lang w:val="es-ES"/>
        </w:rPr>
        <w:t xml:space="preserve"> </w:t>
      </w:r>
      <w:r>
        <w:rPr>
          <w:lang w:val="es-ES"/>
        </w:rPr>
        <w:t xml:space="preserve">regenera formatos sin repetir trabajo manual ni divergencias de estilo.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la deriva visual y la pérdida de tiempo en formato.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el pipeline de la serie (reconstruible según el Acta art. 24).</w:t>
      </w:r>
    </w:p>
    <w:p>
      <w:pPr>
        <w:pStyle w:val="BodyText"/>
      </w:pPr>
      <w:r>
        <w:rPr>
          <w:b/>
          <w:bCs/>
          <w:lang w:val="es-ES"/>
        </w:rPr>
        <w:t xml:space="preserve">GOB32 · Ventana de congelación de cambios.</w:t>
      </w:r>
      <w:r>
        <w:rPr>
          <w:lang w:val="es-ES"/>
        </w:rPr>
        <w:t xml:space="preserve"> </w:t>
      </w:r>
      <w:r>
        <w:rPr>
          <w:lang w:val="es-ES"/>
        </w:rPr>
        <w:t xml:space="preserve">Periodos en los que no se aprueban cambios de alcance (por ejemplo, en la última semana de una fase o durante un piloto).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trabaja solo:</w:t>
      </w:r>
      <w:r>
        <w:rPr>
          <w:lang w:val="es-ES"/>
        </w:rPr>
        <w:t xml:space="preserve"> </w:t>
      </w:r>
      <w:r>
        <w:rPr>
          <w:lang w:val="es-ES"/>
        </w:rPr>
        <w:t xml:space="preserve">protege el foco sin negociación diaria.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 el piloto muera de</w:t>
      </w:r>
      <w:r>
        <w:rPr>
          <w:lang w:val="es-ES"/>
        </w:rPr>
        <w:t xml:space="preserve"> </w:t>
      </w:r>
      <w:r>
        <w:rPr>
          <w:lang w:val="es-ES"/>
        </w:rPr>
        <w:t xml:space="preserve">“una idea más”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convención implícita del método piloto→puerta; candidata a formalizarse en control de cambios.</w:t>
      </w:r>
    </w:p>
    <w:p>
      <w:pPr>
        <w:pStyle w:val="BodyText"/>
      </w:pPr>
      <w:r>
        <w:rPr>
          <w:b/>
          <w:bCs/>
          <w:lang w:val="es-ES"/>
        </w:rPr>
        <w:t xml:space="preserve">GOB33 · Revisión por pares obligatoria.</w:t>
      </w:r>
      <w:r>
        <w:rPr>
          <w:lang w:val="es-ES"/>
        </w:rPr>
        <w:t xml:space="preserve"> </w:t>
      </w:r>
      <w:r>
        <w:rPr>
          <w:lang w:val="es-ES"/>
        </w:rPr>
        <w:t xml:space="preserve">Ningún artefacto de impacto sale sin una segunda mirada registrada.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trabaja solo:</w:t>
      </w:r>
      <w:r>
        <w:rPr>
          <w:lang w:val="es-ES"/>
        </w:rPr>
        <w:t xml:space="preserve"> </w:t>
      </w: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lang w:val="es-ES"/>
        </w:rPr>
        <w:t xml:space="preserve">“listo”</w:t>
      </w:r>
      <w:r>
        <w:rPr>
          <w:lang w:val="es-ES"/>
        </w:rPr>
        <w:t xml:space="preserve"> </w:t>
      </w:r>
      <w:r>
        <w:rPr>
          <w:lang w:val="es-ES"/>
        </w:rPr>
        <w:t xml:space="preserve">requiere dos firmas de lectura, no una.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el sesgo de quien está demasiado cerca del texto.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revisión humana de la Puerta G1; revisión trienal con pares externos (Acta art. 23).</w:t>
      </w:r>
    </w:p>
    <w:p>
      <w:pPr>
        <w:pStyle w:val="BodyText"/>
      </w:pPr>
      <w:r>
        <w:rPr>
          <w:b/>
          <w:bCs/>
          <w:lang w:val="es-ES"/>
        </w:rPr>
        <w:t xml:space="preserve">GOB34 · Redundancia de roles (suplentes).</w:t>
      </w:r>
      <w:r>
        <w:rPr>
          <w:lang w:val="es-ES"/>
        </w:rPr>
        <w:t xml:space="preserve"> </w:t>
      </w:r>
      <w:r>
        <w:rPr>
          <w:lang w:val="es-ES"/>
        </w:rPr>
        <w:t xml:space="preserve">Cada rol crítico tiene persona suplente documentada y su inducción al día.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trabaja solo:</w:t>
      </w:r>
      <w:r>
        <w:rPr>
          <w:lang w:val="es-ES"/>
        </w:rPr>
        <w:t xml:space="preserve"> </w:t>
      </w:r>
      <w:r>
        <w:rPr>
          <w:lang w:val="es-ES"/>
        </w:rPr>
        <w:t xml:space="preserve">la ausencia de una persona no detiene el sistema.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el héroe insustituible (antipatrón N1).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SOACH FA-3; Acta art. 13.</w:t>
      </w:r>
    </w:p>
    <w:p>
      <w:pPr>
        <w:pStyle w:val="BodyText"/>
      </w:pPr>
      <w:r>
        <w:rPr>
          <w:b/>
          <w:bCs/>
          <w:lang w:val="es-ES"/>
        </w:rPr>
        <w:t xml:space="preserve">GOB35 · Registro como condición.</w:t>
      </w:r>
      <w:r>
        <w:rPr>
          <w:lang w:val="es-ES"/>
        </w:rPr>
        <w:t xml:space="preserve"> </w:t>
      </w:r>
      <w:r>
        <w:rPr>
          <w:lang w:val="es-ES"/>
        </w:rPr>
        <w:t xml:space="preserve">La regla de que</w:t>
      </w:r>
      <w:r>
        <w:rPr>
          <w:lang w:val="es-ES"/>
        </w:rPr>
        <w:t xml:space="preserve"> </w:t>
      </w:r>
      <w:r>
        <w:rPr>
          <w:lang w:val="es-ES"/>
        </w:rPr>
        <w:t xml:space="preserve">“sin registro no ocurrió”</w:t>
      </w:r>
      <w:r>
        <w:rPr>
          <w:lang w:val="es-ES"/>
        </w:rPr>
        <w:t xml:space="preserve">: nada cuenta si no está escrito con fecha y responsable.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trabaja solo:</w:t>
      </w:r>
      <w:r>
        <w:rPr>
          <w:lang w:val="es-ES"/>
        </w:rPr>
        <w:t xml:space="preserve"> </w:t>
      </w:r>
      <w:r>
        <w:rPr>
          <w:lang w:val="es-ES"/>
        </w:rPr>
        <w:t xml:space="preserve">cambia la conducta del equipo sin sermones.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la memoria generosa y las conversaciones que</w:t>
      </w:r>
      <w:r>
        <w:rPr>
          <w:lang w:val="es-ES"/>
        </w:rPr>
        <w:t xml:space="preserve"> </w:t>
      </w:r>
      <w:r>
        <w:rPr>
          <w:lang w:val="es-ES"/>
        </w:rPr>
        <w:t xml:space="preserve">“se acordaron”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Acta art. 13 (cierre).</w:t>
      </w:r>
    </w:p>
    <w:p>
      <w:r>
        <w:pict>
          <v:rect style="width:0;height:1.5pt" o:hralign="center" o:hrstd="t" o:hr="t"/>
        </w:pict>
      </w:r>
    </w:p>
    <w:bookmarkEnd w:id="11"/>
    <w:bookmarkStart w:id="12" w:name="Xef5e02ed70349678d2c46e5ca4ac743e6bf2e68"/>
    <w:p>
      <w:pPr>
        <w:pStyle w:val="Heading2"/>
      </w:pPr>
      <w:r>
        <w:rPr>
          <w:lang w:val="es-ES"/>
        </w:rPr>
        <w:t xml:space="preserve">3. Herramientas de gobernanza (las técnicas que empuja tu mano)</w:t>
      </w:r>
    </w:p>
    <w:p>
      <w:pPr>
        <w:pStyle w:val="FirstParagraph"/>
      </w:pPr>
      <w:r>
        <w:rPr>
          <w:b/>
          <w:bCs/>
          <w:lang w:val="es-ES"/>
        </w:rPr>
        <w:t xml:space="preserve">GOB36 · FODA y SOACH.</w:t>
      </w:r>
      <w:r>
        <w:rPr>
          <w:lang w:val="es-ES"/>
        </w:rPr>
        <w:t xml:space="preserve"> </w:t>
      </w:r>
      <w:r>
        <w:rPr>
          <w:lang w:val="es-ES"/>
        </w:rPr>
        <w:t xml:space="preserve">Diagnóstico de fuerzas y debilidades, y su cruce en estrategias con acción, responsable y métrica.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al encuadre y en revisiones de ciclo.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 la estrategia sea intuición sin palancas.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foda-programa…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soach-estrategias…</w:t>
      </w:r>
      <w:r>
        <w:rPr>
          <w:lang w:val="es-ES"/>
        </w:rPr>
        <w:t xml:space="preserve"> </w:t>
      </w:r>
      <w:r>
        <w:rPr>
          <w:lang w:val="es-ES"/>
        </w:rPr>
        <w:t xml:space="preserve">del proyecto.</w:t>
      </w:r>
    </w:p>
    <w:p>
      <w:pPr>
        <w:pStyle w:val="BodyText"/>
      </w:pPr>
      <w:r>
        <w:rPr>
          <w:b/>
          <w:bCs/>
          <w:lang w:val="es-ES"/>
        </w:rPr>
        <w:t xml:space="preserve">GOB37 · Mapa de partes interesadas en taller.</w:t>
      </w:r>
      <w:r>
        <w:rPr>
          <w:lang w:val="es-ES"/>
        </w:rPr>
        <w:t xml:space="preserve"> </w:t>
      </w:r>
      <w:r>
        <w:rPr>
          <w:lang w:val="es-ES"/>
        </w:rPr>
        <w:t xml:space="preserve">La sesión en que se dibuja quién es, qué le importa y cómo participa —con el equipo, no solo en el escritorio.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al inicio y ante cambios grandes.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diseños que ignoran a quien afectan.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artefacto GOB21; herramienta de su elaboración.</w:t>
      </w:r>
    </w:p>
    <w:p>
      <w:pPr>
        <w:pStyle w:val="BodyText"/>
      </w:pPr>
      <w:r>
        <w:rPr>
          <w:b/>
          <w:bCs/>
          <w:lang w:val="es-ES"/>
        </w:rPr>
        <w:t xml:space="preserve">GOB38 · Los cinco porqués (causa raíz).</w:t>
      </w:r>
      <w:r>
        <w:rPr>
          <w:lang w:val="es-ES"/>
        </w:rPr>
        <w:t xml:space="preserve"> </w:t>
      </w:r>
      <w:r>
        <w:rPr>
          <w:lang w:val="es-ES"/>
        </w:rPr>
        <w:t xml:space="preserve">Preguntar consecutivamente</w:t>
      </w:r>
      <w:r>
        <w:rPr>
          <w:lang w:val="es-ES"/>
        </w:rPr>
        <w:t xml:space="preserve"> </w:t>
      </w:r>
      <w:r>
        <w:rPr>
          <w:lang w:val="es-ES"/>
        </w:rPr>
        <w:t xml:space="preserve">“¿y por qué?”</w:t>
      </w:r>
      <w:r>
        <w:rPr>
          <w:lang w:val="es-ES"/>
        </w:rPr>
        <w:t xml:space="preserve"> </w:t>
      </w:r>
      <w:r>
        <w:rPr>
          <w:lang w:val="es-ES"/>
        </w:rPr>
        <w:t xml:space="preserve">hasta llegar a algo accionable.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ante un fallo que se repite.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corregir síntomas y programar el mismo problema para el miércoles.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 A6 (sección de causa raíz).</w:t>
      </w:r>
    </w:p>
    <w:p>
      <w:pPr>
        <w:pStyle w:val="BodyText"/>
      </w:pPr>
      <w:r>
        <w:rPr>
          <w:b/>
          <w:bCs/>
          <w:lang w:val="es-ES"/>
        </w:rPr>
        <w:t xml:space="preserve">GOB39 · Retrospectiva facilitada.</w:t>
      </w:r>
      <w:r>
        <w:rPr>
          <w:lang w:val="es-ES"/>
        </w:rPr>
        <w:t xml:space="preserve"> </w:t>
      </w:r>
      <w:r>
        <w:rPr>
          <w:lang w:val="es-ES"/>
        </w:rPr>
        <w:t xml:space="preserve">La reunión de tres preguntas —qué mantenemos, qué cambiamos, qué sorprendió— con datos sobre la mesa y sin culpables.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al cierre de cada fase, sprint o ciclo.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el silencio educado y la opinión sin evidencia.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A6-retrospectiva-y-mejora.md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GOB40 · Preguntas de doble bucle.</w:t>
      </w:r>
      <w:r>
        <w:rPr>
          <w:lang w:val="es-ES"/>
        </w:rPr>
        <w:t xml:space="preserve"> </w:t>
      </w:r>
      <w:r>
        <w:rPr>
          <w:lang w:val="es-ES"/>
        </w:rPr>
        <w:t xml:space="preserve">La pregunta de segundo nivel: ¿la regla que nos trajo aquí sigue vigente?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cuando las mejoras de primer nivel ya no bastan.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perfeccionar el procedimiento equivocado.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 A6 (casilla de doble bucle); Acta art. 14.</w:t>
      </w:r>
    </w:p>
    <w:p>
      <w:pPr>
        <w:pStyle w:val="BodyText"/>
      </w:pPr>
      <w:r>
        <w:rPr>
          <w:b/>
          <w:bCs/>
          <w:lang w:val="es-ES"/>
        </w:rPr>
        <w:t xml:space="preserve">GOB41 · Priorización por impacto y esfuerzo.</w:t>
      </w:r>
      <w:r>
        <w:rPr>
          <w:lang w:val="es-ES"/>
        </w:rPr>
        <w:t xml:space="preserve"> </w:t>
      </w:r>
      <w:r>
        <w:rPr>
          <w:lang w:val="es-ES"/>
        </w:rPr>
        <w:t xml:space="preserve">La matriz simple para decidir qué entra primero: alto impacto y bajo esfuerzo adelanta.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al planificar fases o elegir entre pedidos.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 gane el pedido más ruidoso.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criterio de escalamiento del roadmap (F5) y control de cambios.</w:t>
      </w:r>
    </w:p>
    <w:p>
      <w:pPr>
        <w:pStyle w:val="BodyText"/>
      </w:pPr>
      <w:r>
        <w:rPr>
          <w:b/>
          <w:bCs/>
          <w:lang w:val="es-ES"/>
        </w:rPr>
        <w:t xml:space="preserve">GOB42 · Timeboxing (presupuesto de tiempo).</w:t>
      </w:r>
      <w:r>
        <w:rPr>
          <w:lang w:val="es-ES"/>
        </w:rPr>
        <w:t xml:space="preserve"> </w:t>
      </w:r>
      <w:r>
        <w:rPr>
          <w:lang w:val="es-ES"/>
        </w:rPr>
        <w:t xml:space="preserve">Asignar un tiempo máximo a deliberar y decidir; al vencer, se cierra con lo mejor disponible y se registra.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en decisiones de bajo riesgo.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la deliberación infinita, que es estrés sin recompensa.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práctica de cierre en las sesiones del curso (M1–M8).</w:t>
      </w:r>
    </w:p>
    <w:p>
      <w:pPr>
        <w:pStyle w:val="BodyText"/>
      </w:pPr>
      <w:r>
        <w:rPr>
          <w:b/>
          <w:bCs/>
          <w:lang w:val="es-ES"/>
        </w:rPr>
        <w:t xml:space="preserve">GOB43 · Check-in corto de estado.</w:t>
      </w:r>
      <w:r>
        <w:rPr>
          <w:lang w:val="es-ES"/>
        </w:rPr>
        <w:t xml:space="preserve"> </w:t>
      </w:r>
      <w:r>
        <w:rPr>
          <w:lang w:val="es-ES"/>
        </w:rPr>
        <w:t xml:space="preserve">La ronda breve de apertura: qué hago, qué bloquea, de qué ayuda.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reuniones operativas.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 los bloqueos se escondan hasta el informe final.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práctica de apertura de las sesiones de trabajo del proyecto.</w:t>
      </w:r>
    </w:p>
    <w:p>
      <w:pPr>
        <w:pStyle w:val="BodyText"/>
      </w:pPr>
      <w:r>
        <w:rPr>
          <w:b/>
          <w:bCs/>
          <w:lang w:val="es-ES"/>
        </w:rPr>
        <w:t xml:space="preserve">GOB44 · Tablero visual de trabajo.</w:t>
      </w:r>
      <w:r>
        <w:rPr>
          <w:lang w:val="es-ES"/>
        </w:rPr>
        <w:t xml:space="preserve"> </w:t>
      </w:r>
      <w:r>
        <w:rPr>
          <w:lang w:val="es-ES"/>
        </w:rPr>
        <w:t xml:space="preserve">El espacio (físico o digital) donde las tareas se ven: por hacer, en curso, bloqueada, hecha.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siempre, para trabajo con más de una persona.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 el estado real dependa de recordatorios individuales.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complemento natural del WBS (GOB4) y del acta de reunión (GOB10).</w:t>
      </w:r>
    </w:p>
    <w:p>
      <w:pPr>
        <w:pStyle w:val="BodyText"/>
      </w:pPr>
      <w:r>
        <w:rPr>
          <w:b/>
          <w:bCs/>
          <w:lang w:val="es-ES"/>
        </w:rPr>
        <w:t xml:space="preserve">GOB45 · Auditoría interna con checklist.</w:t>
      </w:r>
      <w:r>
        <w:rPr>
          <w:lang w:val="es-ES"/>
        </w:rPr>
        <w:t xml:space="preserve"> </w:t>
      </w:r>
      <w:r>
        <w:rPr>
          <w:lang w:val="es-ES"/>
        </w:rPr>
        <w:t xml:space="preserve">La autoinspección periódica contra criterios escritos (calidad, ética, cumplimiento).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antes de puertas y en revisiones.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descubrir el incumplimiento el día de la entrega.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checklist de materiales, filtro anti-neuromitos (glosario neuro, bloque J) y auditoría de la Puerta G1.</w:t>
      </w:r>
    </w:p>
    <w:p>
      <w:pPr>
        <w:pStyle w:val="BodyText"/>
      </w:pPr>
      <w:r>
        <w:rPr>
          <w:b/>
          <w:bCs/>
          <w:lang w:val="es-ES"/>
        </w:rPr>
        <w:t xml:space="preserve">GOB46 · Escucha estructurada a partes (entrevista con guion).</w:t>
      </w:r>
      <w:r>
        <w:rPr>
          <w:lang w:val="es-ES"/>
        </w:rPr>
        <w:t xml:space="preserve"> </w:t>
      </w:r>
      <w:r>
        <w:rPr>
          <w:lang w:val="es-ES"/>
        </w:rPr>
        <w:t xml:space="preserve">Preguntar con guion y registrar, antes de decidir: a usuarios, familias, equipo.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en levantamiento de requisitos y en validación.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diseñar con supuestos no verificados.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plantillas A2 (fuentes) y A4 (validación con usuarios).</w:t>
      </w:r>
    </w:p>
    <w:p>
      <w:pPr>
        <w:pStyle w:val="BodyText"/>
      </w:pPr>
      <w:r>
        <w:rPr>
          <w:b/>
          <w:bCs/>
          <w:lang w:val="es-ES"/>
        </w:rPr>
        <w:t xml:space="preserve">GOB47 · Guion de negociación de alcance.</w:t>
      </w:r>
      <w:r>
        <w:rPr>
          <w:lang w:val="es-ES"/>
        </w:rPr>
        <w:t xml:space="preserve"> </w:t>
      </w:r>
      <w:r>
        <w:rPr>
          <w:lang w:val="es-ES"/>
        </w:rPr>
        <w:t xml:space="preserve">Cuando llega un</w:t>
      </w:r>
      <w:r>
        <w:rPr>
          <w:lang w:val="es-ES"/>
        </w:rPr>
        <w:t xml:space="preserve"> </w:t>
      </w:r>
      <w:r>
        <w:rPr>
          <w:lang w:val="es-ES"/>
        </w:rPr>
        <w:t xml:space="preserve">“¿y si agregamos…?”</w:t>
      </w:r>
      <w:r>
        <w:rPr>
          <w:lang w:val="es-ES"/>
        </w:rPr>
        <w:t xml:space="preserve">, la respuesta guionada:</w:t>
      </w:r>
      <w:r>
        <w:rPr>
          <w:lang w:val="es-ES"/>
        </w:rPr>
        <w:t xml:space="preserve"> </w:t>
      </w:r>
      <w:r>
        <w:rPr>
          <w:lang w:val="es-ES"/>
        </w:rPr>
        <w:t xml:space="preserve">“sí es posible; requiere cambiar X o Y; lo decidimos con control de cambios”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ante cada petición post-firma.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el sí tonto que deriva el proyecto.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plantilla A5 (sección de control de cambios).</w:t>
      </w:r>
    </w:p>
    <w:p>
      <w:pPr>
        <w:pStyle w:val="BodyText"/>
      </w:pPr>
      <w:r>
        <w:rPr>
          <w:b/>
          <w:bCs/>
          <w:lang w:val="es-ES"/>
        </w:rPr>
        <w:t xml:space="preserve">GOB48 · Demostración de estado (demo).</w:t>
      </w:r>
      <w:r>
        <w:rPr>
          <w:lang w:val="es-ES"/>
        </w:rPr>
        <w:t xml:space="preserve"> </w:t>
      </w:r>
      <w:r>
        <w:rPr>
          <w:lang w:val="es-ES"/>
        </w:rPr>
        <w:t xml:space="preserve">Mostrar el avance real, en uso, ante el equipo o el beneficiario.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al cierre de iteraciones.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</w:t>
      </w:r>
      <w:r>
        <w:rPr>
          <w:lang w:val="es-ES"/>
        </w:rPr>
        <w:t xml:space="preserve"> </w:t>
      </w:r>
      <w:r>
        <w:rPr>
          <w:lang w:val="es-ES"/>
        </w:rPr>
        <w:t xml:space="preserve">“avanzado”</w:t>
      </w:r>
      <w:r>
        <w:rPr>
          <w:lang w:val="es-ES"/>
        </w:rPr>
        <w:t xml:space="preserve"> </w:t>
      </w:r>
      <w:r>
        <w:rPr>
          <w:lang w:val="es-ES"/>
        </w:rPr>
        <w:t xml:space="preserve">signifique</w:t>
      </w:r>
      <w:r>
        <w:rPr>
          <w:lang w:val="es-ES"/>
        </w:rPr>
        <w:t xml:space="preserve"> </w:t>
      </w:r>
      <w:r>
        <w:rPr>
          <w:lang w:val="es-ES"/>
        </w:rPr>
        <w:t xml:space="preserve">“presentación bonita”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DoD de la iteración en la plantilla D1 (demo con usuario o datos).</w:t>
      </w:r>
    </w:p>
    <w:p>
      <w:pPr>
        <w:pStyle w:val="BodyText"/>
      </w:pPr>
      <w:r>
        <w:rPr>
          <w:b/>
          <w:bCs/>
          <w:lang w:val="es-ES"/>
        </w:rPr>
        <w:t xml:space="preserve">GOB49 · Contraloría de uno (autoinspección con preguntas guía).</w:t>
      </w:r>
      <w:r>
        <w:rPr>
          <w:lang w:val="es-ES"/>
        </w:rPr>
        <w:t xml:space="preserve"> </w:t>
      </w:r>
      <w:r>
        <w:rPr>
          <w:lang w:val="es-ES"/>
        </w:rPr>
        <w:t xml:space="preserve">El hábito personal de revisar la propia decisión con las preguntas del sistema: ¿mi fuente? ¿mi supuesto? ¿mi alcance?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antes de cada decisión relevante.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que la confianza sustituya al criterio.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el espíritu de las reglas de uso de axiomas y de neuroepistemología (</w:t>
      </w:r>
      <w:r>
        <w:rPr>
          <w:rStyle w:val="VerbatimChar"/>
          <w:lang w:val="es-ES"/>
        </w:rPr>
        <w:t xml:space="preserve">neuroepistemologia-compendio.md</w:t>
      </w:r>
      <w:r>
        <w:rPr>
          <w:lang w:val="es-ES"/>
        </w:rPr>
        <w:t xml:space="preserve">).</w:t>
      </w:r>
    </w:p>
    <w:p>
      <w:pPr>
        <w:pStyle w:val="BodyText"/>
      </w:pPr>
      <w:r>
        <w:rPr>
          <w:b/>
          <w:bCs/>
          <w:lang w:val="es-ES"/>
        </w:rPr>
        <w:t xml:space="preserve">GOB50 · Reunión de decisión (no de información).</w:t>
      </w:r>
      <w:r>
        <w:rPr>
          <w:lang w:val="es-ES"/>
        </w:rPr>
        <w:t xml:space="preserve"> </w:t>
      </w:r>
      <w:r>
        <w:rPr>
          <w:lang w:val="es-ES"/>
        </w:rPr>
        <w:t xml:space="preserve">Formato: una sola pregunta de decisión, contexto mínimo, alternativas, cierre con responsable y fecha.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Cuándo:</w:t>
      </w:r>
      <w:r>
        <w:rPr>
          <w:lang w:val="es-ES"/>
        </w:rPr>
        <w:t xml:space="preserve"> </w:t>
      </w:r>
      <w:r>
        <w:rPr>
          <w:lang w:val="es-ES"/>
        </w:rPr>
        <w:t xml:space="preserve">cuando hay que decidir, no cuando hay que informar.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Evita:</w:t>
      </w:r>
      <w:r>
        <w:rPr>
          <w:lang w:val="es-ES"/>
        </w:rPr>
        <w:t xml:space="preserve"> </w:t>
      </w:r>
      <w:r>
        <w:rPr>
          <w:lang w:val="es-ES"/>
        </w:rPr>
        <w:t xml:space="preserve">la reunión sin decisión (antipatrón N2).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Aquí vive:</w:t>
      </w:r>
      <w:r>
        <w:rPr>
          <w:lang w:val="es-ES"/>
        </w:rPr>
        <w:t xml:space="preserve"> </w:t>
      </w:r>
      <w:r>
        <w:rPr>
          <w:lang w:val="es-ES"/>
        </w:rPr>
        <w:t xml:space="preserve">Acta art. 13 y actas GOB10.</w:t>
      </w:r>
    </w:p>
    <w:p>
      <w:r>
        <w:pict>
          <v:rect style="width:0;height:1.5pt" o:hralign="center" o:hrstd="t" o:hr="t"/>
        </w:pict>
      </w:r>
    </w:p>
    <w:bookmarkEnd w:id="12"/>
    <w:bookmarkStart w:id="13" w:name="Xb96ab98e566e2bd6d2b1187d383c79a53dcecbb"/>
    <w:p>
      <w:pPr>
        <w:pStyle w:val="Heading2"/>
      </w:pPr>
      <w:r>
        <w:rPr>
          <w:lang w:val="es-ES"/>
        </w:rPr>
        <w:t xml:space="preserve">4. Kit mínimo de gobernanza según el tamaño del proyecto</w:t>
      </w:r>
    </w:p>
    <w:p>
      <w:pPr>
        <w:pStyle w:val="FirstParagraph"/>
      </w:pPr>
      <w:r>
        <w:rPr>
          <w:b/>
          <w:bCs/>
          <w:lang w:val="es-ES"/>
        </w:rPr>
        <w:t xml:space="preserve">Si trabajas solo</w:t>
      </w:r>
      <w:r>
        <w:rPr>
          <w:lang w:val="es-ES"/>
        </w:rPr>
        <w:t xml:space="preserve"> </w:t>
      </w:r>
      <w:r>
        <w:rPr>
          <w:lang w:val="es-ES"/>
        </w:rPr>
        <w:t xml:space="preserve">(proyecto personal, estudio — plantilla S1): encuadre (GOB2), requisitos con criterio (GOB3), registro de decisiones mínimo (GOB9), presupuesto de tiempo (GOB42) y retrospectiva mensual (GOB39). Cinco cosas bastan para no perderte.</w:t>
      </w:r>
    </w:p>
    <w:p>
      <w:pPr>
        <w:pStyle w:val="BodyText"/>
      </w:pPr>
      <w:r>
        <w:rPr>
          <w:b/>
          <w:bCs/>
          <w:lang w:val="es-ES"/>
        </w:rPr>
        <w:t xml:space="preserve">Si son de 2 a 8 personas</w:t>
      </w:r>
      <w:r>
        <w:rPr>
          <w:lang w:val="es-ES"/>
        </w:rPr>
        <w:t xml:space="preserve"> </w:t>
      </w:r>
      <w:r>
        <w:rPr>
          <w:lang w:val="es-ES"/>
        </w:rPr>
        <w:t xml:space="preserve">(equipo pequeño, taller, emprendimiento): suma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Acta breve</w:t>
      </w:r>
      <w:r>
        <w:rPr>
          <w:lang w:val="es-ES"/>
        </w:rPr>
        <w:t xml:space="preserve"> </w:t>
      </w:r>
      <w:r>
        <w:rPr>
          <w:lang w:val="es-ES"/>
        </w:rPr>
        <w:t xml:space="preserve">(GOB1 versión corta: alcance, roles RACI, políticas de datos y trato), riesgos (GOB11), cadencia de reuniones (GOB28), tablero (GOB44) y actas con acuerdos (GOB10). Y una puerta simple: nada avanza sin su DoD (GOB13).</w:t>
      </w:r>
    </w:p>
    <w:p>
      <w:pPr>
        <w:pStyle w:val="BodyText"/>
      </w:pPr>
      <w:r>
        <w:rPr>
          <w:b/>
          <w:bCs/>
          <w:lang w:val="es-ES"/>
        </w:rPr>
        <w:t xml:space="preserve">Si es una organización o programa</w:t>
      </w:r>
      <w:r>
        <w:rPr>
          <w:lang w:val="es-ES"/>
        </w:rPr>
        <w:t xml:space="preserve"> </w:t>
      </w:r>
      <w:r>
        <w:rPr>
          <w:lang w:val="es-ES"/>
        </w:rPr>
        <w:t xml:space="preserve">(escuela, plataforma, red): añade formalidad —ciclos de actualización (GOB29), versionado con tandas (GOB30), informes de ciclo (GOB15), redundancia de roles (GOB34), consentimientos y políticas de datos (GOB7, GOB16), revisión por pares (GOB33) y presupuesto con autorizaciones (GOB22).</w:t>
      </w:r>
    </w:p>
    <w:p>
      <w:pPr>
        <w:pStyle w:val="BodyText"/>
      </w:pPr>
      <w:r>
        <w:rPr>
          <w:b/>
          <w:bCs/>
          <w:lang w:val="es-ES"/>
        </w:rPr>
        <w:t xml:space="preserve">Regla de progresión</w:t>
      </w:r>
      <w:r>
        <w:rPr>
          <w:lang w:val="es-ES"/>
        </w:rPr>
        <w:t xml:space="preserve">: nunca se salta de</w:t>
      </w:r>
      <w:r>
        <w:rPr>
          <w:lang w:val="es-ES"/>
        </w:rPr>
        <w:t xml:space="preserve"> </w:t>
      </w:r>
      <w:r>
        <w:rPr>
          <w:lang w:val="es-ES"/>
        </w:rPr>
        <w:t xml:space="preserve">“solo”</w:t>
      </w:r>
      <w:r>
        <w:rPr>
          <w:lang w:val="es-ES"/>
        </w:rPr>
        <w:t xml:space="preserve"> </w:t>
      </w:r>
      <w:r>
        <w:rPr>
          <w:lang w:val="es-ES"/>
        </w:rPr>
        <w:t xml:space="preserve">a</w:t>
      </w:r>
      <w:r>
        <w:rPr>
          <w:lang w:val="es-ES"/>
        </w:rPr>
        <w:t xml:space="preserve"> </w:t>
      </w:r>
      <w:r>
        <w:rPr>
          <w:lang w:val="es-ES"/>
        </w:rPr>
        <w:t xml:space="preserve">“organización”</w:t>
      </w:r>
      <w:r>
        <w:rPr>
          <w:lang w:val="es-ES"/>
        </w:rPr>
        <w:t xml:space="preserve"> </w:t>
      </w:r>
      <w:r>
        <w:rPr>
          <w:lang w:val="es-ES"/>
        </w:rPr>
        <w:t xml:space="preserve">de golpe; cada nivel agrega dispositivos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una vez que los anteriores ya operan solos</w:t>
      </w:r>
      <w:r>
        <w:rPr>
          <w:lang w:val="es-ES"/>
        </w:rPr>
        <w:t xml:space="preserve">. Un Acta sin cadencia es papel; una cadencia sin registro es rutina vacía.</w:t>
      </w:r>
    </w:p>
    <w:p>
      <w:r>
        <w:pict>
          <v:rect style="width:0;height:1.5pt" o:hralign="center" o:hrstd="t" o:hr="t"/>
        </w:pict>
      </w:r>
    </w:p>
    <w:bookmarkEnd w:id="13"/>
    <w:bookmarkStart w:id="14" w:name="X13e345bf950cb0e224a1b715a47440aa6bd4bfc"/>
    <w:p>
      <w:pPr>
        <w:pStyle w:val="Heading2"/>
      </w:pPr>
      <w:r>
        <w:rPr>
          <w:lang w:val="es-ES"/>
        </w:rPr>
        <w:t xml:space="preserve">5. Señales de gobernanza enferma (para reconocerlas a tiempo)</w:t>
      </w:r>
    </w:p>
    <w:p>
      <w:pPr>
        <w:pStyle w:val="FirstParagraph"/>
      </w:pPr>
      <w:r>
        <w:rPr>
          <w:lang w:val="es-ES"/>
        </w:rPr>
        <w:t xml:space="preserve">Diez síntomas y su antídoto directo: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 deciden cosas en pasillos</w:t>
      </w:r>
      <w:r>
        <w:rPr>
          <w:lang w:val="es-ES"/>
        </w:rPr>
        <w:t xml:space="preserve"> </w:t>
      </w:r>
      <w:r>
        <w:rPr>
          <w:lang w:val="es-ES"/>
        </w:rPr>
        <w:t xml:space="preserve">→ escalera de decisión y actas (GOB25, GOB10).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Todo es urgente</w:t>
      </w:r>
      <w:r>
        <w:rPr>
          <w:lang w:val="es-ES"/>
        </w:rPr>
        <w:t xml:space="preserve"> </w:t>
      </w:r>
      <w:r>
        <w:rPr>
          <w:lang w:val="es-ES"/>
        </w:rPr>
        <w:t xml:space="preserve">→ priorización (GOB41) y ventanas de congelación (GOB32).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Nadie sabe qué versión es la buena</w:t>
      </w:r>
      <w:r>
        <w:rPr>
          <w:lang w:val="es-ES"/>
        </w:rPr>
        <w:t xml:space="preserve"> </w:t>
      </w:r>
      <w:r>
        <w:rPr>
          <w:lang w:val="es-ES"/>
        </w:rPr>
        <w:t xml:space="preserve">→ versionado (GOB12, GOB30).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Las métricas no se leen</w:t>
      </w:r>
      <w:r>
        <w:rPr>
          <w:lang w:val="es-ES"/>
        </w:rPr>
        <w:t xml:space="preserve"> </w:t>
      </w:r>
      <w:r>
        <w:rPr>
          <w:lang w:val="es-ES"/>
        </w:rPr>
        <w:t xml:space="preserve">→ semáforo con acción obligatoria (GOB26).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Las reuniones no cierran acuerdos</w:t>
      </w:r>
      <w:r>
        <w:rPr>
          <w:lang w:val="es-ES"/>
        </w:rPr>
        <w:t xml:space="preserve"> </w:t>
      </w:r>
      <w:r>
        <w:rPr>
          <w:lang w:val="es-ES"/>
        </w:rPr>
        <w:t xml:space="preserve">→ reunión de decisión (GOB50).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 firma sin condiciones</w:t>
      </w:r>
      <w:r>
        <w:rPr>
          <w:lang w:val="es-ES"/>
        </w:rPr>
        <w:t xml:space="preserve"> </w:t>
      </w:r>
      <w:r>
        <w:rPr>
          <w:lang w:val="es-ES"/>
        </w:rPr>
        <w:t xml:space="preserve">→ puertas y entrada en vigor (GOB23, GOB24).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 solo irremplazable</w:t>
      </w:r>
      <w:r>
        <w:rPr>
          <w:lang w:val="es-ES"/>
        </w:rPr>
        <w:t xml:space="preserve"> </w:t>
      </w:r>
      <w:r>
        <w:rPr>
          <w:lang w:val="es-ES"/>
        </w:rPr>
        <w:t xml:space="preserve">→ redundancia de roles (GOB34).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error se oculta</w:t>
      </w:r>
      <w:r>
        <w:rPr>
          <w:lang w:val="es-ES"/>
        </w:rPr>
        <w:t xml:space="preserve"> </w:t>
      </w:r>
      <w:r>
        <w:rPr>
          <w:lang w:val="es-ES"/>
        </w:rPr>
        <w:t xml:space="preserve">→ retrospectiva sin culpables (GOB39, GOB38).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Los cambios entran por la ventana</w:t>
      </w:r>
      <w:r>
        <w:rPr>
          <w:lang w:val="es-ES"/>
        </w:rPr>
        <w:t xml:space="preserve"> </w:t>
      </w:r>
      <w:r>
        <w:rPr>
          <w:lang w:val="es-ES"/>
        </w:rPr>
        <w:t xml:space="preserve">→ control de cambios con guion (GOB12, GOB47).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norma cambió y nadie lo sabe</w:t>
      </w:r>
      <w:r>
        <w:rPr>
          <w:lang w:val="es-ES"/>
        </w:rPr>
        <w:t xml:space="preserve"> </w:t>
      </w:r>
      <w:r>
        <w:rPr>
          <w:lang w:val="es-ES"/>
        </w:rPr>
        <w:t xml:space="preserve">→ ciclos de actualización (GOB29).</w:t>
      </w:r>
    </w:p>
    <w:p>
      <w:r>
        <w:pict>
          <v:rect style="width:0;height:1.5pt" o:hralign="center" o:hrstd="t" o:hr="t"/>
        </w:pict>
      </w:r>
    </w:p>
    <w:bookmarkEnd w:id="14"/>
    <w:bookmarkStart w:id="15" w:name="Xac9f70cb07caf3ed94916e1a464caba0a7e9f1a"/>
    <w:p>
      <w:pPr>
        <w:pStyle w:val="Heading2"/>
      </w:pPr>
      <w:r>
        <w:rPr>
          <w:lang w:val="es-ES"/>
        </w:rPr>
        <w:t xml:space="preserve">6. Cómo ejercerla: seis prácticas de arranque</w:t>
      </w:r>
    </w:p>
    <w:p>
      <w:pPr>
        <w:pStyle w:val="FirstParagraph"/>
      </w:pPr>
      <w:r>
        <w:rPr>
          <w:b/>
          <w:bCs/>
          <w:lang w:val="es-ES"/>
        </w:rPr>
        <w:t xml:space="preserve">Primera:</w:t>
      </w:r>
      <w:r>
        <w:rPr>
          <w:lang w:val="es-ES"/>
        </w:rPr>
        <w:t xml:space="preserve"> </w:t>
      </w:r>
      <w:r>
        <w:rPr>
          <w:lang w:val="es-ES"/>
        </w:rPr>
        <w:t xml:space="preserve">escribe hoy mismo un encuadre de una página de cualquier proyecto que estés llevando (GOB2). Si no puedes llenar</w:t>
      </w:r>
      <w:r>
        <w:rPr>
          <w:lang w:val="es-ES"/>
        </w:rPr>
        <w:t xml:space="preserve"> </w:t>
      </w:r>
      <w:r>
        <w:rPr>
          <w:lang w:val="es-ES"/>
        </w:rPr>
        <w:t xml:space="preserve">“fuera de alcance”</w:t>
      </w:r>
      <w:r>
        <w:rPr>
          <w:lang w:val="es-ES"/>
        </w:rPr>
        <w:t xml:space="preserve">, no empieces.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Segunda:</w:t>
      </w:r>
      <w:r>
        <w:rPr>
          <w:lang w:val="es-ES"/>
        </w:rPr>
        <w:t xml:space="preserve"> </w:t>
      </w:r>
      <w:r>
        <w:rPr>
          <w:lang w:val="es-ES"/>
        </w:rPr>
        <w:t xml:space="preserve">pon un RACI de cinco renglones donde cada tarea tenga dueño (GOB5) — verás desaparecer la mitad de los malentendidos.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Tercera:</w:t>
      </w:r>
      <w:r>
        <w:rPr>
          <w:lang w:val="es-ES"/>
        </w:rPr>
        <w:t xml:space="preserve"> </w:t>
      </w:r>
      <w:r>
        <w:rPr>
          <w:lang w:val="es-ES"/>
        </w:rPr>
        <w:t xml:space="preserve">instala una cadencia: una reunión corta semanal con acta de acuerdos (GOB28, GOB10).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Cuarta:</w:t>
      </w:r>
      <w:r>
        <w:rPr>
          <w:lang w:val="es-ES"/>
        </w:rPr>
        <w:t xml:space="preserve"> </w:t>
      </w:r>
      <w:r>
        <w:rPr>
          <w:lang w:val="es-ES"/>
        </w:rPr>
        <w:t xml:space="preserve">define un DoD por fase antes de que empiece (GOB13); sin él,</w:t>
      </w:r>
      <w:r>
        <w:rPr>
          <w:lang w:val="es-ES"/>
        </w:rPr>
        <w:t xml:space="preserve"> </w:t>
      </w:r>
      <w:r>
        <w:rPr>
          <w:lang w:val="es-ES"/>
        </w:rPr>
        <w:t xml:space="preserve">“terminado”</w:t>
      </w:r>
      <w:r>
        <w:rPr>
          <w:lang w:val="es-ES"/>
        </w:rPr>
        <w:t xml:space="preserve"> </w:t>
      </w:r>
      <w:r>
        <w:rPr>
          <w:lang w:val="es-ES"/>
        </w:rPr>
        <w:t xml:space="preserve">es poesía.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Quinta:</w:t>
      </w:r>
      <w:r>
        <w:rPr>
          <w:lang w:val="es-ES"/>
        </w:rPr>
        <w:t xml:space="preserve"> </w:t>
      </w:r>
      <w:r>
        <w:rPr>
          <w:lang w:val="es-ES"/>
        </w:rPr>
        <w:t xml:space="preserve">ten un registro de decisiones aunque sea de una columna (GOB9) — tu yo de dentro de seis meses te lo agradecerá.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Sexta:</w:t>
      </w:r>
      <w:r>
        <w:rPr>
          <w:lang w:val="es-ES"/>
        </w:rPr>
        <w:t xml:space="preserve"> </w:t>
      </w:r>
      <w:r>
        <w:rPr>
          <w:lang w:val="es-ES"/>
        </w:rPr>
        <w:t xml:space="preserve">agenda una retrospectiva real con datos, no con impresiones (GOB39), y si no cambia nada tras ella, pregúntate con doble bucle por qué (GOB40).</w:t>
      </w:r>
    </w:p>
    <w:p>
      <w:pPr>
        <w:pStyle w:val="BodyText"/>
      </w:pPr>
      <w:r>
        <w:rPr>
          <w:lang w:val="es-ES"/>
        </w:rPr>
        <w:t xml:space="preserve">Y una advertencia final, de las que este proyecto escribe en sus propios documentos: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gobernanza sirve a las personas, no al revés</w:t>
      </w:r>
      <w:r>
        <w:rPr>
          <w:lang w:val="es-ES"/>
        </w:rPr>
        <w:t xml:space="preserve">. Si un dispositivo de este inventario empieza a exigirle a alguien que exponga a un niño, que trabaje de más o que calle un problema, el dispositivo está mal, no la persona —se diseña de nuevo (IG43, no daño; IG48, ética de la métrica).</w:t>
      </w:r>
    </w:p>
    <w:p>
      <w:r>
        <w:pict>
          <v:rect style="width:0;height:1.5pt" o:hralign="center" o:hrstd="t" o:hr="t"/>
        </w:pict>
      </w:r>
    </w:p>
    <w:bookmarkEnd w:id="15"/>
    <w:bookmarkStart w:id="16" w:name="Xbf1954657698931de10f72f3c99ab8d1258f048"/>
    <w:p>
      <w:pPr>
        <w:pStyle w:val="Heading2"/>
      </w:pPr>
      <w:r>
        <w:rPr>
          <w:lang w:val="es-ES"/>
        </w:rPr>
        <w:t xml:space="preserve">7. Modelo de referencia en diez categorías (marco adoptado)</w:t>
      </w:r>
    </w:p>
    <w:p>
      <w:pPr>
        <w:pStyle w:val="FirstParagraph"/>
      </w:pPr>
      <w:r>
        <w:rPr>
          <w:lang w:val="es-ES"/>
        </w:rPr>
        <w:t xml:space="preserve">El proyecto adopta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marco de referencia</w:t>
      </w:r>
      <w:r>
        <w:rPr>
          <w:lang w:val="es-ES"/>
        </w:rPr>
        <w:t xml:space="preserve"> </w:t>
      </w:r>
      <w:r>
        <w:rPr>
          <w:lang w:val="es-ES"/>
        </w:rPr>
        <w:t xml:space="preserve">un inventario de gobernanza de proyectos aportado para esta capa, organizado en diez categorías. No sustituye al inventario GOB1–GOB50 de este documento: lo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estructura</w:t>
      </w:r>
      <w:r>
        <w:rPr>
          <w:lang w:val="es-ES"/>
        </w:rPr>
        <w:t xml:space="preserve">. Un inventario de gobernanza es el conjunto de artefactos, documentos, roles, procesos, dispositivos, métricas y evidencias que permiten dirigir, controlar, decidir, rendir cuentas y asegurar que el proyecto genere valor dentro de los límites aprobados. No existe una lista única universal: se adapta al tamaño, la criticidad, el sector, la regulación y la metodología (predictiva, ágil o híbrida).</w:t>
      </w:r>
    </w:p>
    <w:p>
      <w:pPr>
        <w:pStyle w:val="BodyText"/>
      </w:pPr>
      <w:r>
        <w:rPr>
          <w:b/>
          <w:bCs/>
          <w:lang w:val="es-ES"/>
        </w:rPr>
        <w:t xml:space="preserve">Categoría 1 — Marco estratégico y actas de constitución:</w:t>
      </w:r>
      <w:r>
        <w:rPr>
          <w:lang w:val="es-ES"/>
        </w:rPr>
        <w:t xml:space="preserve"> </w:t>
      </w:r>
      <w:r>
        <w:rPr>
          <w:lang w:val="es-ES"/>
        </w:rPr>
        <w:t xml:space="preserve">caso de negocio, acta de constitución (charters), plan estratégico y alineación, mapa de beneficios, roadmap, criterios de éxito/aceptación/cierre, análisis costo-beneficio (ROI, VAN, TIR, payback) y decisión Go/No-Go.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Cobertura aquí:</w:t>
      </w:r>
      <w:r>
        <w:rPr>
          <w:lang w:val="es-ES"/>
        </w:rPr>
        <w:t xml:space="preserve"> </w:t>
      </w:r>
      <w:r>
        <w:rPr>
          <w:lang w:val="es-ES"/>
        </w:rPr>
        <w:t xml:space="preserve">Acta (GOB1), encuadre (GOB2), criterios (GOB13), roadmap del proyecto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falta: caso de negocio formal (→ GOB51, plantilla creada)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Categoría 2 — Planes de gestión y líneas base:</w:t>
      </w:r>
      <w:r>
        <w:rPr>
          <w:lang w:val="es-ES"/>
        </w:rPr>
        <w:t xml:space="preserve"> </w:t>
      </w:r>
      <w:r>
        <w:rPr>
          <w:lang w:val="es-ES"/>
        </w:rPr>
        <w:t xml:space="preserve">plan de dirección, líneas base de alcance/cronograma/costo, EDT–WBS y diccionario, cronograma maestro e hitos, presupuesto, recursos, adquisiciones, calidad, riesgos, comunicación, interesados, cambios, configuración, transición/cierre y ESG.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Cobertura:</w:t>
      </w:r>
      <w:r>
        <w:rPr>
          <w:lang w:val="es-ES"/>
        </w:rPr>
        <w:t xml:space="preserve"> </w:t>
      </w:r>
      <w:r>
        <w:rPr>
          <w:lang w:val="es-ES"/>
        </w:rPr>
        <w:t xml:space="preserve">plan (GOB4), líneas base (GOB14), riesgos (GOB11), cambios (GOB12), WBS (GOB4 parcial), presupuesto (GOB22, plantilla creada)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faltan con peso: plan de comunicación, plan de adquisiciones, plan de transición/cierre, sostenibilidad (marcados como pendientes del sector)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Categoría 3 — Órganos, roles y responsabilidades:</w:t>
      </w:r>
      <w:r>
        <w:rPr>
          <w:lang w:val="es-ES"/>
        </w:rPr>
        <w:t xml:space="preserve"> </w:t>
      </w:r>
      <w:r>
        <w:rPr>
          <w:lang w:val="es-ES"/>
        </w:rPr>
        <w:t xml:space="preserve">comité directivo, sponsor, director/a de proyecto, PMO, comité de cambios (CCB), comité de riesgos, comité de arquitectura/seguridad/datos, auditoría, roles ágiles (PO, SM), líderes, secretario/a documental, matriz RACI/RASCI, organigrama del proyecto y matriz de escalamiento/delegación.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Cobertura:</w:t>
      </w:r>
      <w:r>
        <w:rPr>
          <w:lang w:val="es-ES"/>
        </w:rPr>
        <w:t xml:space="preserve"> </w:t>
      </w:r>
      <w:r>
        <w:rPr>
          <w:lang w:val="es-ES"/>
        </w:rPr>
        <w:t xml:space="preserve">RACI (GOB5), sponsor/coordinador/CTE (Acta art. 13), escalera de decisión (GOB25, plantilla creada), auditoría (GOB45)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aplica según enfoque:</w:t>
      </w:r>
      <w:r>
        <w:rPr>
          <w:lang w:val="es-ES"/>
        </w:rPr>
        <w:t xml:space="preserve"> </w:t>
      </w:r>
      <w:r>
        <w:rPr>
          <w:lang w:val="es-ES"/>
        </w:rPr>
        <w:t xml:space="preserve">PO/SM sólo en equipos ágiles; comité de datos, sólo si el proyecto maneja datos sensibles a escala.</w:t>
      </w:r>
    </w:p>
    <w:p>
      <w:pPr>
        <w:pStyle w:val="BodyText"/>
      </w:pPr>
      <w:r>
        <w:rPr>
          <w:b/>
          <w:bCs/>
          <w:lang w:val="es-ES"/>
        </w:rPr>
        <w:t xml:space="preserve">Categoría 4 — Artefactos de control, decisión y seguimiento:</w:t>
      </w:r>
      <w:r>
        <w:rPr>
          <w:lang w:val="es-ES"/>
        </w:rPr>
        <w:t xml:space="preserve"> </w:t>
      </w:r>
      <w:r>
        <w:rPr>
          <w:lang w:val="es-ES"/>
        </w:rPr>
        <w:t xml:space="preserve">registros de interesados, riesgos/problemas, cambios, decisiones, supuestos; actas; informes de estado; cuadro de mando; umbrales de tolerancia; matriz de escalamiento; lecciones aprendidas; beneficios realizados; artefactos ágiles (backlog, DoD, burndown, velocity).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Cobertura:</w:t>
      </w:r>
      <w:r>
        <w:rPr>
          <w:lang w:val="es-ES"/>
        </w:rPr>
        <w:t xml:space="preserve"> </w:t>
      </w:r>
      <w:r>
        <w:rPr>
          <w:lang w:val="es-ES"/>
        </w:rPr>
        <w:t xml:space="preserve">GOB9, GOB10, GOB11, GOB12, GOB14, GOB17, GOB21, GOB26, plantillas A5/A6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faltan: registro de supuestos formal (parcial en A3) y registro de problemas (se añade dentro de la plantilla GOB9)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Categoría 5 — Documentación legal, contractual y de cumplimiento:</w:t>
      </w:r>
      <w:r>
        <w:rPr>
          <w:lang w:val="es-ES"/>
        </w:rPr>
        <w:t xml:space="preserve"> </w:t>
      </w:r>
      <w:r>
        <w:rPr>
          <w:lang w:val="es-ES"/>
        </w:rPr>
        <w:t xml:space="preserve">contratos/SOW, NDA, SLA, licencias, matriz de cumplimiento, privacidad y seguridad, propiedad intelectual, evidencias de auditoría y firmas, conflictos de interés, código de conducta y canal de denuncias.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Cobertura:</w:t>
      </w:r>
      <w:r>
        <w:rPr>
          <w:lang w:val="es-ES"/>
        </w:rPr>
        <w:t xml:space="preserve"> </w:t>
      </w:r>
      <w:r>
        <w:rPr>
          <w:lang w:val="es-ES"/>
        </w:rPr>
        <w:t xml:space="preserve">consentimiento (GOB16, plantilla), política de protección (GOB7, plantilla), código de conducta (GOB8, plantilla), acuerdos con terceros (GOB19, plantilla), propiedad intelectual (Acta art. 10), ciclos legales (GOB29)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falta: registro de conflictos de interés (pendiente, formato breve)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Categoría 6 — Herramientas, dispositivos y plataformas tecnológicas:</w:t>
      </w:r>
      <w:r>
        <w:rPr>
          <w:lang w:val="es-ES"/>
        </w:rPr>
        <w:t xml:space="preserve"> </w:t>
      </w:r>
      <w:r>
        <w:rPr>
          <w:lang w:val="es-ES"/>
        </w:rPr>
        <w:t xml:space="preserve">plataformas de gestión (Jira, Asana, MS Project, Trello…), repositorios (SharePoint, Confluence…), BI (Power BI, Tableau…), ERP, colaboración (Teams, Slack, Zoom…), firma electrónica, seguridad (SSO, MFA), hardware, salas, modelado, tickets/ITSM y despliegue.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Decisión de este proyecto:</w:t>
      </w:r>
      <w:r>
        <w:rPr>
          <w:lang w:val="es-ES"/>
        </w:rPr>
        <w:t xml:space="preserve"> </w:t>
      </w:r>
      <w:r>
        <w:rPr>
          <w:lang w:val="es-ES"/>
        </w:rPr>
        <w:t xml:space="preserve">se cubre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equivalentes FOSS gratuitos y de código abierto</w:t>
      </w:r>
      <w:r>
        <w:rPr>
          <w:lang w:val="es-ES"/>
        </w:rPr>
        <w:t xml:space="preserve">, documentados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plataformas-fooss-de-gobernanza.md</w:t>
      </w:r>
      <w:r>
        <w:rPr>
          <w:lang w:val="es-ES"/>
        </w:rPr>
        <w:t xml:space="preserve"> </w:t>
      </w:r>
      <w:r>
        <w:rPr>
          <w:lang w:val="es-ES"/>
        </w:rPr>
        <w:t xml:space="preserve">—misma función, soberanía de datos, sin licencias propietarias—; los nombres propietarios se listan sólo como referencia del mercado.</w:t>
      </w:r>
    </w:p>
    <w:p>
      <w:pPr>
        <w:pStyle w:val="BodyText"/>
      </w:pPr>
      <w:r>
        <w:rPr>
          <w:b/>
          <w:bCs/>
          <w:lang w:val="es-ES"/>
        </w:rPr>
        <w:t xml:space="preserve">Categoría 7 — Métricas e indicadores de gobernanza:</w:t>
      </w:r>
      <w:r>
        <w:rPr>
          <w:lang w:val="es-ES"/>
        </w:rPr>
        <w:t xml:space="preserve"> </w:t>
      </w:r>
      <w:r>
        <w:rPr>
          <w:lang w:val="es-ES"/>
        </w:rPr>
        <w:t xml:space="preserve">alineación estratégica, valor entregado (ROI/VAN/TIR), desempeño de cronograma (SPI) y de costo (CPI), variación de alcance, riesgos materializados, cambios, satisfacción de interesados, calidad, beneficios realizados,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madurez de gobernanza</w:t>
      </w:r>
      <w:r>
        <w:rPr>
          <w:lang w:val="es-ES"/>
        </w:rPr>
        <w:t xml:space="preserve">, transparencia y auditorías cerradas.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Cobertura:</w:t>
      </w:r>
      <w:r>
        <w:rPr>
          <w:lang w:val="es-ES"/>
        </w:rPr>
        <w:t xml:space="preserve"> </w:t>
      </w:r>
      <w:r>
        <w:rPr>
          <w:lang w:val="es-ES"/>
        </w:rPr>
        <w:t xml:space="preserve">semáforo y KPIs (GOB14, GOB26)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adaptación sectorial:</w:t>
      </w:r>
      <w:r>
        <w:rPr>
          <w:lang w:val="es-ES"/>
        </w:rPr>
        <w:t xml:space="preserve"> </w:t>
      </w:r>
      <w:r>
        <w:rPr>
          <w:lang w:val="es-ES"/>
        </w:rPr>
        <w:t xml:space="preserve">en proyectos educativos sin presupuesto formal, SPI/CPI/ROI se sustituyen por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KPIs de impacto por beneficiario</w:t>
      </w:r>
      <w:r>
        <w:rPr>
          <w:lang w:val="es-ES"/>
        </w:rPr>
        <w:t xml:space="preserve"> </w:t>
      </w:r>
      <w:r>
        <w:rPr>
          <w:lang w:val="es-ES"/>
        </w:rPr>
        <w:t xml:space="preserve">(Acta art. 19); sí se adoptan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madurez de gobernanza y auditorías cerradas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Categoría 8 — Procesos y métodos de gobernanza:</w:t>
      </w:r>
      <w:r>
        <w:rPr>
          <w:lang w:val="es-ES"/>
        </w:rPr>
        <w:t xml:space="preserve"> </w:t>
      </w:r>
      <w:r>
        <w:rPr>
          <w:lang w:val="es-ES"/>
        </w:rPr>
        <w:t xml:space="preserve">ciclo de vida con stage-gates; procesos de inicio, planificación, ejecución, control y cierre; gestión de cambios, riesgos, interesados, beneficios y conocimiento; gestión de la configuración; aseguramiento de calidad; resolución de conflictos y escalamiento; auditoría; revisión post-implementación.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Cobertura completa:</w:t>
      </w:r>
      <w:r>
        <w:rPr>
          <w:lang w:val="es-ES"/>
        </w:rPr>
        <w:t xml:space="preserve"> </w:t>
      </w:r>
      <w:r>
        <w:rPr>
          <w:lang w:val="es-ES"/>
        </w:rPr>
        <w:t xml:space="preserve">puertas (GOB23), control de cambios (GOB12), retrospectiva = revisión post-implementación (GOB39), tandas = configuración (GOB30), escalamiento (GOB27, GOB47).</w:t>
      </w:r>
    </w:p>
    <w:p>
      <w:pPr>
        <w:pStyle w:val="BodyText"/>
      </w:pPr>
      <w:r>
        <w:rPr>
          <w:b/>
          <w:bCs/>
          <w:lang w:val="es-ES"/>
        </w:rPr>
        <w:t xml:space="preserve">Categoría 9 — Elementos culturales, éticos y de transparencia:</w:t>
      </w:r>
      <w:r>
        <w:rPr>
          <w:lang w:val="es-ES"/>
        </w:rPr>
        <w:t xml:space="preserve"> </w:t>
      </w:r>
      <w:r>
        <w:rPr>
          <w:lang w:val="es-ES"/>
        </w:rPr>
        <w:t xml:space="preserve">transparencia, rendición de cuentas, decisión basada en datos, confianza, inclusión, ética, conflictos de interés y cultura de mejora.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Cobertura:</w:t>
      </w:r>
      <w:r>
        <w:rPr>
          <w:lang w:val="es-ES"/>
        </w:rPr>
        <w:t xml:space="preserve"> </w:t>
      </w:r>
      <w:r>
        <w:rPr>
          <w:lang w:val="es-ES"/>
        </w:rPr>
        <w:t xml:space="preserve">registral (GOB9, GOB15, GOB35), ética (GOB7, GOB8, GOB49) y axiológica (neuroaxiología; no daño IG43).</w:t>
      </w:r>
    </w:p>
    <w:p>
      <w:pPr>
        <w:pStyle w:val="BodyText"/>
      </w:pPr>
      <w:r>
        <w:rPr>
          <w:b/>
          <w:bCs/>
          <w:lang w:val="es-ES"/>
        </w:rPr>
        <w:t xml:space="preserve">Categoría 10 — Artefactos según enfoque:</w:t>
      </w:r>
      <w:r>
        <w:rPr>
          <w:lang w:val="es-ES"/>
        </w:rPr>
        <w:t xml:space="preserve"> </w:t>
      </w:r>
      <w:r>
        <w:rPr>
          <w:lang w:val="es-ES"/>
        </w:rPr>
        <w:t xml:space="preserve">predictivo (EDT, Gantt, presupuesto detallado), ágil (backlog, sprint, DoD, burndown, velocity, retrospectivas, PI planning) e híbrido (líneas base + entregables iterativos con puertas).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Cobertura:</w:t>
      </w:r>
      <w:r>
        <w:rPr>
          <w:lang w:val="es-ES"/>
        </w:rPr>
        <w:t xml:space="preserve"> </w:t>
      </w:r>
      <w:r>
        <w:rPr>
          <w:lang w:val="es-ES"/>
        </w:rPr>
        <w:t xml:space="preserve">híbrido es el modo de este proyecto (puertas + ciclos + retrospectivas); los artefactos ágiles se usan sólo donde hay equipo ágil (plantilla D1, iteraciones), y el predictivo puro se limita a lo que el calendario escolar impone.</w:t>
      </w:r>
    </w:p>
    <w:bookmarkEnd w:id="16"/>
    <w:bookmarkStart w:id="17" w:name="Xad42f6c1825059e783acbdaffd1de7aaf85b565"/>
    <w:p>
      <w:pPr>
        <w:pStyle w:val="Heading2"/>
      </w:pPr>
      <w:r>
        <w:rPr>
          <w:lang w:val="es-ES"/>
        </w:rPr>
        <w:t xml:space="preserve">8. Cobertura, brechas y plantillas (qué se creó y qué queda)</w:t>
      </w:r>
    </w:p>
    <w:p>
      <w:pPr>
        <w:pStyle w:val="FirstParagraph"/>
      </w:pPr>
      <w:r>
        <w:rPr>
          <w:b/>
          <w:bCs/>
          <w:lang w:val="es-ES"/>
        </w:rPr>
        <w:t xml:space="preserve">Cubierto y ya con plantilla rellenable:</w:t>
      </w:r>
      <w:r>
        <w:rPr>
          <w:lang w:val="es-ES"/>
        </w:rPr>
        <w:t xml:space="preserve"> </w:t>
      </w:r>
      <w:r>
        <w:rPr>
          <w:lang w:val="es-ES"/>
        </w:rPr>
        <w:t xml:space="preserve">encuadre (A1), requisitos (A2), plan/WBS (A3), verificación y validación (A4), riesgos y cambios (A5), retrospectiva (A6), patrones (A7), ADR (A8), estudio personal (S1), desarrollo (D1), neuroeducación infantil (N1), taller/curso (T1).</w:t>
      </w:r>
    </w:p>
    <w:p>
      <w:pPr>
        <w:pStyle w:val="BodyText"/>
      </w:pPr>
      <w:r>
        <w:rPr>
          <w:b/>
          <w:bCs/>
          <w:lang w:val="es-ES"/>
        </w:rPr>
        <w:t xml:space="preserve">Brechas de artefacto detectadas con el marco de referencia → plantillas creadas en esta tanda:</w:t>
      </w:r>
      <w:r>
        <w:rPr>
          <w:lang w:val="es-ES"/>
        </w:rPr>
        <w:t xml:space="preserve"> </w:t>
      </w:r>
      <w:r>
        <w:rPr>
          <w:lang w:val="es-ES"/>
        </w:rPr>
        <w:t xml:space="preserve">política de protección (</w:t>
      </w:r>
      <w:r>
        <w:rPr>
          <w:b/>
          <w:bCs/>
          <w:lang w:val="es-ES"/>
        </w:rPr>
        <w:t xml:space="preserve">GOB7</w:t>
      </w:r>
      <w:r>
        <w:rPr>
          <w:lang w:val="es-ES"/>
        </w:rPr>
        <w:t xml:space="preserve">), código de conducta y canal de denuncias (</w:t>
      </w:r>
      <w:r>
        <w:rPr>
          <w:b/>
          <w:bCs/>
          <w:lang w:val="es-ES"/>
        </w:rPr>
        <w:t xml:space="preserve">GOB8</w:t>
      </w:r>
      <w:r>
        <w:rPr>
          <w:lang w:val="es-ES"/>
        </w:rPr>
        <w:t xml:space="preserve">), registro de decisiones con problemas y supuestos (</w:t>
      </w:r>
      <w:r>
        <w:rPr>
          <w:b/>
          <w:bCs/>
          <w:lang w:val="es-ES"/>
        </w:rPr>
        <w:t xml:space="preserve">GOB9</w:t>
      </w:r>
      <w:r>
        <w:rPr>
          <w:lang w:val="es-ES"/>
        </w:rPr>
        <w:t xml:space="preserve">), acta de reunión con acuerdos (</w:t>
      </w:r>
      <w:r>
        <w:rPr>
          <w:b/>
          <w:bCs/>
          <w:lang w:val="es-ES"/>
        </w:rPr>
        <w:t xml:space="preserve">GOB10</w:t>
      </w:r>
      <w:r>
        <w:rPr>
          <w:lang w:val="es-ES"/>
        </w:rPr>
        <w:t xml:space="preserve">), informe de estado ejecutivo y de ciclo (</w:t>
      </w:r>
      <w:r>
        <w:rPr>
          <w:b/>
          <w:bCs/>
          <w:lang w:val="es-ES"/>
        </w:rPr>
        <w:t xml:space="preserve">GOB15</w:t>
      </w:r>
      <w:r>
        <w:rPr>
          <w:lang w:val="es-ES"/>
        </w:rPr>
        <w:t xml:space="preserve">), consentimiento informado (</w:t>
      </w:r>
      <w:r>
        <w:rPr>
          <w:b/>
          <w:bCs/>
          <w:lang w:val="es-ES"/>
        </w:rPr>
        <w:t xml:space="preserve">GOB16</w:t>
      </w:r>
      <w:r>
        <w:rPr>
          <w:lang w:val="es-ES"/>
        </w:rPr>
        <w:t xml:space="preserve">), acuerdos con terceros (NDA/encargos) (</w:t>
      </w:r>
      <w:r>
        <w:rPr>
          <w:b/>
          <w:bCs/>
          <w:lang w:val="es-ES"/>
        </w:rPr>
        <w:t xml:space="preserve">GOB19</w:t>
      </w:r>
      <w:r>
        <w:rPr>
          <w:lang w:val="es-ES"/>
        </w:rPr>
        <w:t xml:space="preserve">), manual de inducción y transferencia (</w:t>
      </w:r>
      <w:r>
        <w:rPr>
          <w:b/>
          <w:bCs/>
          <w:lang w:val="es-ES"/>
        </w:rPr>
        <w:t xml:space="preserve">GOB20</w:t>
      </w:r>
      <w:r>
        <w:rPr>
          <w:lang w:val="es-ES"/>
        </w:rPr>
        <w:t xml:space="preserve">), presupuesto y autorizaciones (</w:t>
      </w:r>
      <w:r>
        <w:rPr>
          <w:b/>
          <w:bCs/>
          <w:lang w:val="es-ES"/>
        </w:rPr>
        <w:t xml:space="preserve">GOB22</w:t>
      </w:r>
      <w:r>
        <w:rPr>
          <w:lang w:val="es-ES"/>
        </w:rPr>
        <w:t xml:space="preserve">), matriz de escalamiento y delegación de autoridad (</w:t>
      </w:r>
      <w:r>
        <w:rPr>
          <w:b/>
          <w:bCs/>
          <w:lang w:val="es-ES"/>
        </w:rPr>
        <w:t xml:space="preserve">GOB25</w:t>
      </w:r>
      <w:r>
        <w:rPr>
          <w:lang w:val="es-ES"/>
        </w:rPr>
        <w:t xml:space="preserve">) y caso de negocio con decisión Go/No-Go (</w:t>
      </w:r>
      <w:r>
        <w:rPr>
          <w:b/>
          <w:bCs/>
          <w:lang w:val="es-ES"/>
        </w:rPr>
        <w:t xml:space="preserve">GOB51</w:t>
      </w:r>
      <w:r>
        <w:rPr>
          <w:lang w:val="es-ES"/>
        </w:rPr>
        <w:t xml:space="preserve">).</w:t>
      </w:r>
    </w:p>
    <w:p>
      <w:pPr>
        <w:pStyle w:val="BodyText"/>
      </w:pPr>
      <w:r>
        <w:rPr>
          <w:b/>
          <w:bCs/>
          <w:lang w:val="es-ES"/>
        </w:rPr>
        <w:t xml:space="preserve">Brechas pendientes (registradas, sin plantilla todavía):</w:t>
      </w:r>
      <w:r>
        <w:rPr>
          <w:lang w:val="es-ES"/>
        </w:rPr>
        <w:t xml:space="preserve"> </w:t>
      </w:r>
      <w:r>
        <w:rPr>
          <w:lang w:val="es-ES"/>
        </w:rPr>
        <w:t xml:space="preserve">plan de comunicación; plan de adquisiciones/proveedores; plan de transición y cierre formal; sostenibilidad/ESG; registro de conflictos de interés (formato breve); organigrama del proyecto (para equipos &gt;8 personas); SPI/CPI y métricas financieras (sólo si el proyecto tiene costo formal).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Criterio de cierre:</w:t>
      </w:r>
      <w:r>
        <w:rPr>
          <w:lang w:val="es-ES"/>
        </w:rPr>
        <w:t xml:space="preserve"> </w:t>
      </w:r>
      <w:r>
        <w:rPr>
          <w:lang w:val="es-ES"/>
        </w:rPr>
        <w:t xml:space="preserve">cada pendiente se convierte en plantilla cuando el proyecto que lo necesita lo pida —no antes (igual que todo el sistema: sin demanda real, el artefacto es peso).</w:t>
      </w:r>
    </w:p>
    <w:p>
      <w:pPr>
        <w:pStyle w:val="BodyText"/>
      </w:pPr>
      <w:r>
        <w:rPr>
          <w:b/>
          <w:bCs/>
          <w:lang w:val="es-ES"/>
        </w:rPr>
        <w:t xml:space="preserve">Brechas de dispositivo y métrica:</w:t>
      </w:r>
      <w:r>
        <w:rPr>
          <w:lang w:val="es-ES"/>
        </w:rPr>
        <w:t xml:space="preserve"> </w:t>
      </w:r>
      <w:r>
        <w:rPr>
          <w:lang w:val="es-ES"/>
        </w:rPr>
        <w:t xml:space="preserve">umbrales de tolerancia formalizados (tenemos el semáforo con umbrales por indicador; falta declarar umbrales de tiempo/costo donde apliquen)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madurez de gobernanza</w:t>
      </w:r>
      <w:r>
        <w:rPr>
          <w:lang w:val="es-ES"/>
        </w:rPr>
        <w:t xml:space="preserve"> </w:t>
      </w:r>
      <w:r>
        <w:rPr>
          <w:lang w:val="es-ES"/>
        </w:rPr>
        <w:t xml:space="preserve">como indicador de nivel (pendiente de definir escala cuando haya más de un proyecto comparable).</w:t>
      </w:r>
    </w:p>
    <w:p>
      <w:pPr>
        <w:pStyle w:val="BodyText"/>
      </w:pPr>
      <w:r>
        <w:rPr>
          <w:b/>
          <w:bCs/>
          <w:lang w:val="es-ES"/>
        </w:rPr>
        <w:t xml:space="preserve">Una nota sobre la herramienta tecnológica:</w:t>
      </w:r>
      <w:r>
        <w:rPr>
          <w:lang w:val="es-ES"/>
        </w:rPr>
        <w:t xml:space="preserve"> </w:t>
      </w:r>
      <w:r>
        <w:rPr>
          <w:lang w:val="es-ES"/>
        </w:rPr>
        <w:t xml:space="preserve">el mercado propietario (Jira, SharePoint, Power BI, Teams, ERP…) es la referencia habitual; este proyecto adopta por decisión deliberada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alternativas libres (FOSS)</w:t>
      </w:r>
      <w:r>
        <w:rPr>
          <w:lang w:val="es-ES"/>
        </w:rPr>
        <w:t xml:space="preserve"> </w:t>
      </w:r>
      <w:r>
        <w:rPr>
          <w:lang w:val="es-ES"/>
        </w:rPr>
        <w:t xml:space="preserve">—misma función, datos soberanos, sin licencias— catalogadas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plataformas-fooss-de-gobernanza.md</w:t>
      </w:r>
      <w:r>
        <w:rPr>
          <w:lang w:val="es-ES"/>
        </w:rPr>
        <w:t xml:space="preserve">, mapeadas a estas mismas diez categorías.</w:t>
      </w:r>
    </w:p>
    <w:bookmarkEnd w:id="17"/>
    <w:bookmarkStart w:id="18" w:name="mínimo-indispensable-reconciliado"/>
    <w:p>
      <w:pPr>
        <w:pStyle w:val="Heading2"/>
      </w:pPr>
      <w:r>
        <w:rPr>
          <w:lang w:val="es-ES"/>
        </w:rPr>
        <w:t xml:space="preserve">9. Mínimo indispensable (reconciliado)</w:t>
      </w:r>
    </w:p>
    <w:p>
      <w:pPr>
        <w:pStyle w:val="FirstParagraph"/>
      </w:pPr>
      <w:r>
        <w:rPr>
          <w:lang w:val="es-ES"/>
        </w:rPr>
        <w:t xml:space="preserve">El marco de referencia define diez elementos mínimos para una gobernanza excelente. Este es su cruce con el kit mínimo de la sección 4:</w:t>
      </w:r>
    </w:p>
    <w:p>
      <w:pPr>
        <w:pStyle w:val="BodyText"/>
      </w:pPr>
      <w:r>
        <w:rPr>
          <w:b/>
          <w:bCs/>
          <w:lang w:val="es-ES"/>
        </w:rPr>
        <w:t xml:space="preserve">Coinciden plenamente:</w:t>
      </w:r>
      <w:r>
        <w:rPr>
          <w:lang w:val="es-ES"/>
        </w:rPr>
        <w:t xml:space="preserve"> </w:t>
      </w:r>
      <w:r>
        <w:rPr>
          <w:lang w:val="es-ES"/>
        </w:rPr>
        <w:t xml:space="preserve">acta de constitución (GOB1), plan de dirección con líneas base (GOB2 + GOB4 + GOB14), matriz RACI y</w:t>
      </w:r>
      <w:r>
        <w:rPr>
          <w:lang w:val="es-ES"/>
        </w:rPr>
        <w:t xml:space="preserve"> </w:t>
      </w:r>
      <w:r>
        <w:rPr>
          <w:lang w:val="es-ES"/>
        </w:rPr>
        <w:t xml:space="preserve">“organigrama”</w:t>
      </w:r>
      <w:r>
        <w:rPr>
          <w:lang w:val="es-ES"/>
        </w:rPr>
        <w:t xml:space="preserve"> </w:t>
      </w:r>
      <w:r>
        <w:rPr>
          <w:lang w:val="es-ES"/>
        </w:rPr>
        <w:t xml:space="preserve">de roles (GOB5; organigrama formal = pendiente para equipos grandes), comité de dirección y responsable de gobernanza (Acta art. 13: sponsor + coordinador + CTE), registros de riesgos/cambios/decisiones (GOB11, GOB12, GOB9), dashboard e informes (GOB14, GOB15, GOB26), repositorio versionado (GOB30 y GOB12), procesos de escalamiento y cambios (GOB27, GOB47, GOB12), auditoría y lecciones con cierre formal (GOB45, GOB17, re-firma del Acta) y evidencias de aprobación (GOB35, actas y firmas).</w:t>
      </w:r>
    </w:p>
    <w:p>
      <w:pPr>
        <w:pStyle w:val="BodyText"/>
      </w:pPr>
      <w:r>
        <w:rPr>
          <w:b/>
          <w:bCs/>
          <w:lang w:val="es-ES"/>
        </w:rPr>
        <w:t xml:space="preserve">Aporta el marco y nos faltaba:</w:t>
      </w:r>
      <w:r>
        <w:rPr>
          <w:lang w:val="es-ES"/>
        </w:rPr>
        <w:t xml:space="preserve"> </w:t>
      </w: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caso de negocio</w:t>
      </w:r>
      <w:r>
        <w:rPr>
          <w:lang w:val="es-ES"/>
        </w:rPr>
        <w:t xml:space="preserve"> </w:t>
      </w:r>
      <w:r>
        <w:rPr>
          <w:lang w:val="es-ES"/>
        </w:rPr>
        <w:t xml:space="preserve">explícito con su decisión Go/No-Go (ahora, plantilla GOB51) y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informes ejecutivos periódicos</w:t>
      </w:r>
      <w:r>
        <w:rPr>
          <w:lang w:val="es-ES"/>
        </w:rPr>
        <w:t xml:space="preserve"> </w:t>
      </w:r>
      <w:r>
        <w:rPr>
          <w:lang w:val="es-ES"/>
        </w:rPr>
        <w:t xml:space="preserve">con alcance de stakeholders externos (la plantilla GOB15 los cubre, ampliando el informe de ciclo).</w:t>
      </w:r>
    </w:p>
    <w:p>
      <w:pPr>
        <w:pStyle w:val="BodyText"/>
      </w:pPr>
      <w:r>
        <w:rPr>
          <w:b/>
          <w:bCs/>
          <w:lang w:val="es-ES"/>
        </w:rPr>
        <w:t xml:space="preserve">Aporta este proyecto y el marco no nombra:</w:t>
      </w:r>
      <w:r>
        <w:rPr>
          <w:lang w:val="es-ES"/>
        </w:rPr>
        <w:t xml:space="preserve"> </w:t>
      </w:r>
      <w:r>
        <w:rPr>
          <w:lang w:val="es-ES"/>
        </w:rPr>
        <w:t xml:space="preserve">política de protección de datos e imagen (GOB7), código de conducta con canal (GOB8), consentimiento (GOB16), manual de inducción como transferencia (GOB20), catálogo de patrones (GOB18) y semáforo con respuesta obligatoria (GOB26).</w:t>
      </w:r>
    </w:p>
    <w:p>
      <w:pPr>
        <w:pStyle w:val="BodyText"/>
      </w:pPr>
      <w:r>
        <w:rPr>
          <w:b/>
          <w:bCs/>
          <w:lang w:val="es-ES"/>
        </w:rPr>
        <w:t xml:space="preserve">Principio adoptado como cierre</w:t>
      </w:r>
      <w:r>
        <w:rPr>
          <w:lang w:val="es-ES"/>
        </w:rPr>
        <w:t xml:space="preserve"> </w:t>
      </w:r>
      <w:r>
        <w:rPr>
          <w:lang w:val="es-ES"/>
        </w:rPr>
        <w:t xml:space="preserve">(del marco de referencia, y coherente con lo que este documento venía diciendo):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la excelencia en gobernanza no está en tener todos los documentos, sino en que cada artefacto, rol y dispositivo sirva para decidir mejor, controlar riesgos y entregar valor de forma transparente.</w:t>
      </w:r>
      <w:r>
        <w:rPr>
          <w:lang w:val="es-ES"/>
        </w:rPr>
        <w:t xml:space="preserve"> </w:t>
      </w:r>
      <w:r>
        <w:rPr>
          <w:lang w:val="es-ES"/>
        </w:rPr>
        <w:t xml:space="preserve">Este inventario se revisa al inicio de cada proyecto, se adapta a su naturaleza y se audita periódicamente.</w:t>
      </w:r>
    </w:p>
    <w:bookmarkEnd w:id="18"/>
    <w:bookmarkStart w:id="19" w:name="índice-de-entradas"/>
    <w:p>
      <w:pPr>
        <w:pStyle w:val="Heading2"/>
      </w:pPr>
      <w:r>
        <w:rPr>
          <w:lang w:val="es-ES"/>
        </w:rPr>
        <w:t xml:space="preserve">Índice de entradas</w:t>
      </w:r>
    </w:p>
    <w:p>
      <w:pPr>
        <w:pStyle w:val="FirstParagraph"/>
      </w:pPr>
      <w:r>
        <w:rPr>
          <w:b/>
          <w:bCs/>
          <w:lang w:val="es-ES"/>
        </w:rPr>
        <w:t xml:space="preserve">Artefactos</w:t>
      </w:r>
      <w:r>
        <w:rPr>
          <w:lang w:val="es-ES"/>
        </w:rPr>
        <w:t xml:space="preserve">: Acta constitutiva (GOB1) · Encuadre y alcance (GOB2) · Requisitos (GOB3) · Plan y WBS (GOB4) · RACI (GOB5) · ADR (GOB6) · Políticas de protección (GOB7) · Código de conducta (GOB8) · Registro de decisiones (GOB9) · Actas con acuerdos (GOB10) · Registro de riesgos (GOB11) · Historial de cambios (GOB12) · Criterios y DoD (GOB13) · Línea base y tablero (GOB14) · Informes de ciclo (GOB15) · Consentimiento (GOB16) · Lecciones aprendidas (GOB17) · Catálogo de patrones (GOB18) · Acuerdos con terceros (GOB19) · Manual de inducción (GOB20) · Mapa de partes interesadas (GOB21) · Presupuesto y autorizaciones (GOB22) · Caso de negocio y Go/No-Go (GOB51).</w:t>
      </w:r>
    </w:p>
    <w:p>
      <w:pPr>
        <w:pStyle w:val="BodyText"/>
      </w:pPr>
      <w:r>
        <w:rPr>
          <w:b/>
          <w:bCs/>
          <w:lang w:val="es-ES"/>
        </w:rPr>
        <w:t xml:space="preserve">Dispositivos</w:t>
      </w:r>
      <w:r>
        <w:rPr>
          <w:lang w:val="es-ES"/>
        </w:rPr>
        <w:t xml:space="preserve">: Puerta de calidad (GOB23) · Condición de entrada en vigor (GOB24) · Escalera de decisión (GOB25) · Semáforo (GOB26) · Escalamiento por umbral (GOB27) · Cadencia (GOB28) · Ciclos de actualización (GOB29) · Sistema de versiones y tandas (GOB30) · Pipeline de documentos (GOB31) · Ventana de congelación (GOB32) · Revisión por pares (GOB33) · Redundancia de roles (GOB34) · Registro como condición (GOB35).</w:t>
      </w:r>
    </w:p>
    <w:p>
      <w:pPr>
        <w:pStyle w:val="BodyText"/>
      </w:pPr>
      <w:r>
        <w:rPr>
          <w:b/>
          <w:bCs/>
          <w:lang w:val="es-ES"/>
        </w:rPr>
        <w:t xml:space="preserve">Herramientas</w:t>
      </w:r>
      <w:r>
        <w:rPr>
          <w:lang w:val="es-ES"/>
        </w:rPr>
        <w:t xml:space="preserve">: FODA/SOACH (GOB36) · Mapa de partes en taller (GOB37) · Cinco porqués (GOB38) · Retrospectiva (GOB39) · Doble bucle (GOB40) · Priorización impacto-esfuerzo (GOB41) · Timeboxing (GOB42) · Check-in corto (GOB43) · Tablero visual (GOB44) · Auditoría con checklist (GOB45) · Escucha estructurada (GOB46) · Guion de negociación de alcance (GOB47) · Demo de estado (GOB48) · Autoinspección con preguntas guía (GOB49) · Reunión de decisión (GOB50).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Capa Ingeniería de la Educación · Inventario de gobernanza (51 instrumentos: 23 artefactos, 13 dispositivos, 15 herramientas) + marco de referencia de 10 categorías · v0.1 · Proyecto Programa Sintético · Abierto por diseño: se amplía con cada proyecto real que use estos instrumentos.</w:t>
      </w:r>
    </w:p>
    <w:bookmarkEnd w:id="19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Inventario de gobernanza en ingeniería</dc:title>
  <dc:creator>Capa Ingeniería de la Educación · Proyecto Programa Sintético</dc:creator>
  <dc:language>es-ES</dc:language>
  <cp:keywords/>
  <dcterms:created xsi:type="dcterms:W3CDTF">2026-09-29T04:11:30Z</dcterms:created>
  <dcterms:modified xsi:type="dcterms:W3CDTF">2026-09-29T04:11:30Z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Niveles 1–4 · v0.1 · 29 de septiembre de 2026</vt:lpwstr>
  </property>
  <property fmtid="{D5CDD505-2E9C-101B-9397-08002B2CF9AE}" pid="3" name="subtitle">
    <vt:lpwstr>Artefactos, dispositivos y herramientas para ejercer la gobernanza en cualquier tipo de proyecto</vt:lpwstr>
  </property>
</Properties>
</file>