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Índice de plantillas</w:t>
      </w:r>
    </w:p>
    <w:p>
      <w:pPr>
        <w:pStyle w:val="Subtitle"/>
      </w:pPr>
      <w:r>
        <w:rPr>
          <w:lang w:val="es-ES"/>
        </w:rPr>
        <w:t xml:space="preserve">Cómo elegir y usar las plantillas del proyecto</w:t>
      </w:r>
    </w:p>
    <w:p>
      <w:pPr>
        <w:pStyle w:val="Author"/>
      </w:pPr>
      <w:r>
        <w:rPr>
          <w:lang w:val="es-ES"/>
        </w:rPr>
        <w:t xml:space="preserve">Plantillas · Ingeniería de la Educación · Proyecto Programa Sintético</w:t>
      </w:r>
    </w:p>
    <w:p>
      <w:pPr>
        <w:pStyle w:val="Date"/>
      </w:pPr>
      <w:r>
        <w:rPr>
          <w:lang w:val="es-ES"/>
        </w:rPr>
        <w:t xml:space="preserve">Plantillas v0.1 · 24 plantillas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Plantillas v0.1 · 28 de septiembre de 2026</w:t>
      </w:r>
      <w:r>
        <w:rPr>
          <w:lang w:val="es-ES"/>
        </w:rPr>
        <w:t xml:space="preserve"> </w:t>
      </w:r>
      <w:r>
        <w:rPr>
          <w:i/>
          <w:iCs/>
          <w:lang w:val="es-ES"/>
        </w:rPr>
        <w:t xml:space="preserve">Derivadas de:</w:t>
      </w:r>
      <w:r>
        <w:rPr>
          <w:i/>
          <w:iCs/>
          <w:lang w:val="es-ES"/>
        </w:rPr>
        <w:t xml:space="preserve"> </w:t>
      </w:r>
      <w:r>
        <w:rPr>
          <w:rStyle w:val="VerbatimChar"/>
          <w:i/>
          <w:iCs/>
          <w:lang w:val="es-ES"/>
        </w:rPr>
        <w:t xml:space="preserve">glosario-ingenieria-general.md</w:t>
      </w:r>
      <w:r>
        <w:rPr>
          <w:i/>
          <w:iCs/>
          <w:lang w:val="es-ES"/>
        </w:rPr>
        <w:t xml:space="preserve"> </w:t>
      </w:r>
      <w:r>
        <w:rPr>
          <w:i/>
          <w:iCs/>
          <w:lang w:val="es-ES"/>
        </w:rPr>
        <w:t xml:space="preserve">(IG),</w:t>
      </w:r>
      <w:r>
        <w:rPr>
          <w:i/>
          <w:iCs/>
          <w:lang w:val="es-ES"/>
        </w:rPr>
        <w:t xml:space="preserve"> </w:t>
      </w:r>
      <w:r>
        <w:rPr>
          <w:rStyle w:val="VerbatimChar"/>
          <w:i/>
          <w:iCs/>
          <w:lang w:val="es-ES"/>
        </w:rPr>
        <w:t xml:space="preserve">glosario-ingenieria-aplicada-educacion.md</w:t>
      </w:r>
      <w:r>
        <w:rPr>
          <w:i/>
          <w:iCs/>
          <w:lang w:val="es-ES"/>
        </w:rPr>
        <w:t xml:space="preserve"> </w:t>
      </w:r>
      <w:r>
        <w:rPr>
          <w:i/>
          <w:iCs/>
          <w:lang w:val="es-ES"/>
        </w:rPr>
        <w:t xml:space="preserve">(IA),</w:t>
      </w:r>
      <w:r>
        <w:rPr>
          <w:i/>
          <w:iCs/>
          <w:lang w:val="es-ES"/>
        </w:rPr>
        <w:t xml:space="preserve"> </w:t>
      </w:r>
      <w:r>
        <w:rPr>
          <w:rStyle w:val="VerbatimChar"/>
          <w:i/>
          <w:iCs/>
          <w:lang w:val="es-ES"/>
        </w:rPr>
        <w:t xml:space="preserve">glosario-ingenieria-de-la-educacion.md</w:t>
      </w:r>
      <w:r>
        <w:rPr>
          <w:i/>
          <w:iCs/>
          <w:lang w:val="es-ES"/>
        </w:rPr>
        <w:t xml:space="preserve"> </w:t>
      </w:r>
      <w:r>
        <w:rPr>
          <w:i/>
          <w:iCs/>
          <w:lang w:val="es-ES"/>
        </w:rPr>
        <w:t xml:space="preserve">(IE) y sus compendios</w:t>
      </w:r>
    </w:p>
    <w:p>
      <w:r>
        <w:pict>
          <v:rect style="width:0;height:1.5pt" o:hralign="center" o:hrstd="t" o:hr="t"/>
        </w:pict>
      </w:r>
    </w:p>
    <w:bookmarkStart w:id="9" w:name="el-criterio"/>
    <w:p>
      <w:pPr>
        <w:pStyle w:val="Heading2"/>
      </w:pPr>
      <w:r>
        <w:rPr>
          <w:lang w:val="es-ES"/>
        </w:rPr>
        <w:t xml:space="preserve">El criterio</w:t>
      </w:r>
    </w:p>
    <w:p>
      <w:pPr>
        <w:pStyle w:val="FirstParagraph"/>
      </w:pPr>
      <w:r>
        <w:rPr>
          <w:lang w:val="es-ES"/>
        </w:rPr>
        <w:t xml:space="preserve">Una plantilla no es un formulario: es un</w:t>
      </w:r>
      <w:r>
        <w:rPr>
          <w:lang w:val="es-ES"/>
        </w:rPr>
        <w:t xml:space="preserve"> </w:t>
      </w:r>
      <w:r>
        <w:rPr>
          <w:b/>
          <w:bCs/>
          <w:lang w:val="es-ES"/>
        </w:rPr>
        <w:t xml:space="preserve">andamio de pensamiento</w:t>
      </w:r>
      <w:r>
        <w:rPr>
          <w:lang w:val="es-ES"/>
        </w:rPr>
        <w:t xml:space="preserve">. Te obliga a responder, en orden, las preguntas que el ciclo de vida de todo proyecto hace —y que se saltan los proyectos que fracasan. Cada plantilla de esta carpeta trae su porqué (con el término ingenieril que la sostiene), campos para llenar y un consejo con la trampa que evita.</w:t>
      </w:r>
    </w:p>
    <w:p>
      <w:pPr>
        <w:pStyle w:val="BodyText"/>
      </w:pPr>
      <w:r>
        <w:rPr>
          <w:lang w:val="es-ES"/>
        </w:rPr>
        <w:t xml:space="preserve">La regla de uso es la de siempre:</w:t>
      </w:r>
      <w:r>
        <w:rPr>
          <w:lang w:val="es-ES"/>
        </w:rPr>
        <w:t xml:space="preserve"> </w:t>
      </w:r>
      <w:r>
        <w:rPr>
          <w:b/>
          <w:bCs/>
          <w:lang w:val="es-ES"/>
        </w:rPr>
        <w:t xml:space="preserve">se llena hablando con la gente y con datos, no desde el escritorio</w:t>
      </w:r>
      <w:r>
        <w:rPr>
          <w:lang w:val="es-ES"/>
        </w:rPr>
        <w:t xml:space="preserve">. Un campo vacío es información; un campo inventado es deuda.</w:t>
      </w:r>
    </w:p>
    <w:p>
      <w:r>
        <w:pict>
          <v:rect style="width:0;height:1.5pt" o:hralign="center" o:hrstd="t" o:hr="t"/>
        </w:pict>
      </w:r>
    </w:p>
    <w:bookmarkEnd w:id="9"/>
    <w:bookmarkStart w:id="16" w:name="las-familias-de-plantillas"/>
    <w:p>
      <w:pPr>
        <w:pStyle w:val="Heading2"/>
      </w:pPr>
      <w:r>
        <w:rPr>
          <w:lang w:val="es-ES"/>
        </w:rPr>
        <w:t xml:space="preserve">Las familias de plantillas</w:t>
      </w:r>
    </w:p>
    <w:bookmarkStart w:id="10" w:name="X0897e0ca3fee84983abd61dd37fa0fdc121fbc5"/>
    <w:p>
      <w:pPr>
        <w:pStyle w:val="Heading3"/>
      </w:pPr>
      <w:r>
        <w:rPr>
          <w:lang w:val="es-ES"/>
        </w:rPr>
        <w:t xml:space="preserve">Familia A — el ciclo completo, para cualquier proyecto y cualquier fase</w:t>
      </w:r>
    </w:p>
    <w:p>
      <w:pPr>
        <w:pStyle w:val="FirstParagraph"/>
      </w:pPr>
      <w:r>
        <w:rPr>
          <w:lang w:val="es-ES"/>
        </w:rPr>
        <w:t xml:space="preserve">Ocho plantillas que cubren el recorrido entero: encuadrar, pedir, planificar, verificar, cuidar, revisar, aprender y decidir. Sirven para un proyecto de software, una mudanza, un programa escolar o una investigación.</w:t>
      </w:r>
    </w:p>
    <w:p>
      <w:pPr>
        <w:pStyle w:val="BodyText"/>
      </w:pPr>
      <w:r>
        <w:rPr>
          <w:b/>
          <w:bCs/>
          <w:lang w:val="es-ES"/>
        </w:rPr>
        <w:t xml:space="preserve">A1 — Encuadre y alcance.</w:t>
      </w:r>
      <w:r>
        <w:rPr>
          <w:lang w:val="es-ES"/>
        </w:rPr>
        <w:t xml:space="preserve"> </w:t>
      </w:r>
      <w:r>
        <w:rPr>
          <w:lang w:val="es-ES"/>
        </w:rPr>
        <w:t xml:space="preserve">El punto de partida: problema real, meta, dentro y fuera de alcance, partes interesadas.</w:t>
      </w:r>
      <w:r>
        <w:rPr>
          <w:lang w:val="es-ES"/>
        </w:rPr>
        <w:t xml:space="preserve"> </w:t>
      </w:r>
      <w:r>
        <w:rPr>
          <w:i/>
          <w:iCs/>
          <w:lang w:val="es-ES"/>
        </w:rPr>
        <w:t xml:space="preserve">Ciclo:</w:t>
      </w:r>
      <w:r>
        <w:rPr>
          <w:lang w:val="es-ES"/>
        </w:rPr>
        <w:t xml:space="preserve"> </w:t>
      </w:r>
      <w:r>
        <w:rPr>
          <w:lang w:val="es-ES"/>
        </w:rPr>
        <w:t xml:space="preserve">inicio.</w:t>
      </w:r>
      <w:r>
        <w:rPr>
          <w:lang w:val="es-ES"/>
        </w:rPr>
        <w:t xml:space="preserve"> </w:t>
      </w:r>
      <w:r>
        <w:rPr>
          <w:i/>
          <w:iCs/>
          <w:lang w:val="es-ES"/>
        </w:rPr>
        <w:t xml:space="preserve">Evita:</w:t>
      </w:r>
      <w:r>
        <w:rPr>
          <w:lang w:val="es-ES"/>
        </w:rPr>
        <w:t xml:space="preserve"> </w:t>
      </w:r>
      <w:r>
        <w:rPr>
          <w:lang w:val="es-ES"/>
        </w:rPr>
        <w:t xml:space="preserve">el proyecto que empieza a construir antes de saber qué casa piden.</w:t>
      </w:r>
    </w:p>
    <w:p>
      <w:pPr>
        <w:pStyle w:val="BodyText"/>
      </w:pPr>
      <w:r>
        <w:rPr>
          <w:b/>
          <w:bCs/>
          <w:lang w:val="es-ES"/>
        </w:rPr>
        <w:t xml:space="preserve">A2 — Requisitos.</w:t>
      </w:r>
      <w:r>
        <w:rPr>
          <w:lang w:val="es-ES"/>
        </w:rPr>
        <w:t xml:space="preserve"> </w:t>
      </w:r>
      <w:r>
        <w:rPr>
          <w:lang w:val="es-ES"/>
        </w:rPr>
        <w:t xml:space="preserve">Levantamiento de fuentes y requisitos verificables con criterio de aceptación.</w:t>
      </w:r>
      <w:r>
        <w:rPr>
          <w:lang w:val="es-ES"/>
        </w:rPr>
        <w:t xml:space="preserve"> </w:t>
      </w:r>
      <w:r>
        <w:rPr>
          <w:i/>
          <w:iCs/>
          <w:lang w:val="es-ES"/>
        </w:rPr>
        <w:t xml:space="preserve">Ciclo:</w:t>
      </w:r>
      <w:r>
        <w:rPr>
          <w:lang w:val="es-ES"/>
        </w:rPr>
        <w:t xml:space="preserve"> </w:t>
      </w:r>
      <w:r>
        <w:rPr>
          <w:lang w:val="es-ES"/>
        </w:rPr>
        <w:t xml:space="preserve">inicio.</w:t>
      </w:r>
      <w:r>
        <w:rPr>
          <w:lang w:val="es-ES"/>
        </w:rPr>
        <w:t xml:space="preserve"> </w:t>
      </w:r>
      <w:r>
        <w:rPr>
          <w:i/>
          <w:iCs/>
          <w:lang w:val="es-ES"/>
        </w:rPr>
        <w:t xml:space="preserve">Evita:</w:t>
      </w:r>
      <w:r>
        <w:rPr>
          <w:lang w:val="es-ES"/>
        </w:rPr>
        <w:t xml:space="preserve"> </w:t>
      </w:r>
      <w:r>
        <w:rPr>
          <w:lang w:val="es-ES"/>
        </w:rPr>
        <w:t xml:space="preserve">“mejorar la calidad”</w:t>
      </w:r>
      <w:r>
        <w:rPr>
          <w:lang w:val="es-ES"/>
        </w:rPr>
        <w:t xml:space="preserve">, que no se puede comprobar.</w:t>
      </w:r>
    </w:p>
    <w:p>
      <w:pPr>
        <w:pStyle w:val="BodyText"/>
      </w:pPr>
      <w:r>
        <w:rPr>
          <w:b/>
          <w:bCs/>
          <w:lang w:val="es-ES"/>
        </w:rPr>
        <w:t xml:space="preserve">A3 — Diseño y plan.</w:t>
      </w:r>
      <w:r>
        <w:rPr>
          <w:lang w:val="es-ES"/>
        </w:rPr>
        <w:t xml:space="preserve"> </w:t>
      </w:r>
      <w:r>
        <w:rPr>
          <w:lang w:val="es-ES"/>
        </w:rPr>
        <w:t xml:space="preserve">WBS, secuencia, roles y supuestos.</w:t>
      </w:r>
      <w:r>
        <w:rPr>
          <w:lang w:val="es-ES"/>
        </w:rPr>
        <w:t xml:space="preserve"> </w:t>
      </w:r>
      <w:r>
        <w:rPr>
          <w:i/>
          <w:iCs/>
          <w:lang w:val="es-ES"/>
        </w:rPr>
        <w:t xml:space="preserve">Ciclo:</w:t>
      </w:r>
      <w:r>
        <w:rPr>
          <w:lang w:val="es-ES"/>
        </w:rPr>
        <w:t xml:space="preserve"> </w:t>
      </w:r>
      <w:r>
        <w:rPr>
          <w:lang w:val="es-ES"/>
        </w:rPr>
        <w:t xml:space="preserve">diseño.</w:t>
      </w:r>
      <w:r>
        <w:rPr>
          <w:lang w:val="es-ES"/>
        </w:rPr>
        <w:t xml:space="preserve"> </w:t>
      </w:r>
      <w:r>
        <w:rPr>
          <w:i/>
          <w:iCs/>
          <w:lang w:val="es-ES"/>
        </w:rPr>
        <w:t xml:space="preserve">Evita:</w:t>
      </w:r>
      <w:r>
        <w:rPr>
          <w:lang w:val="es-ES"/>
        </w:rPr>
        <w:t xml:space="preserve"> </w:t>
      </w:r>
      <w:r>
        <w:rPr>
          <w:lang w:val="es-ES"/>
        </w:rPr>
        <w:t xml:space="preserve">el plan que nadie entiende y por eso nadie cumple.</w:t>
      </w:r>
    </w:p>
    <w:p>
      <w:pPr>
        <w:pStyle w:val="BodyText"/>
      </w:pPr>
      <w:r>
        <w:rPr>
          <w:b/>
          <w:bCs/>
          <w:lang w:val="es-ES"/>
        </w:rPr>
        <w:t xml:space="preserve">A4 — Verificación y validación.</w:t>
      </w:r>
      <w:r>
        <w:rPr>
          <w:lang w:val="es-ES"/>
        </w:rPr>
        <w:t xml:space="preserve"> </w:t>
      </w:r>
      <w:r>
        <w:rPr>
          <w:lang w:val="es-ES"/>
        </w:rPr>
        <w:t xml:space="preserve">Línea base, evidencia y métricas con lectura.</w:t>
      </w:r>
      <w:r>
        <w:rPr>
          <w:lang w:val="es-ES"/>
        </w:rPr>
        <w:t xml:space="preserve"> </w:t>
      </w:r>
      <w:r>
        <w:rPr>
          <w:i/>
          <w:iCs/>
          <w:lang w:val="es-ES"/>
        </w:rPr>
        <w:t xml:space="preserve">Ciclo:</w:t>
      </w:r>
      <w:r>
        <w:rPr>
          <w:lang w:val="es-ES"/>
        </w:rPr>
        <w:t xml:space="preserve"> </w:t>
      </w:r>
      <w:r>
        <w:rPr>
          <w:lang w:val="es-ES"/>
        </w:rPr>
        <w:t xml:space="preserve">ejecución y cierre de fase.</w:t>
      </w:r>
      <w:r>
        <w:rPr>
          <w:lang w:val="es-ES"/>
        </w:rPr>
        <w:t xml:space="preserve"> </w:t>
      </w:r>
      <w:r>
        <w:rPr>
          <w:i/>
          <w:iCs/>
          <w:lang w:val="es-ES"/>
        </w:rPr>
        <w:t xml:space="preserve">Evita:</w:t>
      </w:r>
      <w:r>
        <w:rPr>
          <w:lang w:val="es-ES"/>
        </w:rPr>
        <w:t xml:space="preserve"> </w:t>
      </w:r>
      <w:r>
        <w:rPr>
          <w:lang w:val="es-ES"/>
        </w:rPr>
        <w:t xml:space="preserve">celebrar sin haber medido, medir sin haber leído.</w:t>
      </w:r>
    </w:p>
    <w:p>
      <w:pPr>
        <w:pStyle w:val="BodyText"/>
      </w:pPr>
      <w:r>
        <w:rPr>
          <w:b/>
          <w:bCs/>
          <w:lang w:val="es-ES"/>
        </w:rPr>
        <w:t xml:space="preserve">A5 — Riesgos y control de cambios.</w:t>
      </w:r>
      <w:r>
        <w:rPr>
          <w:lang w:val="es-ES"/>
        </w:rPr>
        <w:t xml:space="preserve"> </w:t>
      </w:r>
      <w:r>
        <w:rPr>
          <w:lang w:val="es-ES"/>
        </w:rPr>
        <w:t xml:space="preserve">Registro de riesgos y tramitación de cambios.</w:t>
      </w:r>
      <w:r>
        <w:rPr>
          <w:lang w:val="es-ES"/>
        </w:rPr>
        <w:t xml:space="preserve"> </w:t>
      </w:r>
      <w:r>
        <w:rPr>
          <w:i/>
          <w:iCs/>
          <w:lang w:val="es-ES"/>
        </w:rPr>
        <w:t xml:space="preserve">Ciclo:</w:t>
      </w:r>
      <w:r>
        <w:rPr>
          <w:lang w:val="es-ES"/>
        </w:rPr>
        <w:t xml:space="preserve"> </w:t>
      </w:r>
      <w:r>
        <w:rPr>
          <w:lang w:val="es-ES"/>
        </w:rPr>
        <w:t xml:space="preserve">transversal.</w:t>
      </w:r>
      <w:r>
        <w:rPr>
          <w:lang w:val="es-ES"/>
        </w:rPr>
        <w:t xml:space="preserve"> </w:t>
      </w:r>
      <w:r>
        <w:rPr>
          <w:i/>
          <w:iCs/>
          <w:lang w:val="es-ES"/>
        </w:rPr>
        <w:t xml:space="preserve">Evita:</w:t>
      </w:r>
      <w:r>
        <w:rPr>
          <w:lang w:val="es-ES"/>
        </w:rPr>
        <w:t xml:space="preserve"> </w:t>
      </w:r>
      <w:r>
        <w:rPr>
          <w:lang w:val="es-ES"/>
        </w:rPr>
        <w:t xml:space="preserve">la deriva de alcance disfrazada de buenas ideas.</w:t>
      </w:r>
    </w:p>
    <w:p>
      <w:pPr>
        <w:pStyle w:val="BodyText"/>
      </w:pPr>
      <w:r>
        <w:rPr>
          <w:b/>
          <w:bCs/>
          <w:lang w:val="es-ES"/>
        </w:rPr>
        <w:t xml:space="preserve">A6 — Retrospectiva y mejora.</w:t>
      </w:r>
      <w:r>
        <w:rPr>
          <w:lang w:val="es-ES"/>
        </w:rPr>
        <w:t xml:space="preserve"> </w:t>
      </w:r>
      <w:r>
        <w:rPr>
          <w:lang w:val="es-ES"/>
        </w:rPr>
        <w:t xml:space="preserve">Qué pasó, por qué, qué cambiamos —con causa raíz.</w:t>
      </w:r>
      <w:r>
        <w:rPr>
          <w:lang w:val="es-ES"/>
        </w:rPr>
        <w:t xml:space="preserve"> </w:t>
      </w:r>
      <w:r>
        <w:rPr>
          <w:i/>
          <w:iCs/>
          <w:lang w:val="es-ES"/>
        </w:rPr>
        <w:t xml:space="preserve">Ciclo:</w:t>
      </w:r>
      <w:r>
        <w:rPr>
          <w:lang w:val="es-ES"/>
        </w:rPr>
        <w:t xml:space="preserve"> </w:t>
      </w:r>
      <w:r>
        <w:rPr>
          <w:lang w:val="es-ES"/>
        </w:rPr>
        <w:t xml:space="preserve">cierre y mejora.</w:t>
      </w:r>
      <w:r>
        <w:rPr>
          <w:lang w:val="es-ES"/>
        </w:rPr>
        <w:t xml:space="preserve"> </w:t>
      </w:r>
      <w:r>
        <w:rPr>
          <w:i/>
          <w:iCs/>
          <w:lang w:val="es-ES"/>
        </w:rPr>
        <w:t xml:space="preserve">Evita:</w:t>
      </w:r>
      <w:r>
        <w:rPr>
          <w:lang w:val="es-ES"/>
        </w:rPr>
        <w:t xml:space="preserve"> </w:t>
      </w:r>
      <w:r>
        <w:rPr>
          <w:lang w:val="es-ES"/>
        </w:rPr>
        <w:t xml:space="preserve">repetir el mismo error con entusiasmo renovado.</w:t>
      </w:r>
    </w:p>
    <w:p>
      <w:pPr>
        <w:pStyle w:val="BodyText"/>
      </w:pPr>
      <w:r>
        <w:rPr>
          <w:b/>
          <w:bCs/>
          <w:lang w:val="es-ES"/>
        </w:rPr>
        <w:t xml:space="preserve">A7 — Registro de patrones y antipatrones.</w:t>
      </w:r>
      <w:r>
        <w:rPr>
          <w:lang w:val="es-ES"/>
        </w:rPr>
        <w:t xml:space="preserve"> </w:t>
      </w:r>
      <w:r>
        <w:rPr>
          <w:lang w:val="es-ES"/>
        </w:rPr>
        <w:t xml:space="preserve">Para ir poblando tu catálogo propio de soluciones y errores recurrentes.</w:t>
      </w:r>
      <w:r>
        <w:rPr>
          <w:lang w:val="es-ES"/>
        </w:rPr>
        <w:t xml:space="preserve"> </w:t>
      </w:r>
      <w:r>
        <w:rPr>
          <w:i/>
          <w:iCs/>
          <w:lang w:val="es-ES"/>
        </w:rPr>
        <w:t xml:space="preserve">Ciclo:</w:t>
      </w:r>
      <w:r>
        <w:rPr>
          <w:lang w:val="es-ES"/>
        </w:rPr>
        <w:t xml:space="preserve"> </w:t>
      </w:r>
      <w:r>
        <w:rPr>
          <w:lang w:val="es-ES"/>
        </w:rPr>
        <w:t xml:space="preserve">mejora continua.</w:t>
      </w:r>
      <w:r>
        <w:rPr>
          <w:lang w:val="es-ES"/>
        </w:rPr>
        <w:t xml:space="preserve"> </w:t>
      </w:r>
      <w:r>
        <w:rPr>
          <w:i/>
          <w:iCs/>
          <w:lang w:val="es-ES"/>
        </w:rPr>
        <w:t xml:space="preserve">Evita:</w:t>
      </w:r>
      <w:r>
        <w:rPr>
          <w:lang w:val="es-ES"/>
        </w:rPr>
        <w:t xml:space="preserve"> </w:t>
      </w:r>
      <w:r>
        <w:rPr>
          <w:lang w:val="es-ES"/>
        </w:rPr>
        <w:t xml:space="preserve">que lo aprendido se pierda con quien se va.</w:t>
      </w:r>
    </w:p>
    <w:p>
      <w:pPr>
        <w:pStyle w:val="BodyText"/>
      </w:pPr>
      <w:r>
        <w:rPr>
          <w:b/>
          <w:bCs/>
          <w:lang w:val="es-ES"/>
        </w:rPr>
        <w:t xml:space="preserve">A8 — ADR: registro de decisión.</w:t>
      </w:r>
      <w:r>
        <w:rPr>
          <w:lang w:val="es-ES"/>
        </w:rPr>
        <w:t xml:space="preserve"> </w:t>
      </w:r>
      <w:r>
        <w:rPr>
          <w:lang w:val="es-ES"/>
        </w:rPr>
        <w:t xml:space="preserve">Decisiones estructurales con alternativas y consecuencias.</w:t>
      </w:r>
      <w:r>
        <w:rPr>
          <w:lang w:val="es-ES"/>
        </w:rPr>
        <w:t xml:space="preserve"> </w:t>
      </w:r>
      <w:r>
        <w:rPr>
          <w:i/>
          <w:iCs/>
          <w:lang w:val="es-ES"/>
        </w:rPr>
        <w:t xml:space="preserve">Ciclo:</w:t>
      </w:r>
      <w:r>
        <w:rPr>
          <w:lang w:val="es-ES"/>
        </w:rPr>
        <w:t xml:space="preserve"> </w:t>
      </w:r>
      <w:r>
        <w:rPr>
          <w:lang w:val="es-ES"/>
        </w:rPr>
        <w:t xml:space="preserve">diseño y cambios mayores.</w:t>
      </w:r>
      <w:r>
        <w:rPr>
          <w:lang w:val="es-ES"/>
        </w:rPr>
        <w:t xml:space="preserve"> </w:t>
      </w:r>
      <w:r>
        <w:rPr>
          <w:i/>
          <w:iCs/>
          <w:lang w:val="es-ES"/>
        </w:rPr>
        <w:t xml:space="preserve">Evita:</w:t>
      </w:r>
      <w:r>
        <w:rPr>
          <w:lang w:val="es-ES"/>
        </w:rPr>
        <w:t xml:space="preserve"> </w:t>
      </w:r>
      <w:r>
        <w:rPr>
          <w:lang w:val="es-ES"/>
        </w:rPr>
        <w:t xml:space="preserve">la costumbre que nadie puede justificar.</w:t>
      </w:r>
    </w:p>
    <w:bookmarkEnd w:id="10"/>
    <w:bookmarkStart w:id="11" w:name="Xa27ba9073508aa3de2b0df82a985dd5663ff7e6"/>
    <w:p>
      <w:pPr>
        <w:pStyle w:val="Heading3"/>
      </w:pPr>
      <w:r>
        <w:rPr>
          <w:lang w:val="es-ES"/>
        </w:rPr>
        <w:t xml:space="preserve">Familia S — estudio y práctica personal (metas y sesiones)</w:t>
      </w:r>
    </w:p>
    <w:p>
      <w:pPr>
        <w:pStyle w:val="FirstParagraph"/>
      </w:pPr>
      <w:r>
        <w:rPr>
          <w:b/>
          <w:bCs/>
          <w:lang w:val="es-ES"/>
        </w:rPr>
        <w:t xml:space="preserve">S1 — Meta y práctica de estudio.</w:t>
      </w:r>
      <w:r>
        <w:rPr>
          <w:lang w:val="es-ES"/>
        </w:rPr>
        <w:t xml:space="preserve"> </w:t>
      </w:r>
      <w:r>
        <w:rPr>
          <w:lang w:val="es-ES"/>
        </w:rPr>
        <w:t xml:space="preserve">Para tus metas y alcances personales: qué voy a dominar, evidencia de que lo logré, plan de sesiones de práctica y registro. Funciona con un libro, una herramienta o una habilidad.</w:t>
      </w:r>
      <w:r>
        <w:rPr>
          <w:lang w:val="es-ES"/>
        </w:rPr>
        <w:t xml:space="preserve"> </w:t>
      </w:r>
      <w:r>
        <w:rPr>
          <w:i/>
          <w:iCs/>
          <w:lang w:val="es-ES"/>
        </w:rPr>
        <w:t xml:space="preserve">Ciclo:</w:t>
      </w:r>
      <w:r>
        <w:rPr>
          <w:lang w:val="es-ES"/>
        </w:rPr>
        <w:t xml:space="preserve"> </w:t>
      </w:r>
      <w:r>
        <w:rPr>
          <w:lang w:val="es-ES"/>
        </w:rPr>
        <w:t xml:space="preserve">cualquier aprendizaje autodirigido (y el bloque G del glosario neuro lo respalda: andragogía aplicada a ti mismo).</w:t>
      </w:r>
    </w:p>
    <w:bookmarkEnd w:id="11"/>
    <w:bookmarkStart w:id="12" w:name="familia-d-desarrollos-software-y-afines"/>
    <w:p>
      <w:pPr>
        <w:pStyle w:val="Heading3"/>
      </w:pPr>
      <w:r>
        <w:rPr>
          <w:lang w:val="es-ES"/>
        </w:rPr>
        <w:t xml:space="preserve">Familia D — desarrollos (software y afines)</w:t>
      </w:r>
    </w:p>
    <w:p>
      <w:pPr>
        <w:pStyle w:val="FirstParagraph"/>
      </w:pPr>
      <w:r>
        <w:rPr>
          <w:b/>
          <w:bCs/>
          <w:lang w:val="es-ES"/>
        </w:rPr>
        <w:t xml:space="preserve">D1 — Desarrollo (ciclo completo en una).</w:t>
      </w:r>
      <w:r>
        <w:rPr>
          <w:lang w:val="es-ES"/>
        </w:rPr>
        <w:t xml:space="preserve"> </w:t>
      </w:r>
      <w:r>
        <w:rPr>
          <w:lang w:val="es-ES"/>
        </w:rPr>
        <w:t xml:space="preserve">Para implementaciones de software u otros desarrollos: del problema al</w:t>
      </w:r>
      <w:r>
        <w:rPr>
          <w:lang w:val="es-ES"/>
        </w:rPr>
        <w:t xml:space="preserve"> </w:t>
      </w:r>
      <w:r>
        <w:rPr>
          <w:i/>
          <w:iCs/>
          <w:lang w:val="es-ES"/>
        </w:rPr>
        <w:t xml:space="preserve">release</w:t>
      </w:r>
      <w:r>
        <w:rPr>
          <w:lang w:val="es-ES"/>
        </w:rPr>
        <w:t xml:space="preserve">, con requisitos técnicos, entregables por iteración, pruebas (verificación) con usuario (validación), deuda técnica consciente y retrospectiva por sprint. Usa el vocabulario IG sin traducir.</w:t>
      </w:r>
    </w:p>
    <w:bookmarkEnd w:id="12"/>
    <w:bookmarkStart w:id="13" w:name="Xd0b120d95bd5f2b5d37c4ca5990c474fa681685"/>
    <w:p>
      <w:pPr>
        <w:pStyle w:val="Heading3"/>
      </w:pPr>
      <w:r>
        <w:rPr>
          <w:lang w:val="es-ES"/>
        </w:rPr>
        <w:t xml:space="preserve">Familia N — proyectos de neuroeducación con niños concretos</w:t>
      </w:r>
    </w:p>
    <w:p>
      <w:pPr>
        <w:pStyle w:val="FirstParagraph"/>
      </w:pPr>
      <w:r>
        <w:rPr>
          <w:b/>
          <w:bCs/>
          <w:lang w:val="es-ES"/>
        </w:rPr>
        <w:t xml:space="preserve">N1 — Realidad alcanzable (neuroeducación).</w:t>
      </w:r>
      <w:r>
        <w:rPr>
          <w:lang w:val="es-ES"/>
        </w:rPr>
        <w:t xml:space="preserve"> </w:t>
      </w:r>
      <w:r>
        <w:rPr>
          <w:lang w:val="es-ES"/>
        </w:rPr>
        <w:t xml:space="preserve">Para plantear realidades alcanzables para un grupo o una niña o niño específico: perfil sin diagnóstico, referentes por edad, apoyos por perfil, entorno y estados, protocolos y evidencia de proceso. Trae las guardas del Acta: consentimiento, minimización de datos, derivación sin diagnóstico.</w:t>
      </w:r>
    </w:p>
    <w:bookmarkEnd w:id="13"/>
    <w:bookmarkStart w:id="14" w:name="familia-t-talleres-y-cursos"/>
    <w:p>
      <w:pPr>
        <w:pStyle w:val="Heading3"/>
      </w:pPr>
      <w:r>
        <w:rPr>
          <w:lang w:val="es-ES"/>
        </w:rPr>
        <w:t xml:space="preserve">Familia T — talleres y cursos</w:t>
      </w:r>
    </w:p>
    <w:p>
      <w:pPr>
        <w:pStyle w:val="FirstParagraph"/>
      </w:pPr>
      <w:r>
        <w:rPr>
          <w:b/>
          <w:bCs/>
          <w:lang w:val="es-ES"/>
        </w:rPr>
        <w:t xml:space="preserve">T1 — Diseño de taller o curso.</w:t>
      </w:r>
      <w:r>
        <w:rPr>
          <w:lang w:val="es-ES"/>
        </w:rPr>
        <w:t xml:space="preserve"> </w:t>
      </w:r>
      <w:r>
        <w:rPr>
          <w:lang w:val="es-ES"/>
        </w:rPr>
        <w:t xml:space="preserve">Objetivo verificable, evidencia, secuencia con tiempos, accesibilidad (UDL), evaluación por proceso y piloto breve. Es el ADDIE de una página (IA2).</w:t>
      </w:r>
    </w:p>
    <w:p>
      <w:r>
        <w:pict>
          <v:rect style="width:0;height:1.5pt" o:hralign="center" o:hrstd="t" o:hr="t"/>
        </w:pict>
      </w:r>
    </w:p>
    <w:bookmarkEnd w:id="14"/>
    <w:bookmarkStart w:id="15" w:name="familia-gob-gobernanza-formal-11"/>
    <w:p>
      <w:pPr>
        <w:pStyle w:val="Heading3"/>
      </w:pPr>
      <w:r>
        <w:rPr>
          <w:lang w:val="es-ES"/>
        </w:rPr>
        <w:t xml:space="preserve">Familia GOB — gobernanza formal (11)</w:t>
      </w:r>
    </w:p>
    <w:p>
      <w:pPr>
        <w:pStyle w:val="FirstParagraph"/>
      </w:pPr>
      <w:r>
        <w:rPr>
          <w:lang w:val="es-ES"/>
        </w:rPr>
        <w:t xml:space="preserve">Las plantillas que cierran las brechas del inventario de gobernanza (</w:t>
      </w:r>
      <w:r>
        <w:rPr>
          <w:rStyle w:val="VerbatimChar"/>
          <w:lang w:val="es-ES"/>
        </w:rPr>
        <w:t xml:space="preserve">Ingeniería de la Educación/gobernanza-inventario-de-instrumentos.md</w:t>
      </w:r>
      <w:r>
        <w:rPr>
          <w:lang w:val="es-ES"/>
        </w:rPr>
        <w:t xml:space="preserve">, §8). Cada una lleva el código GOB del instrumento que formaliza:</w:t>
      </w:r>
    </w:p>
    <w:p>
      <w:pPr>
        <w:pStyle w:val="BodyText"/>
      </w:pPr>
      <w:r>
        <w:rPr>
          <w:b/>
          <w:bCs/>
          <w:lang w:val="es-ES"/>
        </w:rPr>
        <w:t xml:space="preserve">GOB7 — Política de protección</w:t>
      </w:r>
      <w:r>
        <w:rPr>
          <w:lang w:val="es-ES"/>
        </w:rPr>
        <w:t xml:space="preserve"> </w:t>
      </w:r>
      <w:r>
        <w:rPr>
          <w:lang w:val="es-ES"/>
        </w:rPr>
        <w:t xml:space="preserve">(datos, imagen, IA y no daño) ·</w:t>
      </w:r>
      <w:r>
        <w:rPr>
          <w:lang w:val="es-ES"/>
        </w:rPr>
        <w:t xml:space="preserve"> </w:t>
      </w:r>
      <w:r>
        <w:rPr>
          <w:b/>
          <w:bCs/>
          <w:lang w:val="es-ES"/>
        </w:rPr>
        <w:t xml:space="preserve">GOB8 — Código de conducta</w:t>
      </w:r>
      <w:r>
        <w:rPr>
          <w:lang w:val="es-ES"/>
        </w:rPr>
        <w:t xml:space="preserve"> </w:t>
      </w:r>
      <w:r>
        <w:rPr>
          <w:lang w:val="es-ES"/>
        </w:rPr>
        <w:t xml:space="preserve">con canal de reporte ·</w:t>
      </w:r>
      <w:r>
        <w:rPr>
          <w:lang w:val="es-ES"/>
        </w:rPr>
        <w:t xml:space="preserve"> </w:t>
      </w:r>
      <w:r>
        <w:rPr>
          <w:b/>
          <w:bCs/>
          <w:lang w:val="es-ES"/>
        </w:rPr>
        <w:t xml:space="preserve">GOB9 — Registro de decisiones, problemas y supuestos</w:t>
      </w:r>
      <w:r>
        <w:rPr>
          <w:lang w:val="es-ES"/>
        </w:rPr>
        <w:t xml:space="preserve"> </w:t>
      </w:r>
      <w:r>
        <w:rPr>
          <w:lang w:val="es-ES"/>
        </w:rPr>
        <w:t xml:space="preserve">·</w:t>
      </w:r>
      <w:r>
        <w:rPr>
          <w:lang w:val="es-ES"/>
        </w:rPr>
        <w:t xml:space="preserve"> </w:t>
      </w:r>
      <w:r>
        <w:rPr>
          <w:b/>
          <w:bCs/>
          <w:lang w:val="es-ES"/>
        </w:rPr>
        <w:t xml:space="preserve">GOB10 — Acta de reunión con acuerdos</w:t>
      </w:r>
      <w:r>
        <w:rPr>
          <w:lang w:val="es-ES"/>
        </w:rPr>
        <w:t xml:space="preserve"> </w:t>
      </w:r>
      <w:r>
        <w:rPr>
          <w:lang w:val="es-ES"/>
        </w:rPr>
        <w:t xml:space="preserve">·</w:t>
      </w:r>
      <w:r>
        <w:rPr>
          <w:lang w:val="es-ES"/>
        </w:rPr>
        <w:t xml:space="preserve"> </w:t>
      </w:r>
      <w:r>
        <w:rPr>
          <w:b/>
          <w:bCs/>
          <w:lang w:val="es-ES"/>
        </w:rPr>
        <w:t xml:space="preserve">GOB15 — Informe de estado ejecutivo y de ciclo</w:t>
      </w:r>
      <w:r>
        <w:rPr>
          <w:lang w:val="es-ES"/>
        </w:rPr>
        <w:t xml:space="preserve"> </w:t>
      </w:r>
      <w:r>
        <w:rPr>
          <w:lang w:val="es-ES"/>
        </w:rPr>
        <w:t xml:space="preserve">·</w:t>
      </w:r>
      <w:r>
        <w:rPr>
          <w:lang w:val="es-ES"/>
        </w:rPr>
        <w:t xml:space="preserve"> </w:t>
      </w:r>
      <w:r>
        <w:rPr>
          <w:b/>
          <w:bCs/>
          <w:lang w:val="es-ES"/>
        </w:rPr>
        <w:t xml:space="preserve">GOB16 — Consentimiento informado</w:t>
      </w:r>
      <w:r>
        <w:rPr>
          <w:lang w:val="es-ES"/>
        </w:rPr>
        <w:t xml:space="preserve"> </w:t>
      </w:r>
      <w:r>
        <w:rPr>
          <w:lang w:val="es-ES"/>
        </w:rPr>
        <w:t xml:space="preserve">(lenguaje llano para familias) ·</w:t>
      </w:r>
      <w:r>
        <w:rPr>
          <w:lang w:val="es-ES"/>
        </w:rPr>
        <w:t xml:space="preserve"> </w:t>
      </w:r>
      <w:r>
        <w:rPr>
          <w:b/>
          <w:bCs/>
          <w:lang w:val="es-ES"/>
        </w:rPr>
        <w:t xml:space="preserve">GOB19 — Acuerdos con terceros</w:t>
      </w:r>
      <w:r>
        <w:rPr>
          <w:lang w:val="es-ES"/>
        </w:rPr>
        <w:t xml:space="preserve"> </w:t>
      </w:r>
      <w:r>
        <w:rPr>
          <w:lang w:val="es-ES"/>
        </w:rPr>
        <w:t xml:space="preserve">(NDA, encargos, visitantes) ·</w:t>
      </w:r>
      <w:r>
        <w:rPr>
          <w:lang w:val="es-ES"/>
        </w:rPr>
        <w:t xml:space="preserve"> </w:t>
      </w:r>
      <w:r>
        <w:rPr>
          <w:b/>
          <w:bCs/>
          <w:lang w:val="es-ES"/>
        </w:rPr>
        <w:t xml:space="preserve">GOB20 — Manual de inducción y transferencia</w:t>
      </w:r>
      <w:r>
        <w:rPr>
          <w:lang w:val="es-ES"/>
        </w:rPr>
        <w:t xml:space="preserve"> </w:t>
      </w:r>
      <w:r>
        <w:rPr>
          <w:lang w:val="es-ES"/>
        </w:rPr>
        <w:t xml:space="preserve">·</w:t>
      </w:r>
      <w:r>
        <w:rPr>
          <w:lang w:val="es-ES"/>
        </w:rPr>
        <w:t xml:space="preserve"> </w:t>
      </w:r>
      <w:r>
        <w:rPr>
          <w:b/>
          <w:bCs/>
          <w:lang w:val="es-ES"/>
        </w:rPr>
        <w:t xml:space="preserve">GOB22 — Presupuesto y autorizaciones</w:t>
      </w:r>
      <w:r>
        <w:rPr>
          <w:lang w:val="es-ES"/>
        </w:rPr>
        <w:t xml:space="preserve"> </w:t>
      </w:r>
      <w:r>
        <w:rPr>
          <w:lang w:val="es-ES"/>
        </w:rPr>
        <w:t xml:space="preserve">·</w:t>
      </w:r>
      <w:r>
        <w:rPr>
          <w:lang w:val="es-ES"/>
        </w:rPr>
        <w:t xml:space="preserve"> </w:t>
      </w:r>
      <w:r>
        <w:rPr>
          <w:b/>
          <w:bCs/>
          <w:lang w:val="es-ES"/>
        </w:rPr>
        <w:t xml:space="preserve">GOB25 — Escalera de decisión y delegación</w:t>
      </w:r>
      <w:r>
        <w:rPr>
          <w:lang w:val="es-ES"/>
        </w:rPr>
        <w:t xml:space="preserve"> </w:t>
      </w:r>
      <w:r>
        <w:rPr>
          <w:lang w:val="es-ES"/>
        </w:rPr>
        <w:t xml:space="preserve">·</w:t>
      </w:r>
      <w:r>
        <w:rPr>
          <w:lang w:val="es-ES"/>
        </w:rPr>
        <w:t xml:space="preserve"> </w:t>
      </w:r>
      <w:r>
        <w:rPr>
          <w:b/>
          <w:bCs/>
          <w:lang w:val="es-ES"/>
        </w:rPr>
        <w:t xml:space="preserve">GOB51 — Caso de negocio y decisión Go/No-Go</w:t>
      </w:r>
      <w:r>
        <w:rPr>
          <w:lang w:val="es-ES"/>
        </w:rPr>
        <w:t xml:space="preserve">.</w:t>
      </w:r>
    </w:p>
    <w:p>
      <w:pPr>
        <w:pStyle w:val="BodyText"/>
      </w:pPr>
      <w:r>
        <w:rPr>
          <w:i/>
          <w:iCs/>
          <w:lang w:val="es-ES"/>
        </w:rPr>
        <w:t xml:space="preserve">Ciclo:</w:t>
      </w:r>
      <w:r>
        <w:rPr>
          <w:lang w:val="es-ES"/>
        </w:rPr>
        <w:t xml:space="preserve"> </w:t>
      </w:r>
      <w:r>
        <w:rPr>
          <w:lang w:val="es-ES"/>
        </w:rPr>
        <w:t xml:space="preserve">la mayoría en</w:t>
      </w:r>
      <w:r>
        <w:rPr>
          <w:lang w:val="es-ES"/>
        </w:rPr>
        <w:t xml:space="preserve"> </w:t>
      </w:r>
      <w:r>
        <w:rPr>
          <w:b/>
          <w:bCs/>
          <w:lang w:val="es-ES"/>
        </w:rPr>
        <w:t xml:space="preserve">inicio</w:t>
      </w:r>
      <w:r>
        <w:rPr>
          <w:lang w:val="es-ES"/>
        </w:rPr>
        <w:t xml:space="preserve">; GOB9 y GOB10 son</w:t>
      </w:r>
      <w:r>
        <w:rPr>
          <w:lang w:val="es-ES"/>
        </w:rPr>
        <w:t xml:space="preserve"> </w:t>
      </w:r>
      <w:r>
        <w:rPr>
          <w:b/>
          <w:bCs/>
          <w:lang w:val="es-ES"/>
        </w:rPr>
        <w:t xml:space="preserve">transversales</w:t>
      </w:r>
      <w:r>
        <w:rPr>
          <w:lang w:val="es-ES"/>
        </w:rPr>
        <w:t xml:space="preserve">; GOB15 alterna lo periódico y lo de cierre; GOB20 se mantiene</w:t>
      </w:r>
      <w:r>
        <w:rPr>
          <w:lang w:val="es-ES"/>
        </w:rPr>
        <w:t xml:space="preserve"> </w:t>
      </w:r>
      <w:r>
        <w:rPr>
          <w:b/>
          <w:bCs/>
          <w:lang w:val="es-ES"/>
        </w:rPr>
        <w:t xml:space="preserve">continuo</w:t>
      </w:r>
      <w:r>
        <w:rPr>
          <w:lang w:val="es-ES"/>
        </w:rPr>
        <w:t xml:space="preserve">.</w:t>
      </w:r>
    </w:p>
    <w:bookmarkEnd w:id="15"/>
    <w:bookmarkEnd w:id="16"/>
    <w:bookmarkStart w:id="17" w:name="X953347e5a0d1787b9e6073bb68ec35b34194f42"/>
    <w:p>
      <w:pPr>
        <w:pStyle w:val="Heading2"/>
      </w:pPr>
      <w:r>
        <w:rPr>
          <w:lang w:val="es-ES"/>
        </w:rPr>
        <w:t xml:space="preserve">Mapa rápido: ¿cuál uso según lo que tienes en frente?</w:t>
      </w:r>
    </w:p>
    <w:p>
      <w:pPr>
        <w:pStyle w:val="Compact"/>
        <w:numPr>
          <w:ilvl w:val="0"/>
          <w:numId w:val="1001"/>
        </w:numPr>
      </w:pPr>
      <w:r>
        <w:rPr>
          <w:b/>
          <w:bCs/>
          <w:lang w:val="es-ES"/>
        </w:rPr>
        <w:t xml:space="preserve">No sabes por dónde empezar</w:t>
      </w:r>
      <w:r>
        <w:rPr>
          <w:lang w:val="es-ES"/>
        </w:rPr>
        <w:t xml:space="preserve"> </w:t>
      </w:r>
      <w:r>
        <w:rPr>
          <w:lang w:val="es-ES"/>
        </w:rPr>
        <w:t xml:space="preserve">→ A1, después A2.</w:t>
      </w:r>
    </w:p>
    <w:p>
      <w:pPr>
        <w:pStyle w:val="Compact"/>
        <w:numPr>
          <w:ilvl w:val="0"/>
          <w:numId w:val="1001"/>
        </w:numPr>
      </w:pPr>
      <w:r>
        <w:rPr>
          <w:b/>
          <w:bCs/>
          <w:lang w:val="es-ES"/>
        </w:rPr>
        <w:t xml:space="preserve">Ya sabes qué quieres pero no cómo</w:t>
      </w:r>
      <w:r>
        <w:rPr>
          <w:lang w:val="es-ES"/>
        </w:rPr>
        <w:t xml:space="preserve"> </w:t>
      </w:r>
      <w:r>
        <w:rPr>
          <w:lang w:val="es-ES"/>
        </w:rPr>
        <w:t xml:space="preserve">→ A3 (y D1 si es software, T1 si es un curso, N1 si hay niños).</w:t>
      </w:r>
    </w:p>
    <w:p>
      <w:pPr>
        <w:pStyle w:val="Compact"/>
        <w:numPr>
          <w:ilvl w:val="0"/>
          <w:numId w:val="1001"/>
        </w:numPr>
      </w:pPr>
      <w:r>
        <w:rPr>
          <w:b/>
          <w:bCs/>
          <w:lang w:val="es-ES"/>
        </w:rPr>
        <w:t xml:space="preserve">Va en marcha y necesitas medir</w:t>
      </w:r>
      <w:r>
        <w:rPr>
          <w:lang w:val="es-ES"/>
        </w:rPr>
        <w:t xml:space="preserve"> </w:t>
      </w:r>
      <w:r>
        <w:rPr>
          <w:lang w:val="es-ES"/>
        </w:rPr>
        <w:t xml:space="preserve">→ A4.</w:t>
      </w:r>
    </w:p>
    <w:p>
      <w:pPr>
        <w:pStyle w:val="Compact"/>
        <w:numPr>
          <w:ilvl w:val="0"/>
          <w:numId w:val="1001"/>
        </w:numPr>
      </w:pPr>
      <w:r>
        <w:rPr>
          <w:b/>
          <w:bCs/>
          <w:lang w:val="es-ES"/>
        </w:rPr>
        <w:t xml:space="preserve">Hay que cambiar lo que ya estaba decidido</w:t>
      </w:r>
      <w:r>
        <w:rPr>
          <w:lang w:val="es-ES"/>
        </w:rPr>
        <w:t xml:space="preserve"> </w:t>
      </w:r>
      <w:r>
        <w:rPr>
          <w:lang w:val="es-ES"/>
        </w:rPr>
        <w:t xml:space="preserve">→ A5 (y A8 si la decisión es estructural).</w:t>
      </w:r>
    </w:p>
    <w:p>
      <w:pPr>
        <w:pStyle w:val="Compact"/>
        <w:numPr>
          <w:ilvl w:val="0"/>
          <w:numId w:val="1001"/>
        </w:numPr>
      </w:pPr>
      <w:r>
        <w:rPr>
          <w:b/>
          <w:bCs/>
          <w:lang w:val="es-ES"/>
        </w:rPr>
        <w:t xml:space="preserve">Terminó una etapa</w:t>
      </w:r>
      <w:r>
        <w:rPr>
          <w:lang w:val="es-ES"/>
        </w:rPr>
        <w:t xml:space="preserve"> </w:t>
      </w:r>
      <w:r>
        <w:rPr>
          <w:lang w:val="es-ES"/>
        </w:rPr>
        <w:t xml:space="preserve">→ A6; si descubriste algo repetible → A7.</w:t>
      </w:r>
    </w:p>
    <w:p>
      <w:pPr>
        <w:pStyle w:val="Compact"/>
        <w:numPr>
          <w:ilvl w:val="0"/>
          <w:numId w:val="1001"/>
        </w:numPr>
      </w:pPr>
      <w:r>
        <w:rPr>
          <w:b/>
          <w:bCs/>
          <w:lang w:val="es-ES"/>
        </w:rPr>
        <w:t xml:space="preserve">Aprendes algo tú solo</w:t>
      </w:r>
      <w:r>
        <w:rPr>
          <w:lang w:val="es-ES"/>
        </w:rPr>
        <w:t xml:space="preserve"> </w:t>
      </w:r>
      <w:r>
        <w:rPr>
          <w:lang w:val="es-ES"/>
        </w:rPr>
        <w:t xml:space="preserve">→ S1.</w:t>
      </w:r>
    </w:p>
    <w:p>
      <w:pPr>
        <w:pStyle w:val="Compact"/>
        <w:numPr>
          <w:ilvl w:val="0"/>
          <w:numId w:val="1001"/>
        </w:numPr>
      </w:pPr>
      <w:r>
        <w:rPr>
          <w:b/>
          <w:bCs/>
          <w:lang w:val="es-ES"/>
        </w:rPr>
        <w:t xml:space="preserve">Tienes que decidir si vale la pena o no empezar</w:t>
      </w:r>
      <w:r>
        <w:rPr>
          <w:lang w:val="es-ES"/>
        </w:rPr>
        <w:t xml:space="preserve"> </w:t>
      </w:r>
      <w:r>
        <w:rPr>
          <w:lang w:val="es-ES"/>
        </w:rPr>
        <w:t xml:space="preserve">→ GOB51 (caso de negocio y Go/No-Go).</w:t>
      </w:r>
    </w:p>
    <w:p>
      <w:pPr>
        <w:pStyle w:val="Compact"/>
        <w:numPr>
          <w:ilvl w:val="0"/>
          <w:numId w:val="1001"/>
        </w:numPr>
      </w:pPr>
      <w:r>
        <w:rPr>
          <w:b/>
          <w:bCs/>
          <w:lang w:val="es-ES"/>
        </w:rPr>
        <w:t xml:space="preserve">Vas a formalizar cómo trabaja tu equipo</w:t>
      </w:r>
      <w:r>
        <w:rPr>
          <w:lang w:val="es-ES"/>
        </w:rPr>
        <w:t xml:space="preserve"> </w:t>
      </w:r>
      <w:r>
        <w:rPr>
          <w:lang w:val="es-ES"/>
        </w:rPr>
        <w:t xml:space="preserve">→ GOB7, GOB8 y GOB20 primero; GOB9 y GOB10 todos los días.</w:t>
      </w:r>
    </w:p>
    <w:p>
      <w:pPr>
        <w:pStyle w:val="Compact"/>
        <w:numPr>
          <w:ilvl w:val="0"/>
          <w:numId w:val="1001"/>
        </w:numPr>
      </w:pPr>
      <w:r>
        <w:rPr>
          <w:b/>
          <w:bCs/>
          <w:lang w:val="es-ES"/>
        </w:rPr>
        <w:t xml:space="preserve">Entras en relación con un tercero o una plataforma</w:t>
      </w:r>
      <w:r>
        <w:rPr>
          <w:lang w:val="es-ES"/>
        </w:rPr>
        <w:t xml:space="preserve"> </w:t>
      </w:r>
      <w:r>
        <w:rPr>
          <w:lang w:val="es-ES"/>
        </w:rPr>
        <w:t xml:space="preserve">→ GOB19 + la elección en ADR (y el catálogo</w:t>
      </w:r>
      <w:r>
        <w:rPr>
          <w:lang w:val="es-ES"/>
        </w:rPr>
        <w:t xml:space="preserve"> </w:t>
      </w:r>
      <w:r>
        <w:rPr>
          <w:rStyle w:val="VerbatimChar"/>
          <w:lang w:val="es-ES"/>
        </w:rPr>
        <w:t xml:space="preserve">plataformas-fooss-de-gobernanza.md</w:t>
      </w:r>
      <w:r>
        <w:rPr>
          <w:lang w:val="es-ES"/>
        </w:rPr>
        <w:t xml:space="preserve">).</w:t>
      </w:r>
    </w:p>
    <w:p>
      <w:pPr>
        <w:pStyle w:val="Compact"/>
        <w:numPr>
          <w:ilvl w:val="0"/>
          <w:numId w:val="1001"/>
        </w:numPr>
      </w:pPr>
      <w:r>
        <w:rPr>
          <w:b/>
          <w:bCs/>
          <w:lang w:val="es-ES"/>
        </w:rPr>
        <w:t xml:space="preserve">Diseñas para niñas y niños concretos</w:t>
      </w:r>
      <w:r>
        <w:rPr>
          <w:lang w:val="es-ES"/>
        </w:rPr>
        <w:t xml:space="preserve"> </w:t>
      </w:r>
      <w:r>
        <w:rPr>
          <w:lang w:val="es-ES"/>
        </w:rPr>
        <w:t xml:space="preserve">→ N1 (siempre junto a A2).</w:t>
      </w:r>
    </w:p>
    <w:p>
      <w:r>
        <w:pict>
          <v:rect style="width:0;height:1.5pt" o:hralign="center" o:hrstd="t" o:hr="t"/>
        </w:pict>
      </w:r>
    </w:p>
    <w:bookmarkEnd w:id="17"/>
    <w:bookmarkStart w:id="18" w:name="convenciones"/>
    <w:p>
      <w:pPr>
        <w:pStyle w:val="Heading2"/>
      </w:pPr>
      <w:r>
        <w:rPr>
          <w:lang w:val="es-ES"/>
        </w:rPr>
        <w:t xml:space="preserve">Convenciones</w:t>
      </w:r>
    </w:p>
    <w:p>
      <w:pPr>
        <w:pStyle w:val="FirstParagraph"/>
      </w:pPr>
      <w:r>
        <w:rPr>
          <w:lang w:val="es-ES"/>
        </w:rPr>
        <w:t xml:space="preserve">Los campos se llenan en línea (</w:t>
      </w:r>
      <w:r>
        <w:rPr>
          <w:rStyle w:val="VerbatimChar"/>
          <w:lang w:val="es-ES"/>
        </w:rPr>
        <w:t xml:space="preserve">____</w:t>
      </w:r>
      <w:r>
        <w:rPr>
          <w:lang w:val="es-ES"/>
        </w:rPr>
        <w:t xml:space="preserve">), con casillas (</w:t>
      </w:r>
      <w:r>
        <w:rPr>
          <w:rStyle w:val="VerbatimChar"/>
          <w:lang w:val="es-ES"/>
        </w:rPr>
        <w:t xml:space="preserve">☐</w:t>
      </w:r>
      <w:r>
        <w:rPr>
          <w:lang w:val="es-ES"/>
        </w:rPr>
        <w:t xml:space="preserve">) para lo que se marca. Cada plantilla indica su</w:t>
      </w:r>
      <w:r>
        <w:rPr>
          <w:lang w:val="es-ES"/>
        </w:rPr>
        <w:t xml:space="preserve"> </w:t>
      </w:r>
      <w:r>
        <w:rPr>
          <w:b/>
          <w:bCs/>
          <w:lang w:val="es-ES"/>
        </w:rPr>
        <w:t xml:space="preserve">fase del ciclo</w:t>
      </w:r>
      <w:r>
        <w:rPr>
          <w:lang w:val="es-ES"/>
        </w:rPr>
        <w:t xml:space="preserve">, sus</w:t>
      </w:r>
      <w:r>
        <w:rPr>
          <w:lang w:val="es-ES"/>
        </w:rPr>
        <w:t xml:space="preserve"> </w:t>
      </w:r>
      <w:r>
        <w:rPr>
          <w:b/>
          <w:bCs/>
          <w:lang w:val="es-ES"/>
        </w:rPr>
        <w:t xml:space="preserve">términos IG/IA/IE</w:t>
      </w:r>
      <w:r>
        <w:rPr>
          <w:lang w:val="es-ES"/>
        </w:rPr>
        <w:t xml:space="preserve"> </w:t>
      </w:r>
      <w:r>
        <w:rPr>
          <w:lang w:val="es-ES"/>
        </w:rPr>
        <w:t xml:space="preserve">de apoyo y, desde esta versión, su código de</w:t>
      </w:r>
      <w:r>
        <w:rPr>
          <w:lang w:val="es-ES"/>
        </w:rPr>
        <w:t xml:space="preserve"> </w:t>
      </w:r>
      <w:r>
        <w:rPr>
          <w:b/>
          <w:bCs/>
          <w:lang w:val="es-ES"/>
        </w:rPr>
        <w:t xml:space="preserve">gobernanza (GOB)</w:t>
      </w:r>
      <w:r>
        <w:rPr>
          <w:lang w:val="es-ES"/>
        </w:rPr>
        <w:t xml:space="preserve"> </w:t>
      </w:r>
      <w:r>
        <w:rPr>
          <w:lang w:val="es-ES"/>
        </w:rPr>
        <w:t xml:space="preserve">—el inventario completo de instrumentos vive en</w:t>
      </w:r>
      <w:r>
        <w:rPr>
          <w:lang w:val="es-ES"/>
        </w:rPr>
        <w:t xml:space="preserve"> </w:t>
      </w:r>
      <w:r>
        <w:rPr>
          <w:rStyle w:val="VerbatimChar"/>
          <w:lang w:val="es-ES"/>
        </w:rPr>
        <w:t xml:space="preserve">Ingeniería de la Educación/gobernanza-inventario-de-instrumentos.md</w:t>
      </w:r>
      <w:r>
        <w:rPr>
          <w:lang w:val="es-ES"/>
        </w:rPr>
        <w:t xml:space="preserve">. Se imprimen o se usan digitalmente; el DOCX de esta carpeta mantiene portada, índice y foliado de la serie. Y una nota honesta:</w:t>
      </w:r>
      <w:r>
        <w:rPr>
          <w:lang w:val="es-ES"/>
        </w:rPr>
        <w:t xml:space="preserve"> </w:t>
      </w:r>
      <w:r>
        <w:rPr>
          <w:b/>
          <w:bCs/>
          <w:lang w:val="es-ES"/>
        </w:rPr>
        <w:t xml:space="preserve">plantilla no es sustituto de conversación</w:t>
      </w:r>
      <w:r>
        <w:rPr>
          <w:lang w:val="es-ES"/>
        </w:rPr>
        <w:t xml:space="preserve"> </w:t>
      </w:r>
      <w:r>
        <w:rPr>
          <w:lang w:val="es-ES"/>
        </w:rPr>
        <w:t xml:space="preserve">—lo que no se puede llenar sin hablar con alguien, es exactamente lo que había que hablar con alguien.</w:t>
      </w:r>
    </w:p>
    <w:p>
      <w:r>
        <w:pict>
          <v:rect style="width:0;height:1.5pt" o:hralign="center" o:hrstd="t" o:hr="t"/>
        </w:pict>
      </w:r>
    </w:p>
    <w:p>
      <w:pPr>
        <w:pStyle w:val="FirstParagraph"/>
      </w:pPr>
      <w:r>
        <w:rPr>
          <w:i/>
          <w:iCs/>
          <w:lang w:val="es-ES"/>
        </w:rPr>
        <w:t xml:space="preserve">Capa Ingeniería de la Educación · Plantillas · v0.1 (23 plantillas: 12 del ciclo + índice y 11 de gobernanza) · Proyecto Programa Sintético.</w:t>
      </w:r>
    </w:p>
    <w:bookmarkEnd w:id="18"/>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de plantillas</dc:title>
  <dc:creator>Plantillas · Ingeniería de la Educación · Proyecto Programa Sintético</dc:creator>
  <dc:language>es-ES</dc:language>
  <cp:keywords/>
  <dcterms:created xsi:type="dcterms:W3CDTF">2026-09-29T04:11:14Z</dcterms:created>
  <dcterms:modified xsi:type="dcterms:W3CDTF">2026-09-29T04:11:14Z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Plantillas v0.1 · 24 plantillas · 29 de septiembre de 2026</vt:lpwstr>
  </property>
  <property fmtid="{D5CDD505-2E9C-101B-9397-08002B2CF9AE}" pid="3" name="subtitle">
    <vt:lpwstr>Cómo elegir y usar las plantillas del proyecto</vt:lpwstr>
  </property>
</Properties>
</file>