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A7 — Registro de patrones y antipatrones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mejora continua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tipo de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IG36 (patrón), IG37 (antipatrón), IG38 (arquitectura de soluciones repetibles)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GOB18, GOB39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Cuando algo funciona y se repite, merece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nombre</w:t>
      </w:r>
      <w:r>
        <w:rPr>
          <w:lang w:val="es-ES"/>
        </w:rPr>
        <w:t xml:space="preserve"> </w:t>
      </w:r>
      <w:r>
        <w:rPr>
          <w:lang w:val="es-ES"/>
        </w:rPr>
        <w:t xml:space="preserve">para poder enseñarlo, repetirlo y corregirlo con una palabra. Cuando algo falla y se repite, el nombre es aún más urgente. Úsala desde cualquier retrospectiva (A6) o cuando el equipo diga</w:t>
      </w:r>
      <w:r>
        <w:rPr>
          <w:lang w:val="es-ES"/>
        </w:rPr>
        <w:t xml:space="preserve"> </w:t>
      </w:r>
      <w:r>
        <w:rPr>
          <w:lang w:val="es-ES"/>
        </w:rPr>
        <w:t xml:space="preserve">“esto pasa siempre…”</w:t>
      </w:r>
      <w:r>
        <w:rPr>
          <w:lang w:val="es-ES"/>
        </w:rPr>
        <w:t xml:space="preserve">. El objetivo es ir poblando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tu catálogo propio</w:t>
      </w:r>
      <w:r>
        <w:rPr>
          <w:lang w:val="es-ES"/>
        </w:rPr>
        <w:t xml:space="preserve"> </w:t>
      </w:r>
      <w:r>
        <w:rPr>
          <w:lang w:val="es-ES"/>
        </w:rPr>
        <w:t xml:space="preserve">de soluciones y errores recurrentes, como los que ya viven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neurogestion-patrones-y-antipatrones.md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20350020688a59f5393f0a6e669126db19b62fa"/>
    <w:p>
      <w:pPr>
        <w:pStyle w:val="Heading2"/>
      </w:pPr>
      <w:r>
        <w:rPr>
          <w:lang w:val="es-ES"/>
        </w:rPr>
        <w:t xml:space="preserve">Cómo completarla — para cada hallazgo, una ficha</w:t>
      </w:r>
    </w:p>
    <w:p>
      <w:pPr>
        <w:pStyle w:val="FirstParagraph"/>
      </w:pPr>
      <w:r>
        <w:rPr>
          <w:b/>
          <w:bCs/>
          <w:lang w:val="es-ES"/>
        </w:rPr>
        <w:t xml:space="preserve">Ficha de patrón (solución que funcionó):</w:t>
      </w:r>
    </w:p>
    <w:p>
      <w:pPr>
        <w:pStyle w:val="BodyText"/>
      </w:pPr>
      <w:r>
        <w:rPr>
          <w:i/>
          <w:iCs/>
          <w:lang w:val="es-ES"/>
        </w:rPr>
        <w:t xml:space="preserve">Nombre corto (con el que se dirá en equipo):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Problema recurrente que resuelve: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Contexto donde funciona</w:t>
      </w:r>
      <w:r>
        <w:rPr>
          <w:lang w:val="es-ES"/>
        </w:rPr>
        <w:t xml:space="preserve"> </w:t>
      </w:r>
      <w:r>
        <w:rPr>
          <w:lang w:val="es-ES"/>
        </w:rPr>
        <w:t xml:space="preserve">(¿siempre, o en…?): 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La solución, en tres pasos:</w:t>
      </w:r>
      <w:r>
        <w:rPr>
          <w:lang w:val="es-ES"/>
        </w:rPr>
        <w:t xml:space="preserve"> </w:t>
      </w:r>
      <w:r>
        <w:rPr>
          <w:lang w:val="es-ES"/>
        </w:rPr>
        <w:t xml:space="preserve">1. ______________________________________________</w:t>
      </w:r>
      <w:r>
        <w:rPr>
          <w:lang w:val="es-ES"/>
        </w:rPr>
        <w:t xml:space="preserve"> </w:t>
      </w:r>
      <w:r>
        <w:rPr>
          <w:lang w:val="es-ES"/>
        </w:rPr>
        <w:t xml:space="preserve">2. ______________________________________________</w:t>
      </w:r>
      <w:r>
        <w:rPr>
          <w:lang w:val="es-ES"/>
        </w:rPr>
        <w:t xml:space="preserve"> </w:t>
      </w:r>
      <w:r>
        <w:rPr>
          <w:lang w:val="es-ES"/>
        </w:rPr>
        <w:t xml:space="preserve">3. 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Evidencia de que funciona</w:t>
      </w:r>
      <w:r>
        <w:rPr>
          <w:lang w:val="es-ES"/>
        </w:rPr>
        <w:t xml:space="preserve"> </w:t>
      </w:r>
      <w:r>
        <w:rPr>
          <w:lang w:val="es-ES"/>
        </w:rPr>
        <w:t xml:space="preserve">(dónde lo probamos y qué salió): 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Quién lo puede enseñar: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</w:p>
    <w:p>
      <w:pPr>
        <w:pStyle w:val="BodyText"/>
      </w:pPr>
      <w:r>
        <w:rPr>
          <w:lang w:val="es-ES"/>
        </w:rPr>
        <w:t xml:space="preserve">☐ Se registra en el catálogo del equipo · ☐ Pendiente de segunda prueba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es-ES"/>
        </w:rPr>
        <w:t xml:space="preserve">Ficha de antipatrón (forma que parece solución y daña):</w:t>
      </w:r>
    </w:p>
    <w:p>
      <w:pPr>
        <w:pStyle w:val="BodyText"/>
      </w:pPr>
      <w:r>
        <w:rPr>
          <w:i/>
          <w:iCs/>
          <w:lang w:val="es-ES"/>
        </w:rPr>
        <w:t xml:space="preserve">Nombre corto: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Qué se hace hoy y por qué parece buena idea: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Qué daña, concreto</w:t>
      </w:r>
      <w:r>
        <w:rPr>
          <w:lang w:val="es-ES"/>
        </w:rPr>
        <w:t xml:space="preserve"> </w:t>
      </w:r>
      <w:r>
        <w:rPr>
          <w:lang w:val="es-ES"/>
        </w:rPr>
        <w:t xml:space="preserve">(a quién, cómo se nota): 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El contrapatrón</w:t>
      </w:r>
      <w:r>
        <w:rPr>
          <w:lang w:val="es-ES"/>
        </w:rPr>
        <w:t xml:space="preserve"> </w:t>
      </w:r>
      <w:r>
        <w:rPr>
          <w:lang w:val="es-ES"/>
        </w:rPr>
        <w:t xml:space="preserve">(la forma buena que lo sustituye): 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lang w:val="es-ES"/>
        </w:rPr>
        <w:t xml:space="preserve">☐ Se nombra en equipo (sin humillar: es forma, no persona) · ☐ Se busca su contrapatrón en el catálogo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Un buen nombre de patrón se puede decir en una reunión sin explicación:</w:t>
      </w:r>
      <w:r>
        <w:rPr>
          <w:lang w:val="es-ES"/>
        </w:rPr>
        <w:t xml:space="preserve"> </w:t>
      </w:r>
      <w:r>
        <w:rPr>
          <w:lang w:val="es-ES"/>
        </w:rPr>
        <w:t xml:space="preserve">“esto es un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checklist muerto</w:t>
      </w:r>
      <w:r>
        <w:rPr>
          <w:lang w:val="es-ES"/>
        </w:rPr>
        <w:t xml:space="preserve">”</w:t>
      </w:r>
      <w:r>
        <w:rPr>
          <w:lang w:val="es-ES"/>
        </w:rPr>
        <w:t xml:space="preserve">. Si hace falta un párrafo para explicar el nombre, es demasiado largo. Y cuidado: registrar un antipatrón no es regalar una amonestación —es cambiar una forma que se repite, y eso se hace nombrándola, no señalando al que la hace.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mejora continua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A7 — Registro de patrones y antipatrones</dc:title>
  <dc:creator>Plantillas · Ingeniería de la Educación · Proyecto Programa Sintético</dc:creator>
  <dc:language>es-ES</dc:language>
  <cp:keywords/>
  <dcterms:created xsi:type="dcterms:W3CDTF">2026-09-29T04:11:17Z</dcterms:created>
  <dcterms:modified xsi:type="dcterms:W3CDTF">2026-09-29T04:11:17Z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