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lang w:val="es-ES"/>
        </w:rPr>
        <w:t xml:space="preserve">Plantilla GOB10 — Acta de reunión con acuerdos</w:t>
      </w:r>
    </w:p>
    <w:p>
      <w:pPr>
        <w:pStyle w:val="Author"/>
      </w:pPr>
      <w:r>
        <w:rPr>
          <w:lang w:val="es-ES"/>
        </w:rPr>
        <w:t xml:space="preserve">Plantillas · Ingeniería de la Educación · Proyecto Programa Sintético</w:t>
      </w:r>
    </w:p>
    <w:p>
      <w:pPr>
        <w:pStyle w:val="Date"/>
      </w:pPr>
      <w:r>
        <w:rPr>
          <w:lang w:val="es-ES"/>
        </w:rPr>
        <w:t xml:space="preserve">Plantillas v0.1 · 24 plantillas · 29 de septiembre de 2026</w:t>
      </w:r>
    </w:p>
    <w:p>
      <w:r>
        <w:br w:type="page"/>
      </w:r>
    </w:p>
    <w:p>
      <w:pPr>
        <w:jc w:val="center"/>
        <w:spacing w:before="120" w:after="300"/>
      </w:pPr>
      <w:r>
        <w:rPr>
          <w:rFonts w:ascii="Georgia" w:hAnsi="Georgia"/>
          <w:b/>
          <w:color w:val="1F4E79"/>
          <w:sz w:val="32"/>
          <w:szCs w:val="32"/>
        </w:rPr>
        <w:t>Índice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777777"/>
        </w:rPr>
        <w:t>Índice automático — en Word se actualiza al abrir; en LibreOffice: Herramientas ▸ Actualizar ▸ Índice (F9)</w:t>
      </w:r>
      <w:r>
        <w:fldChar w:fldCharType="end"/>
      </w:r>
    </w:p>
    <w:p>
      <w:r>
        <w:br w:type="page"/>
      </w:r>
    </w:p>
    <w:p>
      <w:pPr>
        <w:pStyle w:val="FirstParagraph"/>
      </w:pPr>
      <w:r>
        <w:rPr>
          <w:b/>
          <w:bCs/>
          <w:lang w:val="es-ES"/>
        </w:rPr>
        <w:t xml:space="preserve">Ciclo:</w:t>
      </w:r>
      <w:r>
        <w:rPr>
          <w:lang w:val="es-ES"/>
        </w:rPr>
        <w:t xml:space="preserve"> </w:t>
      </w:r>
      <w:r>
        <w:rPr>
          <w:lang w:val="es-ES"/>
        </w:rPr>
        <w:t xml:space="preserve">transversal (cada reunión de gobernanza)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Universal:</w:t>
      </w:r>
      <w:r>
        <w:rPr>
          <w:lang w:val="es-ES"/>
        </w:rPr>
        <w:t xml:space="preserve"> </w:t>
      </w:r>
      <w:r>
        <w:rPr>
          <w:lang w:val="es-ES"/>
        </w:rPr>
        <w:t xml:space="preserve">cualquier equipo ·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Términos:</w:t>
      </w:r>
      <w:r>
        <w:rPr>
          <w:lang w:val="es-ES"/>
        </w:rPr>
        <w:t xml:space="preserve"> </w:t>
      </w:r>
      <w:r>
        <w:rPr>
          <w:lang w:val="es-ES"/>
        </w:rPr>
        <w:t xml:space="preserve">GOB10 (actas), GOB50 (reunión de decisión), GOB35 (registro como condición)</w:t>
      </w:r>
    </w:p>
    <w:p>
      <w:r>
        <w:pict>
          <v:rect style="width:0;height:1.5pt" o:hralign="center" o:hrstd="t" o:hr="t"/>
        </w:pict>
      </w:r>
    </w:p>
    <w:bookmarkStart w:id="9" w:name="para-qué-sirve"/>
    <w:p>
      <w:pPr>
        <w:pStyle w:val="Heading2"/>
      </w:pPr>
      <w:r>
        <w:rPr>
          <w:lang w:val="es-ES"/>
        </w:rPr>
        <w:t xml:space="preserve">Para qué sirve</w:t>
      </w:r>
    </w:p>
    <w:p>
      <w:pPr>
        <w:pStyle w:val="FirstParagraph"/>
      </w:pPr>
      <w:r>
        <w:rPr>
          <w:lang w:val="es-ES"/>
        </w:rPr>
        <w:t xml:space="preserve">El formato mínimo para que una reunión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cierre en decisiones y no en sensaciones</w:t>
      </w:r>
      <w:r>
        <w:rPr>
          <w:lang w:val="es-ES"/>
        </w:rPr>
        <w:t xml:space="preserve">. Cinco minutos al final bastan para que, dos semanas después, nadie tenga dos versiones de lo acordado. Evita el antipatrón de la reunión sin decisión: hablar y salir sin cambiar nada.</w:t>
      </w:r>
    </w:p>
    <w:p>
      <w:r>
        <w:pict>
          <v:rect style="width:0;height:1.5pt" o:hralign="center" o:hrstd="t" o:hr="t"/>
        </w:pict>
      </w:r>
    </w:p>
    <w:bookmarkEnd w:id="9"/>
    <w:bookmarkStart w:id="10" w:name="cómo-completarla"/>
    <w:p>
      <w:pPr>
        <w:pStyle w:val="Heading2"/>
      </w:pPr>
      <w:r>
        <w:rPr>
          <w:lang w:val="es-ES"/>
        </w:rPr>
        <w:t xml:space="preserve">Cómo completarla</w:t>
      </w:r>
    </w:p>
    <w:p>
      <w:pPr>
        <w:pStyle w:val="FirstParagraph"/>
      </w:pPr>
      <w:r>
        <w:rPr>
          <w:b/>
          <w:bCs/>
          <w:lang w:val="es-ES"/>
        </w:rPr>
        <w:t xml:space="preserve">Reunión de: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Fecha (relativa):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Quién facilita: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</w:t>
      </w:r>
    </w:p>
    <w:p>
      <w:pPr>
        <w:pStyle w:val="BodyText"/>
      </w:pPr>
      <w:r>
        <w:rPr>
          <w:b/>
          <w:bCs/>
          <w:lang w:val="es-ES"/>
        </w:rPr>
        <w:t xml:space="preserve">Presentes: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______________________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Ausentes (y por quién se enteran):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__________________</w:t>
      </w:r>
    </w:p>
    <w:p>
      <w:pPr>
        <w:pStyle w:val="BodyText"/>
      </w:pPr>
      <w:r>
        <w:rPr>
          <w:b/>
          <w:bCs/>
          <w:lang w:val="es-ES"/>
        </w:rPr>
        <w:t xml:space="preserve">1. ¿Es reunión de información o de decisión?</w:t>
      </w:r>
      <w:r>
        <w:rPr>
          <w:lang w:val="es-ES"/>
        </w:rPr>
        <w:t xml:space="preserve"> </w:t>
      </w:r>
      <w:r>
        <w:rPr>
          <w:lang w:val="es-ES"/>
        </w:rPr>
        <w:t xml:space="preserve">☐ información (sólo se entera) ☐ decisión (se cierra hoy)</w:t>
      </w:r>
    </w:p>
    <w:p>
      <w:pPr>
        <w:pStyle w:val="BodyText"/>
      </w:pPr>
      <w:r>
        <w:rPr>
          <w:b/>
          <w:bCs/>
          <w:lang w:val="es-ES"/>
        </w:rPr>
        <w:t xml:space="preserve">2. Contexto mínimo</w:t>
      </w:r>
      <w:r>
        <w:rPr>
          <w:lang w:val="es-ES"/>
        </w:rPr>
        <w:t xml:space="preserve"> </w:t>
      </w:r>
      <w:r>
        <w:rPr>
          <w:lang w:val="es-ES"/>
        </w:rPr>
        <w:t xml:space="preserve">(sólo lo necesario para decidir — dos renglones):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  <w:lang w:val="es-ES"/>
        </w:rPr>
        <w:t xml:space="preserve">3. Acuerdos y decisiones</w:t>
      </w:r>
      <w:r>
        <w:rPr>
          <w:lang w:val="es-ES"/>
        </w:rPr>
        <w:t xml:space="preserve"> </w:t>
      </w:r>
      <w:r>
        <w:rPr>
          <w:lang w:val="es-ES"/>
        </w:rPr>
        <w:t xml:space="preserve">(lo único que de verdad importa registrar):</w:t>
      </w:r>
    </w:p>
    <w:p>
      <w:pPr>
        <w:pStyle w:val="Compact"/>
        <w:numPr>
          <w:ilvl w:val="0"/>
          <w:numId w:val="1001"/>
        </w:numPr>
      </w:pPr>
      <w:r>
        <w:rPr>
          <w:lang w:val="es-ES"/>
        </w:rPr>
        <w:t xml:space="preserve">A1 ______________________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responsable: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fecha: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</w:t>
      </w:r>
    </w:p>
    <w:p>
      <w:pPr>
        <w:pStyle w:val="Compact"/>
        <w:numPr>
          <w:ilvl w:val="0"/>
          <w:numId w:val="1001"/>
        </w:numPr>
      </w:pPr>
      <w:r>
        <w:rPr>
          <w:lang w:val="es-ES"/>
        </w:rPr>
        <w:t xml:space="preserve">A2 ______________________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responsable: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</w:t>
      </w:r>
      <w:r>
        <w:rPr>
          <w:lang w:val="es-ES"/>
        </w:rPr>
        <w:t xml:space="preserve"> </w:t>
      </w:r>
      <w:r>
        <w:rPr>
          <w:i/>
          <w:iCs/>
          <w:lang w:val="es-ES"/>
        </w:rPr>
        <w:t xml:space="preserve">fecha:</w:t>
      </w:r>
      <w:r>
        <w:rPr>
          <w:lang w:val="es-ES"/>
        </w:rPr>
        <w:t xml:space="preserve"> </w:t>
      </w:r>
      <w:r>
        <w:rPr>
          <w:lang w:val="es-ES"/>
        </w:rPr>
        <w:t xml:space="preserve">____________</w:t>
      </w:r>
    </w:p>
    <w:p>
      <w:pPr>
        <w:pStyle w:val="FirstParagraph"/>
      </w:pPr>
      <w:r>
        <w:rPr>
          <w:b/>
          <w:bCs/>
          <w:lang w:val="es-ES"/>
        </w:rPr>
        <w:t xml:space="preserve">4. Puntos que quedaron abiertos</w:t>
      </w:r>
      <w:r>
        <w:rPr>
          <w:lang w:val="es-ES"/>
        </w:rPr>
        <w:t xml:space="preserve"> </w:t>
      </w:r>
      <w:r>
        <w:rPr>
          <w:lang w:val="es-ES"/>
        </w:rPr>
        <w:t xml:space="preserve">(y quién los trae la próxima): ______________________</w:t>
      </w:r>
    </w:p>
    <w:p>
      <w:pPr>
        <w:pStyle w:val="BodyText"/>
      </w:pPr>
      <w:r>
        <w:rPr>
          <w:b/>
          <w:bCs/>
          <w:lang w:val="es-ES"/>
        </w:rPr>
        <w:t xml:space="preserve">5. Información que se lleva cada quien</w:t>
      </w:r>
      <w:r>
        <w:rPr>
          <w:lang w:val="es-ES"/>
        </w:rPr>
        <w:t xml:space="preserve"> </w:t>
      </w:r>
      <w:r>
        <w:rPr>
          <w:lang w:val="es-ES"/>
        </w:rPr>
        <w:t xml:space="preserve">(para quién se enterará y cómo): ______________________</w:t>
      </w:r>
    </w:p>
    <w:p>
      <w:pPr>
        <w:pStyle w:val="BodyText"/>
      </w:pPr>
      <w:r>
        <w:rPr>
          <w:b/>
          <w:bCs/>
          <w:lang w:val="es-ES"/>
        </w:rPr>
        <w:t xml:space="preserve">Distribución:</w:t>
      </w:r>
      <w:r>
        <w:rPr>
          <w:lang w:val="es-ES"/>
        </w:rPr>
        <w:t xml:space="preserve"> </w:t>
      </w:r>
      <w:r>
        <w:rPr>
          <w:lang w:val="es-ES"/>
        </w:rPr>
        <w:t xml:space="preserve">☐ al registro de decisiones (GOB9) ☐ al equipo ☐ al sponsor</w:t>
      </w:r>
    </w:p>
    <w:p>
      <w:r>
        <w:pict>
          <v:rect style="width:0;height:1.5pt" o:hralign="center" o:hrstd="t" o:hr="t"/>
        </w:pict>
      </w:r>
    </w:p>
    <w:bookmarkEnd w:id="10"/>
    <w:bookmarkStart w:id="11" w:name="consejo-de-uso"/>
    <w:p>
      <w:pPr>
        <w:pStyle w:val="Heading2"/>
      </w:pPr>
      <w:r>
        <w:rPr>
          <w:lang w:val="es-ES"/>
        </w:rPr>
        <w:t xml:space="preserve">Consejo de uso</w:t>
      </w:r>
    </w:p>
    <w:p>
      <w:pPr>
        <w:pStyle w:val="FirstParagraph"/>
      </w:pPr>
      <w:r>
        <w:rPr>
          <w:lang w:val="es-ES"/>
        </w:rPr>
        <w:t xml:space="preserve">Si en el punto 1 marcaste</w:t>
      </w:r>
      <w:r>
        <w:rPr>
          <w:lang w:val="es-ES"/>
        </w:rPr>
        <w:t xml:space="preserve"> </w:t>
      </w:r>
      <w:r>
        <w:rPr>
          <w:lang w:val="es-ES"/>
        </w:rPr>
        <w:t xml:space="preserve">“decisión”</w:t>
      </w:r>
      <w:r>
        <w:rPr>
          <w:lang w:val="es-ES"/>
        </w:rPr>
        <w:t xml:space="preserve"> </w:t>
      </w:r>
      <w:r>
        <w:rPr>
          <w:lang w:val="es-ES"/>
        </w:rPr>
        <w:t xml:space="preserve">y el punto 3 quedó vacío, la reunión no terminó: sigue hasta que haya acuerdos con nombre y fecha. Y la regla de oro del acta buena:</w:t>
      </w:r>
      <w:r>
        <w:rPr>
          <w:lang w:val="es-ES"/>
        </w:rPr>
        <w:t xml:space="preserve"> </w:t>
      </w:r>
      <w:r>
        <w:rPr>
          <w:b/>
          <w:bCs/>
          <w:lang w:val="es-ES"/>
        </w:rPr>
        <w:t xml:space="preserve">cada acuerdo tiene un solo responsable</w:t>
      </w:r>
      <w:r>
        <w:rPr>
          <w:lang w:val="es-ES"/>
        </w:rPr>
        <w:t xml:space="preserve"> </w:t>
      </w:r>
      <w:r>
        <w:rPr>
          <w:lang w:val="es-ES"/>
        </w:rPr>
        <w:t xml:space="preserve">—</w:t>
      </w:r>
      <w:r>
        <w:rPr>
          <w:lang w:val="es-ES"/>
        </w:rPr>
        <w:t xml:space="preserve">“el equipo”</w:t>
      </w:r>
      <w:r>
        <w:rPr>
          <w:lang w:val="es-ES"/>
        </w:rPr>
        <w:t xml:space="preserve"> </w:t>
      </w:r>
      <w:r>
        <w:rPr>
          <w:lang w:val="es-ES"/>
        </w:rPr>
        <w:t xml:space="preserve">no es responsable de nada, es el lugar donde los acuerdos se pierden.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  <w:lang w:val="es-ES"/>
        </w:rPr>
        <w:t xml:space="preserve">Plantillas · Ciclo: transversal · v0.1</w:t>
      </w:r>
    </w:p>
    <w:bookmarkEnd w:id="11"/>
    <w:sectPr>
      <w:footerReference w:type="default" r:id="rIdPagina9001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777777"/>
      </w:rP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rPr>
        <w:sz w:val="18"/>
        <w:color w:val="777777"/>
      </w:rP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Georgia" w:cs="Georgia" w:eastAsia="Georgia" w:hAnsi="Georgia"/>
        <w:sz w:val="22"/>
        <w:szCs w:val="22"/>
        <w:lang w:bidi="ar-SA" w:eastAsia="zh-CN" w:val="es-ES"/>
      </w:rPr>
    </w:rPrDefault>
    <w:pPrDefault>
      <w:pPr>
        <w:spacing w:after="14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00" w:before="2760" w:line="240" w:lineRule="auto"/>
      <w:contextualSpacing/>
      <w:jc w:val="center"/>
    </w:pPr>
    <w:rPr>
      <w:rFonts w:ascii="Georgia" w:cs="Georgia" w:eastAsia="Georgia" w:hAnsi="Georgia"/>
      <w:sz w:val="56"/>
      <w:szCs w:val="56"/>
      <w:b/>
      <w:color w:val="1F4E79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styleId="Date" w:type="paragraph">
    <w:name w:val="Date"/>
    <w:basedOn w:val="Title"/>
    <w:next w:val="BodyText"/>
    <w:qFormat/>
    <w:pPr>
      <w:spacing w:after="80" w:before="0"/>
      <w:keepNext/>
      <w:keepLines/>
    </w:pPr>
    <w:rPr>
      <w:sz w:val="20"/>
      <w:szCs w:val="20"/>
      <w:b w:val="0"/>
      <w:color w:val="66666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400"/>
      <w:outlineLvl w:val="0"/>
    </w:pPr>
    <w:rPr>
      <w:rFonts w:ascii="Georgia" w:cs="Georgia" w:eastAsia="Georgia" w:hAnsi="Georgia"/>
      <w:color w:val="1F4E79"/>
      <w:sz w:val="36"/>
      <w:szCs w:val="36"/>
      <w:b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320"/>
      <w:outlineLvl w:val="1"/>
    </w:pPr>
    <w:rPr>
      <w:rFonts w:ascii="Georgia" w:cs="Georgia" w:eastAsia="Georgia" w:hAnsi="Georgia"/>
      <w:color w:val="2E5E8E"/>
      <w:sz w:val="28"/>
      <w:szCs w:val="28"/>
      <w:b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100" w:before="260"/>
      <w:outlineLvl w:val="2"/>
    </w:pPr>
    <w:rPr>
      <w:rFonts w:ascii="Georgia" w:cs="Georgia" w:eastAsia="Georgia" w:hAnsi="Georgia"/>
      <w:color w:val="44546A"/>
      <w:sz w:val="24"/>
      <w:szCs w:val="24"/>
      <w:b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hd w:color="auto" w:fill="F2F5F8" w:val="clear"/>
      <w:spacing w:after="160" w:before="160"/>
      <w:ind w:firstLine="0" w:left="480" w:right="480"/>
    </w:pPr>
    <w:rPr>
      <w:i/>
      <w:color w:val="555555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Pagina9001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GOB10 — Acta de reunión con acuerdos</dc:title>
  <dc:creator>Plantillas · Ingeniería de la Educación · Proyecto Programa Sintético</dc:creator>
  <dc:language>es-ES</dc:language>
  <cp:keywords/>
  <dcterms:created xsi:type="dcterms:W3CDTF">2026-09-29T04:11:19Z</dcterms:created>
  <dcterms:modified xsi:type="dcterms:W3CDTF">2026-09-29T04:11:19Z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Plantillas v0.1 · 24 plantillas · 29 de septiembre de 2026</vt:lpwstr>
  </property>
</Properties>
</file>