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-ES"/>
        </w:rPr>
        <w:t xml:space="preserve">Plantilla GOB19 — Acuerdos con terceros</w:t>
      </w:r>
    </w:p>
    <w:p>
      <w:pPr>
        <w:pStyle w:val="Author"/>
      </w:pPr>
      <w:r>
        <w:rPr>
          <w:lang w:val="es-ES"/>
        </w:rPr>
        <w:t xml:space="preserve">Plantillas · Ingeniería de la Educación · Proyecto Programa Sintético</w:t>
      </w:r>
    </w:p>
    <w:p>
      <w:pPr>
        <w:pStyle w:val="Date"/>
      </w:pPr>
      <w:r>
        <w:rPr>
          <w:lang w:val="es-ES"/>
        </w:rPr>
        <w:t xml:space="preserve">Plantillas v0.1 · 24 plantillas · 29 de septiembre de 2026</w:t>
      </w:r>
    </w:p>
    <w:p>
      <w:r>
        <w:br w:type="page"/>
      </w:r>
    </w:p>
    <w:p>
      <w:pPr>
        <w:jc w:val="center"/>
        <w:spacing w:before="120" w:after="300"/>
      </w:pPr>
      <w:r>
        <w:rPr>
          <w:rFonts w:ascii="Georgia" w:hAnsi="Georgia"/>
          <w:b/>
          <w:color w:val="1F4E79"/>
          <w:sz w:val="32"/>
          <w:szCs w:val="32"/>
        </w:rPr>
        <w:t>Índice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777777"/>
        </w:rPr>
        <w:t>Índice automático — en Word se actualiza al abrir; en LibreOffice: Herramientas ▸ Actualizar ▸ Índice (F9)</w:t>
      </w:r>
      <w:r>
        <w:fldChar w:fldCharType="end"/>
      </w:r>
    </w:p>
    <w:p>
      <w:r>
        <w:br w:type="page"/>
      </w:r>
    </w:p>
    <w:p>
      <w:pPr>
        <w:pStyle w:val="FirstParagraph"/>
      </w:pPr>
      <w:r>
        <w:rPr>
          <w:b/>
          <w:bCs/>
          <w:lang w:val="es-ES"/>
        </w:rPr>
        <w:t xml:space="preserve">Ciclo:</w:t>
      </w:r>
      <w:r>
        <w:rPr>
          <w:lang w:val="es-ES"/>
        </w:rPr>
        <w:t xml:space="preserve"> </w:t>
      </w:r>
      <w:r>
        <w:rPr>
          <w:lang w:val="es-ES"/>
        </w:rPr>
        <w:t xml:space="preserve">inicio, antes de que un tercero toque el proyecto o a sus personas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Universal:</w:t>
      </w:r>
      <w:r>
        <w:rPr>
          <w:lang w:val="es-ES"/>
        </w:rPr>
        <w:t xml:space="preserve"> </w:t>
      </w:r>
      <w:r>
        <w:rPr>
          <w:lang w:val="es-ES"/>
        </w:rPr>
        <w:t xml:space="preserve">proveedores, colaboradores, voluntarios, visitantes, familias en rol especial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Términos:</w:t>
      </w:r>
      <w:r>
        <w:rPr>
          <w:lang w:val="es-ES"/>
        </w:rPr>
        <w:t xml:space="preserve"> </w:t>
      </w:r>
      <w:r>
        <w:rPr>
          <w:lang w:val="es-ES"/>
        </w:rPr>
        <w:t xml:space="preserve">GOB19 (acuerdos), GOB16 (consentimiento), GOB8 (código aplicable)</w:t>
      </w:r>
    </w:p>
    <w:p>
      <w:r>
        <w:pict>
          <v:rect style="width:0;height:1.5pt" o:hralign="center" o:hrstd="t" o:hr="t"/>
        </w:pict>
      </w:r>
    </w:p>
    <w:bookmarkStart w:id="9" w:name="para-qué-sirve"/>
    <w:p>
      <w:pPr>
        <w:pStyle w:val="Heading2"/>
      </w:pPr>
      <w:r>
        <w:rPr>
          <w:lang w:val="es-ES"/>
        </w:rPr>
        <w:t xml:space="preserve">Para qué sirve</w:t>
      </w:r>
    </w:p>
    <w:p>
      <w:pPr>
        <w:pStyle w:val="FirstParagraph"/>
      </w:pPr>
      <w:r>
        <w:rPr>
          <w:lang w:val="es-ES"/>
        </w:rPr>
        <w:t xml:space="preserve">Cuando alguien de fuera entra al proyecto —un proveedor, un profesional invitado, un voluntario, una familia en rol de taller— hace falta un acuerdo claro: qué se espera de él, qué no puede hacer, qué recibe y cómo se resuelve un desacuerdo. Evita la dependencia verbal y las visitas sin reglas, que es como suelen entrar los problemas difíciles de arreglar.</w:t>
      </w:r>
    </w:p>
    <w:p>
      <w:r>
        <w:pict>
          <v:rect style="width:0;height:1.5pt" o:hralign="center" o:hrstd="t" o:hr="t"/>
        </w:pict>
      </w:r>
    </w:p>
    <w:bookmarkEnd w:id="9"/>
    <w:bookmarkStart w:id="10" w:name="cómo-completarla"/>
    <w:p>
      <w:pPr>
        <w:pStyle w:val="Heading2"/>
      </w:pPr>
      <w:r>
        <w:rPr>
          <w:lang w:val="es-ES"/>
        </w:rPr>
        <w:t xml:space="preserve">Cómo completarla</w:t>
      </w:r>
    </w:p>
    <w:p>
      <w:pPr>
        <w:pStyle w:val="FirstParagraph"/>
      </w:pPr>
      <w:r>
        <w:rPr>
          <w:b/>
          <w:bCs/>
          <w:lang w:val="es-ES"/>
        </w:rPr>
        <w:t xml:space="preserve">Parte: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Rol:</w:t>
      </w:r>
      <w:r>
        <w:rPr>
          <w:lang w:val="es-ES"/>
        </w:rPr>
        <w:t xml:space="preserve"> </w:t>
      </w:r>
      <w:r>
        <w:rPr>
          <w:lang w:val="es-ES"/>
        </w:rPr>
        <w:t xml:space="preserve">☐ proveedor ☐ colaborador ☐ visitante/experto ☐ voluntario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Qué aporta: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Vigencia:</w:t>
      </w:r>
      <w:r>
        <w:rPr>
          <w:lang w:val="es-ES"/>
        </w:rPr>
        <w:t xml:space="preserve"> </w:t>
      </w:r>
      <w:r>
        <w:rPr>
          <w:lang w:val="es-ES"/>
        </w:rPr>
        <w:t xml:space="preserve">de ____________ a ____________</w:t>
      </w:r>
    </w:p>
    <w:p>
      <w:pPr>
        <w:pStyle w:val="BodyText"/>
      </w:pPr>
      <w:r>
        <w:rPr>
          <w:b/>
          <w:bCs/>
          <w:lang w:val="es-ES"/>
        </w:rPr>
        <w:t xml:space="preserve">1. Qué se compromete cada quien.</w:t>
      </w:r>
    </w:p>
    <w:p>
      <w:pPr>
        <w:pStyle w:val="BodyText"/>
      </w:pPr>
      <w:r>
        <w:rPr>
          <w:i/>
          <w:iCs/>
          <w:lang w:val="es-ES"/>
        </w:rPr>
        <w:t xml:space="preserve">La parte externa se compromete a: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______________________________________________</w:t>
      </w:r>
    </w:p>
    <w:p>
      <w:pPr>
        <w:pStyle w:val="BodyText"/>
      </w:pPr>
      <w:r>
        <w:rPr>
          <w:i/>
          <w:iCs/>
          <w:lang w:val="es-ES"/>
        </w:rPr>
        <w:t xml:space="preserve">El proyecto se compromete a: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______________________________________________</w:t>
      </w:r>
    </w:p>
    <w:p>
      <w:pPr>
        <w:pStyle w:val="BodyText"/>
      </w:pPr>
      <w:r>
        <w:rPr>
          <w:b/>
          <w:bCs/>
          <w:lang w:val="es-ES"/>
        </w:rPr>
        <w:t xml:space="preserve">2. Límites.</w:t>
      </w:r>
      <w:r>
        <w:rPr>
          <w:lang w:val="es-ES"/>
        </w:rPr>
        <w:t xml:space="preserve"> </w:t>
      </w:r>
      <w:r>
        <w:rPr>
          <w:lang w:val="es-ES"/>
        </w:rPr>
        <w:t xml:space="preserve">Acceso a información: ☐ ninguna ☐ sólo la necesaria (cuál: ______________)</w:t>
      </w:r>
      <w:r>
        <w:rPr>
          <w:lang w:val="es-ES"/>
        </w:rPr>
        <w:t xml:space="preserve"> </w:t>
      </w:r>
      <w:r>
        <w:rPr>
          <w:lang w:val="es-ES"/>
        </w:rPr>
        <w:t xml:space="preserve">Acceso a personas menores: ☐ no aplica ☐ sólo con supervisión de ______________ y consentimiento vigente (GOB16)</w:t>
      </w:r>
      <w:r>
        <w:rPr>
          <w:lang w:val="es-ES"/>
        </w:rPr>
        <w:t xml:space="preserve"> </w:t>
      </w:r>
      <w:r>
        <w:rPr>
          <w:lang w:val="es-ES"/>
        </w:rPr>
        <w:t xml:space="preserve">Marca, propiedad intelectual y créditos: ______________________________________________</w:t>
      </w:r>
    </w:p>
    <w:p>
      <w:pPr>
        <w:pStyle w:val="BodyText"/>
      </w:pPr>
      <w:r>
        <w:rPr>
          <w:b/>
          <w:bCs/>
          <w:lang w:val="es-ES"/>
        </w:rPr>
        <w:t xml:space="preserve">3. Código aplicable.</w:t>
      </w:r>
      <w:r>
        <w:rPr>
          <w:lang w:val="es-ES"/>
        </w:rPr>
        <w:t xml:space="preserve"> </w:t>
      </w:r>
      <w:r>
        <w:rPr>
          <w:lang w:val="es-ES"/>
        </w:rPr>
        <w:t xml:space="preserve">La parte externa conoce y acepta: ☐ código de conducta (GOB8) ☐ política de protección (GOB7) —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fecha de entrega: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</w:t>
      </w:r>
    </w:p>
    <w:p>
      <w:pPr>
        <w:pStyle w:val="BodyText"/>
      </w:pPr>
      <w:r>
        <w:rPr>
          <w:b/>
          <w:bCs/>
          <w:lang w:val="es-ES"/>
        </w:rPr>
        <w:t xml:space="preserve">4. Confidencialidad.</w:t>
      </w:r>
      <w:r>
        <w:rPr>
          <w:lang w:val="es-ES"/>
        </w:rPr>
        <w:t xml:space="preserve"> </w:t>
      </w:r>
      <w:r>
        <w:rPr>
          <w:lang w:val="es-ES"/>
        </w:rPr>
        <w:t xml:space="preserve">Compromiso de reserva sobre lo que vea o escuche: ☐ sí ☐ no aplica (cuando sí aplica, ¿harás falta NDA breve? ☐ sí → redactar anexo: ______________)</w:t>
      </w:r>
    </w:p>
    <w:p>
      <w:pPr>
        <w:pStyle w:val="BodyText"/>
      </w:pPr>
      <w:r>
        <w:rPr>
          <w:b/>
          <w:bCs/>
          <w:lang w:val="es-ES"/>
        </w:rPr>
        <w:t xml:space="preserve">5. Salida ordenada.</w:t>
      </w:r>
      <w:r>
        <w:rPr>
          <w:lang w:val="es-ES"/>
        </w:rPr>
        <w:t xml:space="preserve"> </w:t>
      </w:r>
      <w:r>
        <w:rPr>
          <w:lang w:val="es-ES"/>
        </w:rPr>
        <w:t xml:space="preserve">¿Cómo se entregan materiales, accesos y avances al terminar? ______________________________________________</w:t>
      </w:r>
    </w:p>
    <w:p>
      <w:pPr>
        <w:pStyle w:val="BodyText"/>
      </w:pPr>
      <w:r>
        <w:rPr>
          <w:b/>
          <w:bCs/>
          <w:lang w:val="es-ES"/>
        </w:rPr>
        <w:t xml:space="preserve">6. Desacuerdos.</w:t>
      </w:r>
      <w:r>
        <w:rPr>
          <w:lang w:val="es-ES"/>
        </w:rPr>
        <w:t xml:space="preserve"> </w:t>
      </w:r>
      <w:r>
        <w:rPr>
          <w:lang w:val="es-ES"/>
        </w:rPr>
        <w:t xml:space="preserve">Primero: conversación con el responsable (__________) · después: escalamiento (__________) · marco aplicable: ______________________________________________</w:t>
      </w:r>
    </w:p>
    <w:p>
      <w:pPr>
        <w:pStyle w:val="BodyText"/>
      </w:pPr>
      <w:r>
        <w:rPr>
          <w:b/>
          <w:bCs/>
          <w:lang w:val="es-ES"/>
        </w:rPr>
        <w:t xml:space="preserve">Firmas: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 (externa) · ______________________ (proyecto)</w:t>
      </w:r>
    </w:p>
    <w:p>
      <w:r>
        <w:pict>
          <v:rect style="width:0;height:1.5pt" o:hralign="center" o:hrstd="t" o:hr="t"/>
        </w:pict>
      </w:r>
    </w:p>
    <w:bookmarkEnd w:id="10"/>
    <w:bookmarkStart w:id="11" w:name="consejo-de-uso"/>
    <w:p>
      <w:pPr>
        <w:pStyle w:val="Heading2"/>
      </w:pPr>
      <w:r>
        <w:rPr>
          <w:lang w:val="es-ES"/>
        </w:rPr>
        <w:t xml:space="preserve">Consejo de uso</w:t>
      </w:r>
    </w:p>
    <w:p>
      <w:pPr>
        <w:pStyle w:val="FirstParagraph"/>
      </w:pPr>
      <w:r>
        <w:rPr>
          <w:lang w:val="es-ES"/>
        </w:rPr>
        <w:t xml:space="preserve">Cuanto más amistosa la relación, más importante es escribirlo: los acuerdos claros protegen la amistad, no la dañan. Y la casilla más olvidada es la de salida: todo acuerdo debe decir cómo termina, aunque no quiera terminarse —lo que no tiene salida escrita se convierte en permanencia por inercia.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  <w:lang w:val="es-ES"/>
        </w:rPr>
        <w:t xml:space="preserve">Plantillas · Ciclo: inicio · v0.1</w:t>
      </w:r>
    </w:p>
    <w:bookmarkEnd w:id="11"/>
    <w:sectPr>
      <w:footerReference w:type="default" r:id="rIdPagina900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777777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sz w:val="18"/>
        <w:color w:val="777777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cs="Georgia" w:eastAsia="Georgia" w:hAnsi="Georgia"/>
        <w:sz w:val="22"/>
        <w:szCs w:val="22"/>
        <w:lang w:bidi="ar-SA" w:eastAsia="zh-CN" w:val="es-ES"/>
      </w:rPr>
    </w:rPrDefault>
    <w:pPrDefault>
      <w:pPr>
        <w:spacing w:after="14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00" w:before="2760" w:line="240" w:lineRule="auto"/>
      <w:contextualSpacing/>
      <w:jc w:val="center"/>
    </w:pPr>
    <w:rPr>
      <w:rFonts w:ascii="Georgia" w:cs="Georgia" w:eastAsia="Georgia" w:hAnsi="Georgia"/>
      <w:sz w:val="56"/>
      <w:szCs w:val="56"/>
      <w:b/>
      <w:color w:val="1F4E7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styleId="Date" w:type="paragraph">
    <w:name w:val="Date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00"/>
      <w:outlineLvl w:val="0"/>
    </w:pPr>
    <w:rPr>
      <w:rFonts w:ascii="Georgia" w:cs="Georgia" w:eastAsia="Georgia" w:hAnsi="Georgia"/>
      <w:color w:val="1F4E79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</w:pPr>
    <w:rPr>
      <w:rFonts w:ascii="Georgia" w:cs="Georgia" w:eastAsia="Georgia" w:hAnsi="Georgia"/>
      <w:color w:val="2E5E8E"/>
      <w:sz w:val="28"/>
      <w:szCs w:val="28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60"/>
      <w:outlineLvl w:val="2"/>
    </w:pPr>
    <w:rPr>
      <w:rFonts w:ascii="Georgia" w:cs="Georgia" w:eastAsia="Georgia" w:hAnsi="Georgia"/>
      <w:color w:val="44546A"/>
      <w:sz w:val="24"/>
      <w:szCs w:val="24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hd w:color="auto" w:fill="F2F5F8" w:val="clear"/>
      <w:spacing w:after="160" w:before="160"/>
      <w:ind w:firstLine="0" w:left="480" w:right="480"/>
    </w:pPr>
    <w:rPr>
      <w:i/>
      <w:color w:val="55555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agina900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GOB19 — Acuerdos con terceros</dc:title>
  <dc:creator>Plantillas · Ingeniería de la Educación · Proyecto Programa Sintético</dc:creator>
  <dc:language>es-ES</dc:language>
  <cp:keywords/>
  <dcterms:created xsi:type="dcterms:W3CDTF">2026-09-29T04:11:20Z</dcterms:created>
  <dcterms:modified xsi:type="dcterms:W3CDTF">2026-09-29T04:11:20Z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Plantillas v0.1 · 24 plantillas · 29 de septiembre de 2026</vt:lpwstr>
  </property>
</Properties>
</file>