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-ES"/>
        </w:rPr>
        <w:t xml:space="preserve">Plantilla GOB20 — Manual de inducción y transferencia</w:t>
      </w:r>
    </w:p>
    <w:p>
      <w:pPr>
        <w:pStyle w:val="Author"/>
      </w:pPr>
      <w:r>
        <w:rPr>
          <w:lang w:val="es-ES"/>
        </w:rPr>
        <w:t xml:space="preserve">Plantillas · Ingeniería de la Educación · Proyecto Programa Sintético</w:t>
      </w:r>
    </w:p>
    <w:p>
      <w:pPr>
        <w:pStyle w:val="Date"/>
      </w:pPr>
      <w:r>
        <w:rPr>
          <w:lang w:val="es-ES"/>
        </w:rPr>
        <w:t xml:space="preserve">Plantillas v0.1 · 24 plantillas · 29 de septiembre de 2026</w:t>
      </w:r>
    </w:p>
    <w:p>
      <w:r>
        <w:br w:type="page"/>
      </w:r>
    </w:p>
    <w:p>
      <w:pPr>
        <w:jc w:val="center"/>
        <w:spacing w:before="120" w:after="300"/>
      </w:pPr>
      <w:r>
        <w:rPr>
          <w:rFonts w:ascii="Georgia" w:hAnsi="Georgia"/>
          <w:b/>
          <w:color w:val="1F4E79"/>
          <w:sz w:val="32"/>
          <w:szCs w:val="32"/>
        </w:rPr>
        <w:t>Índice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i/>
          <w:color w:val="777777"/>
        </w:rPr>
        <w:t>Índice automático — en Word se actualiza al abrir; en LibreOffice: Herramientas ▸ Actualizar ▸ Índice (F9)</w:t>
      </w:r>
      <w:r>
        <w:fldChar w:fldCharType="end"/>
      </w:r>
    </w:p>
    <w:p>
      <w:r>
        <w:br w:type="page"/>
      </w:r>
    </w:p>
    <w:p>
      <w:pPr>
        <w:pStyle w:val="FirstParagraph"/>
      </w:pPr>
      <w:r>
        <w:rPr>
          <w:b/>
          <w:bCs/>
          <w:lang w:val="es-ES"/>
        </w:rPr>
        <w:t xml:space="preserve">Ciclo:</w:t>
      </w:r>
      <w:r>
        <w:rPr>
          <w:lang w:val="es-ES"/>
        </w:rPr>
        <w:t xml:space="preserve"> </w:t>
      </w:r>
      <w:r>
        <w:rPr>
          <w:lang w:val="es-ES"/>
        </w:rPr>
        <w:t xml:space="preserve">continuo (se mantiene con cada cambio mayor)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Universal:</w:t>
      </w:r>
      <w:r>
        <w:rPr>
          <w:lang w:val="es-ES"/>
        </w:rPr>
        <w:t xml:space="preserve"> </w:t>
      </w:r>
      <w:r>
        <w:rPr>
          <w:lang w:val="es-ES"/>
        </w:rPr>
        <w:t xml:space="preserve">cualquier proyecto que dependa de más de una persona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Términos:</w:t>
      </w:r>
      <w:r>
        <w:rPr>
          <w:lang w:val="es-ES"/>
        </w:rPr>
        <w:t xml:space="preserve"> </w:t>
      </w:r>
      <w:r>
        <w:rPr>
          <w:lang w:val="es-ES"/>
        </w:rPr>
        <w:t xml:space="preserve">GOB20 (manual de inducción), GOB30 (versionado), IE39 (herencia y transferencia)</w:t>
      </w:r>
    </w:p>
    <w:p>
      <w:r>
        <w:pict>
          <v:rect style="width:0;height:1.5pt" o:hralign="center" o:hrstd="t" o:hr="t"/>
        </w:pict>
      </w:r>
    </w:p>
    <w:bookmarkStart w:id="9" w:name="para-qué-sirve"/>
    <w:p>
      <w:pPr>
        <w:pStyle w:val="Heading2"/>
      </w:pPr>
      <w:r>
        <w:rPr>
          <w:lang w:val="es-ES"/>
        </w:rPr>
        <w:t xml:space="preserve">Para qué sirve</w:t>
      </w:r>
    </w:p>
    <w:p>
      <w:pPr>
        <w:pStyle w:val="FirstParagraph"/>
      </w:pPr>
      <w:r>
        <w:rPr>
          <w:lang w:val="es-ES"/>
        </w:rPr>
        <w:t xml:space="preserve">Que alguien nuevo —o alguien que sustituye a otro— pueda operar el proyecto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sin el fundador y sin preguntas de leyenda</w:t>
      </w:r>
      <w:r>
        <w:rPr>
          <w:lang w:val="es-ES"/>
        </w:rPr>
        <w:t xml:space="preserve">. Es la prueba suprema de un sistema sostenible: lo que sólo una persona entiende, todavía no es un proyecto. Se escribe temprano y se actualiza con cada cambio mayor; si se deja para</w:t>
      </w:r>
      <w:r>
        <w:rPr>
          <w:lang w:val="es-ES"/>
        </w:rPr>
        <w:t xml:space="preserve"> </w:t>
      </w:r>
      <w:r>
        <w:rPr>
          <w:lang w:val="es-ES"/>
        </w:rPr>
        <w:t xml:space="preserve">“después”</w:t>
      </w:r>
      <w:r>
        <w:rPr>
          <w:lang w:val="es-ES"/>
        </w:rPr>
        <w:t xml:space="preserve">, nunca se escribe.</w:t>
      </w:r>
    </w:p>
    <w:p>
      <w:r>
        <w:pict>
          <v:rect style="width:0;height:1.5pt" o:hralign="center" o:hrstd="t" o:hr="t"/>
        </w:pict>
      </w:r>
    </w:p>
    <w:bookmarkEnd w:id="9"/>
    <w:bookmarkStart w:id="10" w:name="cómo-completarla"/>
    <w:p>
      <w:pPr>
        <w:pStyle w:val="Heading2"/>
      </w:pPr>
      <w:r>
        <w:rPr>
          <w:lang w:val="es-ES"/>
        </w:rPr>
        <w:t xml:space="preserve">Cómo completarla</w:t>
      </w:r>
    </w:p>
    <w:p>
      <w:pPr>
        <w:pStyle w:val="FirstParagraph"/>
      </w:pPr>
      <w:r>
        <w:rPr>
          <w:b/>
          <w:bCs/>
          <w:lang w:val="es-ES"/>
        </w:rPr>
        <w:t xml:space="preserve">1. Bienvenida y mapa.</w:t>
      </w:r>
      <w:r>
        <w:rPr>
          <w:lang w:val="es-ES"/>
        </w:rPr>
        <w:t xml:space="preserve"> </w:t>
      </w:r>
      <w:r>
        <w:rPr>
          <w:lang w:val="es-ES"/>
        </w:rPr>
        <w:t xml:space="preserve">Qué es este proyecto, para quién y por qué existe (dos párrafos):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  <w:lang w:val="es-ES"/>
        </w:rPr>
        <w:t xml:space="preserve">Estructura de carpetas o espacio de trabajo: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______________________________________________</w:t>
      </w:r>
    </w:p>
    <w:p>
      <w:pPr>
        <w:pStyle w:val="BodyText"/>
      </w:pPr>
      <w:r>
        <w:rPr>
          <w:i/>
          <w:iCs/>
          <w:lang w:val="es-ES"/>
        </w:rPr>
        <w:t xml:space="preserve">Documentos clave y dónde viven: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______________________________________________</w:t>
      </w:r>
    </w:p>
    <w:p>
      <w:pPr>
        <w:pStyle w:val="BodyText"/>
      </w:pPr>
      <w:r>
        <w:rPr>
          <w:b/>
          <w:bCs/>
          <w:lang w:val="es-ES"/>
        </w:rPr>
        <w:t xml:space="preserve">2. Roles hoy.</w:t>
      </w:r>
      <w:r>
        <w:rPr>
          <w:lang w:val="es-ES"/>
        </w:rPr>
        <w:t xml:space="preserve"> </w:t>
      </w:r>
      <w:r>
        <w:rPr>
          <w:lang w:val="es-ES"/>
        </w:rPr>
        <w:t xml:space="preserve">Quién decide (sponsor): ____________ · Quién coordina: ____________ · Quién participa: ____________ · Quién es consultado: ____________</w:t>
      </w:r>
    </w:p>
    <w:p>
      <w:pPr>
        <w:pStyle w:val="BodyText"/>
      </w:pPr>
      <w:r>
        <w:rPr>
          <w:b/>
          <w:bCs/>
          <w:lang w:val="es-ES"/>
        </w:rPr>
        <w:t xml:space="preserve">3. Cómo se trabaja aquí (el ritmo).</w:t>
      </w:r>
      <w:r>
        <w:rPr>
          <w:lang w:val="es-ES"/>
        </w:rPr>
        <w:t xml:space="preserve"> </w:t>
      </w:r>
      <w:r>
        <w:rPr>
          <w:lang w:val="es-ES"/>
        </w:rPr>
        <w:t xml:space="preserve">Reuniones: ______________ · Decisiones: se toman en ______________ · Registro: en ______________ · Cambios: pasan por ______________</w:t>
      </w:r>
    </w:p>
    <w:p>
      <w:pPr>
        <w:pStyle w:val="BodyText"/>
      </w:pPr>
      <w:r>
        <w:rPr>
          <w:b/>
          <w:bCs/>
          <w:lang w:val="es-ES"/>
        </w:rPr>
        <w:t xml:space="preserve">4. Lo que no se toca sin permiso.</w:t>
      </w:r>
      <w:r>
        <w:rPr>
          <w:lang w:val="es-ES"/>
        </w:rPr>
        <w:t xml:space="preserve"> </w:t>
      </w:r>
      <w:r>
        <w:rPr>
          <w:lang w:val="es-ES"/>
        </w:rPr>
        <w:t xml:space="preserve">Políticas vigentes (GOB7, GOB8): ______________________________________________</w:t>
      </w:r>
    </w:p>
    <w:p>
      <w:pPr>
        <w:pStyle w:val="BodyText"/>
      </w:pPr>
      <w:r>
        <w:rPr>
          <w:b/>
          <w:bCs/>
          <w:lang w:val="es-ES"/>
        </w:rPr>
        <w:t xml:space="preserve">5. Primeros pasos de quien llega</w:t>
      </w:r>
      <w:r>
        <w:rPr>
          <w:lang w:val="es-ES"/>
        </w:rPr>
        <w:t xml:space="preserve"> </w:t>
      </w:r>
      <w:r>
        <w:rPr>
          <w:lang w:val="es-ES"/>
        </w:rPr>
        <w:t xml:space="preserve">(lista para ejecutar):</w:t>
      </w:r>
    </w:p>
    <w:p>
      <w:pPr>
        <w:pStyle w:val="BodyText"/>
      </w:pPr>
      <w:r>
        <w:rPr>
          <w:lang w:val="es-ES"/>
        </w:rPr>
        <w:t xml:space="preserve">☐ Lee este manual y el acta (o su resumen) ☐ Recibe los accesos de ______________ ☐ Conoce al equipo en ______________ ☐ Lee un registro de decisiones reciente ☐ Acompaña una sesión antes de intervenir ☐ Firma su adherencia</w:t>
      </w:r>
    </w:p>
    <w:p>
      <w:pPr>
        <w:pStyle w:val="BodyText"/>
      </w:pPr>
      <w:r>
        <w:rPr>
          <w:b/>
          <w:bCs/>
          <w:lang w:val="es-ES"/>
        </w:rPr>
        <w:t xml:space="preserve">6. Estado del proyecto al día de hoy.</w:t>
      </w:r>
      <w:r>
        <w:rPr>
          <w:lang w:val="es-ES"/>
        </w:rPr>
        <w:t xml:space="preserve"> </w:t>
      </w:r>
      <w:r>
        <w:rPr>
          <w:lang w:val="es-ES"/>
        </w:rPr>
        <w:t xml:space="preserve">Versión: ______ · Fase: ______ · Decisiones recientes (últimas3): 1. ______________ 2. ______________ 3. ______________</w:t>
      </w:r>
    </w:p>
    <w:p>
      <w:pPr>
        <w:pStyle w:val="BodyText"/>
      </w:pPr>
      <w:r>
        <w:rPr>
          <w:b/>
          <w:bCs/>
          <w:lang w:val="es-ES"/>
        </w:rPr>
        <w:t xml:space="preserve">Actualización.</w:t>
      </w:r>
      <w:r>
        <w:rPr>
          <w:lang w:val="es-ES"/>
        </w:rPr>
        <w:t xml:space="preserve"> </w:t>
      </w:r>
      <w:r>
        <w:rPr>
          <w:lang w:val="es-ES"/>
        </w:rPr>
        <w:t xml:space="preserve">Última revisión: 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Responsable: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(se actualiza con cada cambio mayor registrado)</w:t>
      </w:r>
    </w:p>
    <w:p>
      <w:r>
        <w:pict>
          <v:rect style="width:0;height:1.5pt" o:hralign="center" o:hrstd="t" o:hr="t"/>
        </w:pict>
      </w:r>
    </w:p>
    <w:bookmarkEnd w:id="10"/>
    <w:bookmarkStart w:id="11" w:name="consejo-de-uso"/>
    <w:p>
      <w:pPr>
        <w:pStyle w:val="Heading2"/>
      </w:pPr>
      <w:r>
        <w:rPr>
          <w:lang w:val="es-ES"/>
        </w:rPr>
        <w:t xml:space="preserve">Consejo de uso</w:t>
      </w:r>
    </w:p>
    <w:p>
      <w:pPr>
        <w:pStyle w:val="FirstParagraph"/>
      </w:pPr>
      <w:r>
        <w:rPr>
          <w:lang w:val="es-ES"/>
        </w:rPr>
        <w:t xml:space="preserve">La parte que más se subestima es la 5: la inducción es una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lista que se ejecuta</w:t>
      </w:r>
      <w:r>
        <w:rPr>
          <w:lang w:val="es-ES"/>
        </w:rPr>
        <w:t xml:space="preserve">, no un saludo. Y la 6 es la que impide que el manual mienta: un manual sin estado actualizado es una foto de alguien que ya se fue. Si tu proyecto cabe en una carpeta, este manual puede ser el README; si no cabe, es el mejor documento que puedes regalar a quien llegará después de ti.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  <w:lang w:val="es-ES"/>
        </w:rPr>
        <w:t xml:space="preserve">Plantillas · Ciclo: continuo · v0.1</w:t>
      </w:r>
    </w:p>
    <w:bookmarkEnd w:id="11"/>
    <w:sectPr>
      <w:footerReference w:type="default" r:id="rIdPagina900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777777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sz w:val="18"/>
        <w:color w:val="777777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cs="Georgia" w:eastAsia="Georgia" w:hAnsi="Georgia"/>
        <w:sz w:val="22"/>
        <w:szCs w:val="22"/>
        <w:lang w:bidi="ar-SA" w:eastAsia="zh-CN" w:val="es-ES"/>
      </w:rPr>
    </w:rPrDefault>
    <w:pPrDefault>
      <w:pPr>
        <w:spacing w:after="14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00" w:before="2760" w:line="240" w:lineRule="auto"/>
      <w:contextualSpacing/>
      <w:jc w:val="center"/>
    </w:pPr>
    <w:rPr>
      <w:rFonts w:ascii="Georgia" w:cs="Georgia" w:eastAsia="Georgia" w:hAnsi="Georgia"/>
      <w:sz w:val="56"/>
      <w:szCs w:val="56"/>
      <w:b/>
      <w:color w:val="1F4E79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styleId="Date" w:type="paragraph">
    <w:name w:val="Date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00"/>
      <w:outlineLvl w:val="0"/>
    </w:pPr>
    <w:rPr>
      <w:rFonts w:ascii="Georgia" w:cs="Georgia" w:eastAsia="Georgia" w:hAnsi="Georgia"/>
      <w:color w:val="1F4E79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20"/>
      <w:outlineLvl w:val="1"/>
    </w:pPr>
    <w:rPr>
      <w:rFonts w:ascii="Georgia" w:cs="Georgia" w:eastAsia="Georgia" w:hAnsi="Georgia"/>
      <w:color w:val="2E5E8E"/>
      <w:sz w:val="28"/>
      <w:szCs w:val="28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60"/>
      <w:outlineLvl w:val="2"/>
    </w:pPr>
    <w:rPr>
      <w:rFonts w:ascii="Georgia" w:cs="Georgia" w:eastAsia="Georgia" w:hAnsi="Georgia"/>
      <w:color w:val="44546A"/>
      <w:sz w:val="24"/>
      <w:szCs w:val="24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hd w:color="auto" w:fill="F2F5F8" w:val="clear"/>
      <w:spacing w:after="160" w:before="160"/>
      <w:ind w:firstLine="0" w:left="480" w:right="480"/>
    </w:pPr>
    <w:rPr>
      <w:i/>
      <w:color w:val="55555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D9E2F3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agina900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GOB20 — Manual de inducción y transferencia</dc:title>
  <dc:creator>Plantillas · Ingeniería de la Educación · Proyecto Programa Sintético</dc:creator>
  <dc:language>es-ES</dc:language>
  <cp:keywords/>
  <dcterms:created xsi:type="dcterms:W3CDTF">2026-09-29T04:11:21Z</dcterms:created>
  <dcterms:modified xsi:type="dcterms:W3CDTF">2026-09-29T04:11:21Z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Plantillas v0.1 · 24 plantillas · 29 de septiembre de 2026</vt:lpwstr>
  </property>
</Properties>
</file>